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JPG" ContentType="image/.jpg"/>
  <Default Extension="emf" ContentType="image/x-emf"/>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465B7B">
      <w:pPr>
        <w:widowControl/>
        <w:jc w:val="center"/>
        <w:rPr>
          <w:rFonts w:hint="default" w:ascii="Times New Roman" w:hAnsi="Times New Roman" w:cs="Times New Roman"/>
          <w:snapToGrid w:val="0"/>
          <w:color w:val="auto"/>
          <w:sz w:val="36"/>
          <w:szCs w:val="36"/>
          <w:highlight w:val="none"/>
        </w:rPr>
      </w:pPr>
    </w:p>
    <w:p w14:paraId="24D974F3">
      <w:pPr>
        <w:pStyle w:val="13"/>
        <w:rPr>
          <w:rFonts w:hint="default" w:ascii="Times New Roman" w:hAnsi="Times New Roman" w:cs="Times New Roman"/>
          <w:snapToGrid w:val="0"/>
          <w:color w:val="auto"/>
          <w:sz w:val="36"/>
          <w:szCs w:val="36"/>
          <w:highlight w:val="none"/>
        </w:rPr>
      </w:pPr>
    </w:p>
    <w:p w14:paraId="3AF3C32F">
      <w:pPr>
        <w:pStyle w:val="13"/>
        <w:rPr>
          <w:rFonts w:hint="default" w:ascii="Times New Roman" w:hAnsi="Times New Roman" w:cs="Times New Roman"/>
          <w:snapToGrid w:val="0"/>
          <w:color w:val="auto"/>
          <w:sz w:val="36"/>
          <w:szCs w:val="36"/>
          <w:highlight w:val="none"/>
        </w:rPr>
      </w:pPr>
    </w:p>
    <w:p w14:paraId="344DC99F">
      <w:pPr>
        <w:widowControl/>
        <w:jc w:val="center"/>
        <w:rPr>
          <w:rFonts w:hint="default" w:ascii="Times New Roman" w:hAnsi="Times New Roman" w:cs="Times New Roman"/>
          <w:snapToGrid w:val="0"/>
          <w:color w:val="auto"/>
          <w:sz w:val="36"/>
          <w:szCs w:val="36"/>
          <w:highlight w:val="none"/>
        </w:rPr>
      </w:pPr>
    </w:p>
    <w:p w14:paraId="2550160C">
      <w:pPr>
        <w:widowControl/>
        <w:jc w:val="center"/>
        <w:outlineLvl w:val="9"/>
        <w:rPr>
          <w:rFonts w:hint="default" w:ascii="Times New Roman" w:hAnsi="Times New Roman" w:eastAsia="微软雅黑" w:cs="Times New Roman"/>
          <w:snapToGrid w:val="0"/>
          <w:color w:val="auto"/>
          <w:sz w:val="60"/>
          <w:szCs w:val="60"/>
          <w:highlight w:val="none"/>
        </w:rPr>
      </w:pPr>
      <w:bookmarkStart w:id="0" w:name="_Toc30899"/>
      <w:bookmarkStart w:id="1" w:name="_Toc4255"/>
      <w:r>
        <w:rPr>
          <w:rFonts w:hint="default" w:ascii="Times New Roman" w:hAnsi="Times New Roman" w:eastAsia="微软雅黑" w:cs="Times New Roman"/>
          <w:snapToGrid w:val="0"/>
          <w:color w:val="auto"/>
          <w:sz w:val="60"/>
          <w:szCs w:val="60"/>
          <w:highlight w:val="none"/>
        </w:rPr>
        <w:t>建设项目环境影响报告表</w:t>
      </w:r>
      <w:bookmarkEnd w:id="0"/>
      <w:bookmarkEnd w:id="1"/>
    </w:p>
    <w:p w14:paraId="26B23D5C">
      <w:pPr>
        <w:widowControl/>
        <w:jc w:val="center"/>
        <w:outlineLvl w:val="9"/>
        <w:rPr>
          <w:rFonts w:hint="default" w:ascii="Times New Roman" w:hAnsi="Times New Roman" w:eastAsia="楷体" w:cs="Times New Roman"/>
          <w:snapToGrid w:val="0"/>
          <w:color w:val="auto"/>
          <w:sz w:val="48"/>
          <w:szCs w:val="48"/>
          <w:highlight w:val="none"/>
        </w:rPr>
      </w:pPr>
      <w:r>
        <w:rPr>
          <w:rFonts w:hint="default" w:ascii="Times New Roman" w:hAnsi="Times New Roman" w:eastAsia="楷体" w:cs="Times New Roman"/>
          <w:snapToGrid w:val="0"/>
          <w:color w:val="auto"/>
          <w:sz w:val="48"/>
          <w:szCs w:val="48"/>
          <w:highlight w:val="none"/>
        </w:rPr>
        <w:t>（污染影响类）</w:t>
      </w:r>
    </w:p>
    <w:p w14:paraId="507295C4">
      <w:pPr>
        <w:widowControl/>
        <w:jc w:val="center"/>
        <w:rPr>
          <w:rFonts w:hint="default" w:ascii="Times New Roman" w:hAnsi="Times New Roman" w:cs="Times New Roman"/>
          <w:snapToGrid w:val="0"/>
          <w:color w:val="auto"/>
          <w:sz w:val="36"/>
          <w:szCs w:val="36"/>
          <w:highlight w:val="none"/>
        </w:rPr>
      </w:pPr>
    </w:p>
    <w:p w14:paraId="4B021392">
      <w:pPr>
        <w:widowControl/>
        <w:jc w:val="center"/>
        <w:rPr>
          <w:rFonts w:hint="default" w:ascii="Times New Roman" w:hAnsi="Times New Roman" w:cs="Times New Roman"/>
          <w:snapToGrid w:val="0"/>
          <w:color w:val="auto"/>
          <w:sz w:val="36"/>
          <w:szCs w:val="36"/>
          <w:highlight w:val="none"/>
        </w:rPr>
      </w:pPr>
    </w:p>
    <w:p w14:paraId="59568D41">
      <w:pPr>
        <w:widowControl/>
        <w:jc w:val="center"/>
        <w:rPr>
          <w:rFonts w:hint="default" w:ascii="Times New Roman" w:hAnsi="Times New Roman" w:cs="Times New Roman"/>
          <w:snapToGrid w:val="0"/>
          <w:color w:val="auto"/>
          <w:sz w:val="36"/>
          <w:szCs w:val="36"/>
          <w:highlight w:val="none"/>
        </w:rPr>
      </w:pPr>
    </w:p>
    <w:p w14:paraId="4128BF9E">
      <w:pPr>
        <w:widowControl/>
        <w:jc w:val="center"/>
        <w:rPr>
          <w:rFonts w:hint="default" w:ascii="Times New Roman" w:hAnsi="Times New Roman" w:cs="Times New Roman"/>
          <w:snapToGrid w:val="0"/>
          <w:color w:val="auto"/>
          <w:sz w:val="36"/>
          <w:szCs w:val="36"/>
          <w:highlight w:val="none"/>
        </w:rPr>
      </w:pPr>
    </w:p>
    <w:p w14:paraId="7DCAD9BF">
      <w:pPr>
        <w:widowControl/>
        <w:jc w:val="center"/>
        <w:rPr>
          <w:rFonts w:hint="default" w:ascii="Times New Roman" w:hAnsi="Times New Roman" w:cs="Times New Roman"/>
          <w:snapToGrid w:val="0"/>
          <w:color w:val="auto"/>
          <w:sz w:val="36"/>
          <w:szCs w:val="36"/>
          <w:highlight w:val="none"/>
        </w:rPr>
      </w:pPr>
    </w:p>
    <w:p w14:paraId="035675EE">
      <w:pPr>
        <w:widowControl/>
        <w:jc w:val="center"/>
        <w:rPr>
          <w:rFonts w:hint="default" w:ascii="Times New Roman" w:hAnsi="Times New Roman" w:cs="Times New Roman"/>
          <w:snapToGrid w:val="0"/>
          <w:color w:val="auto"/>
          <w:sz w:val="36"/>
          <w:szCs w:val="36"/>
          <w:highlight w:val="none"/>
        </w:rPr>
      </w:pPr>
    </w:p>
    <w:p w14:paraId="1B4E431C">
      <w:pPr>
        <w:widowControl/>
        <w:jc w:val="center"/>
        <w:rPr>
          <w:rFonts w:hint="default" w:ascii="Times New Roman" w:hAnsi="Times New Roman" w:cs="Times New Roman"/>
          <w:snapToGrid w:val="0"/>
          <w:color w:val="auto"/>
          <w:sz w:val="36"/>
          <w:szCs w:val="36"/>
          <w:highlight w:val="none"/>
        </w:rPr>
      </w:pPr>
    </w:p>
    <w:p w14:paraId="0C4B3965">
      <w:pPr>
        <w:widowControl/>
        <w:jc w:val="center"/>
        <w:rPr>
          <w:rFonts w:hint="default" w:ascii="Times New Roman" w:hAnsi="Times New Roman" w:cs="Times New Roman"/>
          <w:snapToGrid w:val="0"/>
          <w:color w:val="auto"/>
          <w:sz w:val="36"/>
          <w:szCs w:val="36"/>
          <w:highlight w:val="none"/>
        </w:rPr>
      </w:pPr>
    </w:p>
    <w:p w14:paraId="319E3BB6">
      <w:pPr>
        <w:widowControl/>
        <w:jc w:val="center"/>
        <w:rPr>
          <w:rFonts w:hint="default" w:ascii="Times New Roman" w:hAnsi="Times New Roman" w:cs="Times New Roman"/>
          <w:b/>
          <w:bCs/>
          <w:snapToGrid w:val="0"/>
          <w:color w:val="auto"/>
          <w:sz w:val="36"/>
          <w:szCs w:val="36"/>
          <w:highlight w:val="none"/>
        </w:rPr>
      </w:pPr>
    </w:p>
    <w:p w14:paraId="64421A95">
      <w:pPr>
        <w:widowControl/>
        <w:spacing w:line="360" w:lineRule="auto"/>
        <w:jc w:val="both"/>
        <w:outlineLvl w:val="9"/>
        <w:rPr>
          <w:rFonts w:hint="default" w:ascii="Times New Roman" w:hAnsi="Times New Roman" w:eastAsia="仿宋" w:cs="Times New Roman"/>
          <w:b/>
          <w:bCs/>
          <w:snapToGrid w:val="0"/>
          <w:color w:val="auto"/>
          <w:sz w:val="30"/>
          <w:szCs w:val="30"/>
          <w:highlight w:val="none"/>
          <w:u w:val="single"/>
        </w:rPr>
      </w:pPr>
      <w:r>
        <w:rPr>
          <w:rFonts w:hint="default" w:ascii="Times New Roman" w:hAnsi="Times New Roman" w:eastAsia="仿宋" w:cs="Times New Roman"/>
          <w:b/>
          <w:bCs/>
          <w:snapToGrid w:val="0"/>
          <w:color w:val="auto"/>
          <w:kern w:val="0"/>
          <w:sz w:val="30"/>
          <w:szCs w:val="30"/>
          <w:highlight w:val="none"/>
          <w:u w:val="none"/>
          <w:lang w:val="en-US" w:eastAsia="zh-CN"/>
        </w:rPr>
        <w:t>项  目  名  称  ：</w:t>
      </w:r>
      <w:r>
        <w:rPr>
          <w:rFonts w:hint="eastAsia" w:eastAsia="仿宋" w:cs="Times New Roman"/>
          <w:b/>
          <w:bCs/>
          <w:snapToGrid w:val="0"/>
          <w:color w:val="auto"/>
          <w:sz w:val="30"/>
          <w:szCs w:val="30"/>
          <w:highlight w:val="none"/>
          <w:u w:val="single"/>
          <w:lang w:val="en-US" w:eastAsia="zh-CN"/>
        </w:rPr>
        <w:t xml:space="preserve">     </w:t>
      </w:r>
      <w:r>
        <w:rPr>
          <w:rFonts w:hint="eastAsia" w:eastAsia="仿宋" w:cs="Times New Roman"/>
          <w:b/>
          <w:bCs/>
          <w:snapToGrid w:val="0"/>
          <w:color w:val="auto"/>
          <w:kern w:val="0"/>
          <w:sz w:val="30"/>
          <w:szCs w:val="30"/>
          <w:highlight w:val="none"/>
          <w:u w:val="single"/>
          <w:lang w:val="en-US" w:eastAsia="zh-CN"/>
        </w:rPr>
        <w:t xml:space="preserve"> 矿用新能源研发实验室项目             </w:t>
      </w:r>
    </w:p>
    <w:p w14:paraId="4FA85862">
      <w:pPr>
        <w:widowControl/>
        <w:spacing w:line="360" w:lineRule="auto"/>
        <w:jc w:val="both"/>
        <w:outlineLvl w:val="9"/>
        <w:rPr>
          <w:rFonts w:hint="default" w:ascii="Times New Roman" w:hAnsi="Times New Roman" w:eastAsia="仿宋" w:cs="Times New Roman"/>
          <w:b/>
          <w:bCs/>
          <w:snapToGrid w:val="0"/>
          <w:color w:val="auto"/>
          <w:kern w:val="0"/>
          <w:sz w:val="30"/>
          <w:szCs w:val="30"/>
          <w:highlight w:val="none"/>
          <w:u w:val="single"/>
          <w:lang w:val="en-US" w:eastAsia="zh-CN"/>
        </w:rPr>
      </w:pPr>
      <w:r>
        <w:rPr>
          <w:rFonts w:hint="default" w:ascii="Times New Roman" w:hAnsi="Times New Roman" w:eastAsia="仿宋" w:cs="Times New Roman"/>
          <w:b/>
          <w:bCs/>
          <w:snapToGrid w:val="0"/>
          <w:color w:val="auto"/>
          <w:kern w:val="0"/>
          <w:sz w:val="30"/>
          <w:szCs w:val="30"/>
          <w:highlight w:val="none"/>
          <w:u w:val="none"/>
          <w:lang w:val="en-US" w:eastAsia="zh-CN"/>
        </w:rPr>
        <w:t>建设单位（盖章）：</w:t>
      </w:r>
      <w:r>
        <w:rPr>
          <w:rFonts w:hint="eastAsia" w:eastAsia="仿宋" w:cs="Times New Roman"/>
          <w:b/>
          <w:bCs/>
          <w:snapToGrid w:val="0"/>
          <w:color w:val="auto"/>
          <w:kern w:val="0"/>
          <w:sz w:val="30"/>
          <w:szCs w:val="30"/>
          <w:highlight w:val="none"/>
          <w:u w:val="single"/>
          <w:lang w:val="en-US" w:eastAsia="zh-CN"/>
        </w:rPr>
        <w:t xml:space="preserve">天地科技股份有限公司北京技术研究分公司 </w:t>
      </w:r>
      <w:r>
        <w:rPr>
          <w:rFonts w:hint="default" w:eastAsia="仿宋" w:cs="Times New Roman"/>
          <w:b/>
          <w:bCs/>
          <w:snapToGrid w:val="0"/>
          <w:color w:val="auto"/>
          <w:kern w:val="0"/>
          <w:sz w:val="30"/>
          <w:szCs w:val="30"/>
          <w:highlight w:val="none"/>
          <w:u w:val="single"/>
          <w:lang w:val="en-US" w:eastAsia="zh-CN"/>
        </w:rPr>
        <w:t xml:space="preserve"> </w:t>
      </w:r>
      <w:r>
        <w:rPr>
          <w:rFonts w:hint="eastAsia" w:eastAsia="仿宋" w:cs="Times New Roman"/>
          <w:b/>
          <w:bCs/>
          <w:snapToGrid w:val="0"/>
          <w:color w:val="auto"/>
          <w:kern w:val="0"/>
          <w:sz w:val="30"/>
          <w:szCs w:val="30"/>
          <w:highlight w:val="none"/>
          <w:u w:val="single"/>
          <w:lang w:val="en-US" w:eastAsia="zh-CN"/>
        </w:rPr>
        <w:t xml:space="preserve"> </w:t>
      </w:r>
    </w:p>
    <w:p w14:paraId="7634A41E">
      <w:pPr>
        <w:widowControl/>
        <w:spacing w:line="360" w:lineRule="auto"/>
        <w:jc w:val="both"/>
        <w:outlineLvl w:val="9"/>
        <w:rPr>
          <w:rFonts w:hint="default" w:ascii="Times New Roman" w:hAnsi="Times New Roman" w:eastAsia="仿宋" w:cs="Times New Roman"/>
          <w:b/>
          <w:bCs/>
          <w:snapToGrid w:val="0"/>
          <w:color w:val="auto"/>
          <w:sz w:val="30"/>
          <w:szCs w:val="30"/>
          <w:highlight w:val="none"/>
          <w:u w:val="single"/>
          <w:lang w:val="en-US" w:eastAsia="zh-CN"/>
        </w:rPr>
      </w:pPr>
      <w:r>
        <w:rPr>
          <w:rFonts w:hint="default" w:ascii="Times New Roman" w:hAnsi="Times New Roman" w:eastAsia="仿宋" w:cs="Times New Roman"/>
          <w:b/>
          <w:bCs/>
          <w:snapToGrid w:val="0"/>
          <w:color w:val="auto"/>
          <w:kern w:val="0"/>
          <w:sz w:val="30"/>
          <w:szCs w:val="30"/>
          <w:highlight w:val="none"/>
          <w:u w:val="none"/>
          <w:lang w:val="en-US" w:eastAsia="zh-CN"/>
        </w:rPr>
        <w:t>编  制  日  期  ：</w:t>
      </w:r>
      <w:r>
        <w:rPr>
          <w:rFonts w:hint="default" w:ascii="Times New Roman" w:hAnsi="Times New Roman" w:eastAsia="仿宋" w:cs="Times New Roman"/>
          <w:b/>
          <w:bCs/>
          <w:snapToGrid w:val="0"/>
          <w:color w:val="auto"/>
          <w:kern w:val="0"/>
          <w:sz w:val="30"/>
          <w:szCs w:val="30"/>
          <w:highlight w:val="none"/>
          <w:u w:val="single"/>
          <w:lang w:val="en-US" w:eastAsia="zh-CN"/>
        </w:rPr>
        <w:t xml:space="preserve">           202</w:t>
      </w:r>
      <w:r>
        <w:rPr>
          <w:rFonts w:hint="eastAsia" w:eastAsia="仿宋" w:cs="Times New Roman"/>
          <w:b/>
          <w:bCs/>
          <w:snapToGrid w:val="0"/>
          <w:color w:val="auto"/>
          <w:kern w:val="0"/>
          <w:sz w:val="30"/>
          <w:szCs w:val="30"/>
          <w:highlight w:val="none"/>
          <w:u w:val="single"/>
          <w:lang w:val="en-US" w:eastAsia="zh-CN"/>
        </w:rPr>
        <w:t>6</w:t>
      </w:r>
      <w:r>
        <w:rPr>
          <w:rFonts w:hint="default" w:ascii="Times New Roman" w:hAnsi="Times New Roman" w:eastAsia="仿宋" w:cs="Times New Roman"/>
          <w:b/>
          <w:bCs/>
          <w:snapToGrid w:val="0"/>
          <w:color w:val="auto"/>
          <w:kern w:val="0"/>
          <w:sz w:val="30"/>
          <w:szCs w:val="30"/>
          <w:highlight w:val="none"/>
          <w:u w:val="single"/>
          <w:lang w:val="en-US" w:eastAsia="zh-CN"/>
        </w:rPr>
        <w:t>年</w:t>
      </w:r>
      <w:r>
        <w:rPr>
          <w:rFonts w:hint="eastAsia" w:eastAsia="仿宋" w:cs="Times New Roman"/>
          <w:b/>
          <w:bCs/>
          <w:snapToGrid w:val="0"/>
          <w:color w:val="auto"/>
          <w:kern w:val="0"/>
          <w:sz w:val="30"/>
          <w:szCs w:val="30"/>
          <w:highlight w:val="none"/>
          <w:u w:val="single"/>
          <w:lang w:val="en-US" w:eastAsia="zh-CN"/>
        </w:rPr>
        <w:t>2</w:t>
      </w:r>
      <w:r>
        <w:rPr>
          <w:rFonts w:hint="default" w:ascii="Times New Roman" w:hAnsi="Times New Roman" w:eastAsia="仿宋" w:cs="Times New Roman"/>
          <w:b/>
          <w:bCs/>
          <w:snapToGrid w:val="0"/>
          <w:color w:val="auto"/>
          <w:kern w:val="0"/>
          <w:sz w:val="30"/>
          <w:szCs w:val="30"/>
          <w:highlight w:val="none"/>
          <w:u w:val="single"/>
          <w:lang w:val="en-US" w:eastAsia="zh-CN"/>
        </w:rPr>
        <w:t xml:space="preserve">月      </w:t>
      </w:r>
      <w:r>
        <w:rPr>
          <w:rFonts w:hint="eastAsia" w:eastAsia="仿宋" w:cs="Times New Roman"/>
          <w:b/>
          <w:bCs/>
          <w:snapToGrid w:val="0"/>
          <w:color w:val="auto"/>
          <w:kern w:val="0"/>
          <w:sz w:val="30"/>
          <w:szCs w:val="30"/>
          <w:highlight w:val="none"/>
          <w:u w:val="single"/>
          <w:lang w:val="en-US" w:eastAsia="zh-CN"/>
        </w:rPr>
        <w:t xml:space="preserve">            </w:t>
      </w:r>
      <w:r>
        <w:rPr>
          <w:rFonts w:hint="default" w:ascii="Times New Roman" w:hAnsi="Times New Roman" w:eastAsia="仿宋" w:cs="Times New Roman"/>
          <w:b/>
          <w:bCs/>
          <w:snapToGrid w:val="0"/>
          <w:color w:val="auto"/>
          <w:kern w:val="0"/>
          <w:sz w:val="30"/>
          <w:szCs w:val="30"/>
          <w:highlight w:val="none"/>
          <w:u w:val="single"/>
          <w:lang w:val="en-US" w:eastAsia="zh-CN"/>
        </w:rPr>
        <w:t xml:space="preserve">  </w:t>
      </w:r>
    </w:p>
    <w:p w14:paraId="0B694B7A">
      <w:pPr>
        <w:widowControl/>
        <w:ind w:firstLine="1800" w:firstLineChars="500"/>
        <w:jc w:val="left"/>
        <w:rPr>
          <w:rFonts w:hint="default" w:ascii="Times New Roman" w:hAnsi="Times New Roman" w:cs="Times New Roman" w:eastAsiaTheme="majorHAnsi"/>
          <w:snapToGrid w:val="0"/>
          <w:color w:val="auto"/>
          <w:kern w:val="0"/>
          <w:sz w:val="36"/>
          <w:szCs w:val="36"/>
          <w:highlight w:val="none"/>
          <w:lang w:val="en-US"/>
        </w:rPr>
      </w:pPr>
    </w:p>
    <w:p w14:paraId="06A80FDF">
      <w:pPr>
        <w:widowControl/>
        <w:ind w:firstLine="1800" w:firstLineChars="500"/>
        <w:jc w:val="left"/>
        <w:rPr>
          <w:rFonts w:hint="default" w:ascii="Times New Roman" w:hAnsi="Times New Roman" w:cs="Times New Roman" w:eastAsiaTheme="majorHAnsi"/>
          <w:snapToGrid w:val="0"/>
          <w:color w:val="auto"/>
          <w:kern w:val="0"/>
          <w:sz w:val="36"/>
          <w:szCs w:val="36"/>
          <w:highlight w:val="none"/>
          <w:lang w:val="en-US"/>
        </w:rPr>
      </w:pPr>
    </w:p>
    <w:p w14:paraId="6C4F5A88">
      <w:pPr>
        <w:widowControl/>
        <w:ind w:firstLine="1800" w:firstLineChars="500"/>
        <w:jc w:val="left"/>
        <w:rPr>
          <w:rFonts w:hint="default" w:ascii="Times New Roman" w:hAnsi="Times New Roman" w:cs="Times New Roman" w:eastAsiaTheme="majorHAnsi"/>
          <w:snapToGrid w:val="0"/>
          <w:color w:val="auto"/>
          <w:kern w:val="0"/>
          <w:sz w:val="36"/>
          <w:szCs w:val="36"/>
          <w:highlight w:val="none"/>
          <w:lang w:val="en-US"/>
        </w:rPr>
      </w:pPr>
    </w:p>
    <w:p w14:paraId="190DDE3B">
      <w:pPr>
        <w:keepNext w:val="0"/>
        <w:keepLines w:val="0"/>
        <w:pageBreakBefore w:val="0"/>
        <w:widowControl/>
        <w:kinsoku/>
        <w:wordWrap/>
        <w:overflowPunct/>
        <w:topLinePunct w:val="0"/>
        <w:autoSpaceDE/>
        <w:autoSpaceDN/>
        <w:bidi w:val="0"/>
        <w:adjustRightInd/>
        <w:snapToGrid/>
        <w:ind w:firstLine="1800" w:firstLineChars="500"/>
        <w:jc w:val="left"/>
        <w:textAlignment w:val="auto"/>
        <w:rPr>
          <w:rFonts w:hint="default" w:ascii="Times New Roman" w:hAnsi="Times New Roman" w:cs="Times New Roman" w:eastAsiaTheme="majorHAnsi"/>
          <w:snapToGrid w:val="0"/>
          <w:color w:val="auto"/>
          <w:kern w:val="0"/>
          <w:sz w:val="36"/>
          <w:szCs w:val="36"/>
          <w:highlight w:val="none"/>
          <w:lang w:val="en-US"/>
        </w:rPr>
      </w:pPr>
    </w:p>
    <w:p w14:paraId="6BA2C995">
      <w:pPr>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黑体" w:cs="Times New Roman"/>
          <w:b w:val="0"/>
          <w:bCs w:val="0"/>
          <w:vanish/>
          <w:color w:val="auto"/>
          <w:kern w:val="44"/>
          <w:sz w:val="36"/>
          <w:szCs w:val="36"/>
          <w:highlight w:val="none"/>
          <w:lang w:val="en-US" w:eastAsia="zh-CN" w:bidi="ar-SA"/>
        </w:rPr>
        <w:sectPr>
          <w:pgSz w:w="11906" w:h="16838"/>
          <w:pgMar w:top="1701" w:right="1531" w:bottom="1701" w:left="1531" w:header="851" w:footer="851" w:gutter="0"/>
          <w:pgBorders>
            <w:top w:val="none" w:sz="0" w:space="0"/>
            <w:left w:val="none" w:sz="0" w:space="0"/>
            <w:bottom w:val="none" w:sz="0" w:space="0"/>
            <w:right w:val="none" w:sz="0" w:space="0"/>
          </w:pgBorders>
          <w:pgNumType w:fmt="decimal" w:start="1"/>
          <w:cols w:space="720" w:num="1"/>
          <w:docGrid w:linePitch="312" w:charSpace="0"/>
        </w:sectPr>
      </w:pPr>
      <w:r>
        <w:rPr>
          <w:rFonts w:hint="default" w:ascii="Times New Roman" w:hAnsi="Times New Roman" w:eastAsia="楷体" w:cs="Times New Roman"/>
          <w:snapToGrid w:val="0"/>
          <w:color w:val="auto"/>
          <w:kern w:val="0"/>
          <w:sz w:val="36"/>
          <w:szCs w:val="36"/>
          <w:highlight w:val="none"/>
          <w:lang w:eastAsia="zh-CN"/>
        </w:rPr>
        <w:t>中华人民共和国生态环境部</w:t>
      </w:r>
    </w:p>
    <w:p w14:paraId="3582077C">
      <w:pPr>
        <w:pStyle w:val="2"/>
        <w:jc w:val="center"/>
        <w:rPr>
          <w:rFonts w:hint="default" w:ascii="Times New Roman" w:hAnsi="Times New Roman" w:eastAsia="宋体" w:cs="Times New Roman"/>
          <w:color w:val="auto"/>
          <w:sz w:val="36"/>
          <w:szCs w:val="36"/>
          <w:highlight w:val="none"/>
        </w:rPr>
      </w:pPr>
      <w:r>
        <w:rPr>
          <w:rFonts w:hint="default" w:ascii="Times New Roman" w:hAnsi="Times New Roman" w:eastAsia="宋体" w:cs="Times New Roman"/>
          <w:b w:val="0"/>
          <w:bCs w:val="0"/>
          <w:color w:val="auto"/>
          <w:sz w:val="36"/>
          <w:szCs w:val="36"/>
          <w:highlight w:val="none"/>
        </w:rPr>
        <w:t>一、建设项目基本情况</w:t>
      </w:r>
    </w:p>
    <w:tbl>
      <w:tblPr>
        <w:tblStyle w:val="23"/>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2129"/>
        <w:gridCol w:w="1968"/>
        <w:gridCol w:w="2134"/>
        <w:gridCol w:w="2639"/>
      </w:tblGrid>
      <w:tr w14:paraId="00B00F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129" w:type="dxa"/>
            <w:tcMar>
              <w:top w:w="16" w:type="dxa"/>
              <w:left w:w="16" w:type="dxa"/>
              <w:right w:w="16" w:type="dxa"/>
            </w:tcMar>
            <w:vAlign w:val="center"/>
          </w:tcPr>
          <w:p w14:paraId="5865EC3F">
            <w:pPr>
              <w:adjustRightInd w:val="0"/>
              <w:snapToGrid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建设项目名称</w:t>
            </w:r>
          </w:p>
        </w:tc>
        <w:tc>
          <w:tcPr>
            <w:tcW w:w="6741" w:type="dxa"/>
            <w:gridSpan w:val="3"/>
            <w:vAlign w:val="center"/>
          </w:tcPr>
          <w:p w14:paraId="592522AC">
            <w:pPr>
              <w:adjustRightInd w:val="0"/>
              <w:snapToGrid w:val="0"/>
              <w:jc w:val="center"/>
              <w:rPr>
                <w:rFonts w:hint="default" w:hAnsi="宋体" w:eastAsia="宋体"/>
                <w:bCs/>
                <w:color w:val="auto"/>
                <w:kern w:val="0"/>
                <w:sz w:val="24"/>
                <w:highlight w:val="none"/>
                <w:lang w:val="en-US" w:eastAsia="zh-CN"/>
              </w:rPr>
            </w:pPr>
            <w:r>
              <w:rPr>
                <w:rFonts w:hint="eastAsia" w:hAnsi="宋体"/>
                <w:bCs/>
                <w:color w:val="auto"/>
                <w:kern w:val="0"/>
                <w:sz w:val="24"/>
                <w:highlight w:val="none"/>
                <w:lang w:val="en-US" w:eastAsia="zh-CN"/>
              </w:rPr>
              <w:t>矿用新能源研发实验室项目</w:t>
            </w:r>
          </w:p>
        </w:tc>
      </w:tr>
      <w:tr w14:paraId="19DD7A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129" w:type="dxa"/>
            <w:tcMar>
              <w:top w:w="16" w:type="dxa"/>
              <w:left w:w="16" w:type="dxa"/>
              <w:right w:w="16" w:type="dxa"/>
            </w:tcMar>
            <w:vAlign w:val="center"/>
          </w:tcPr>
          <w:p w14:paraId="7D3C7020">
            <w:pPr>
              <w:adjustRightInd w:val="0"/>
              <w:snapToGrid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项目代码</w:t>
            </w:r>
          </w:p>
        </w:tc>
        <w:tc>
          <w:tcPr>
            <w:tcW w:w="6741" w:type="dxa"/>
            <w:gridSpan w:val="3"/>
            <w:shd w:val="clear" w:color="auto" w:fill="auto"/>
            <w:vAlign w:val="center"/>
          </w:tcPr>
          <w:p w14:paraId="0C6DECD4">
            <w:pPr>
              <w:adjustRightInd w:val="0"/>
              <w:snapToGrid w:val="0"/>
              <w:jc w:val="center"/>
              <w:rPr>
                <w:rFonts w:hint="default" w:hAnsi="宋体"/>
                <w:bCs/>
                <w:color w:val="auto"/>
                <w:kern w:val="0"/>
                <w:sz w:val="24"/>
                <w:highlight w:val="none"/>
                <w:lang w:val="en-US" w:eastAsia="zh-CN"/>
              </w:rPr>
            </w:pPr>
            <w:r>
              <w:rPr>
                <w:rFonts w:hint="eastAsia" w:hAnsi="宋体"/>
                <w:bCs/>
                <w:color w:val="auto"/>
                <w:kern w:val="0"/>
                <w:sz w:val="24"/>
                <w:highlight w:val="none"/>
                <w:lang w:val="en-US" w:eastAsia="zh-CN"/>
              </w:rPr>
              <w:t>/</w:t>
            </w:r>
          </w:p>
        </w:tc>
      </w:tr>
      <w:tr w14:paraId="05DA7D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5" w:hRule="atLeast"/>
          <w:jc w:val="center"/>
        </w:trPr>
        <w:tc>
          <w:tcPr>
            <w:tcW w:w="2129" w:type="dxa"/>
            <w:tcMar>
              <w:top w:w="16" w:type="dxa"/>
              <w:left w:w="16" w:type="dxa"/>
              <w:right w:w="16" w:type="dxa"/>
            </w:tcMar>
            <w:vAlign w:val="center"/>
          </w:tcPr>
          <w:p w14:paraId="1D504164">
            <w:pPr>
              <w:adjustRightInd w:val="0"/>
              <w:snapToGrid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建设单位</w:t>
            </w:r>
          </w:p>
          <w:p w14:paraId="297E071B">
            <w:pPr>
              <w:adjustRightInd w:val="0"/>
              <w:snapToGrid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联系人</w:t>
            </w:r>
          </w:p>
        </w:tc>
        <w:tc>
          <w:tcPr>
            <w:tcW w:w="1968" w:type="dxa"/>
            <w:vAlign w:val="center"/>
          </w:tcPr>
          <w:p w14:paraId="4667E713">
            <w:pPr>
              <w:adjustRightInd w:val="0"/>
              <w:snapToGrid w:val="0"/>
              <w:jc w:val="center"/>
              <w:rPr>
                <w:rFonts w:hint="default" w:ascii="Times New Roman" w:hAnsi="Times New Roman" w:eastAsia="宋体" w:cs="Times New Roman"/>
                <w:color w:val="auto"/>
                <w:sz w:val="24"/>
                <w:highlight w:val="none"/>
                <w:lang w:val="en-US" w:eastAsia="zh-CN"/>
              </w:rPr>
            </w:pPr>
            <w:r>
              <w:rPr>
                <w:rFonts w:hint="eastAsia" w:hAnsi="宋体"/>
                <w:bCs/>
                <w:color w:val="auto"/>
                <w:kern w:val="0"/>
                <w:sz w:val="24"/>
                <w:highlight w:val="none"/>
                <w:lang w:val="en-US" w:eastAsia="zh-CN"/>
              </w:rPr>
              <w:t>郭辰辰</w:t>
            </w:r>
          </w:p>
        </w:tc>
        <w:tc>
          <w:tcPr>
            <w:tcW w:w="2134" w:type="dxa"/>
            <w:vAlign w:val="center"/>
          </w:tcPr>
          <w:p w14:paraId="1B18A46A">
            <w:pPr>
              <w:adjustRightInd w:val="0"/>
              <w:snapToGrid w:val="0"/>
              <w:jc w:val="center"/>
              <w:rPr>
                <w:rFonts w:hint="default" w:ascii="Times New Roman" w:hAnsi="Times New Roman" w:eastAsia="宋体" w:cs="Times New Roman"/>
                <w:color w:val="auto"/>
                <w:sz w:val="24"/>
                <w:highlight w:val="none"/>
              </w:rPr>
            </w:pPr>
            <w:r>
              <w:rPr>
                <w:rFonts w:hint="eastAsia" w:ascii="宋体" w:hAnsi="宋体" w:cs="宋体"/>
                <w:color w:val="auto"/>
                <w:sz w:val="24"/>
                <w:highlight w:val="none"/>
              </w:rPr>
              <w:t>联系方式</w:t>
            </w:r>
          </w:p>
        </w:tc>
        <w:tc>
          <w:tcPr>
            <w:tcW w:w="2639" w:type="dxa"/>
            <w:vAlign w:val="center"/>
          </w:tcPr>
          <w:p w14:paraId="1B682830">
            <w:pPr>
              <w:adjustRightInd w:val="0"/>
              <w:snapToGrid w:val="0"/>
              <w:jc w:val="center"/>
              <w:rPr>
                <w:rFonts w:hint="default" w:ascii="Times New Roman" w:hAnsi="Times New Roman" w:eastAsia="宋体" w:cs="Times New Roman"/>
                <w:color w:val="auto"/>
                <w:sz w:val="24"/>
                <w:highlight w:val="none"/>
                <w:lang w:val="en-US" w:eastAsia="zh-CN"/>
              </w:rPr>
            </w:pPr>
            <w:r>
              <w:rPr>
                <w:rFonts w:hint="eastAsia"/>
                <w:color w:val="auto"/>
                <w:sz w:val="24"/>
                <w:highlight w:val="none"/>
                <w:lang w:val="en-US" w:eastAsia="zh-CN"/>
              </w:rPr>
              <w:t>15301383835</w:t>
            </w:r>
          </w:p>
        </w:tc>
      </w:tr>
      <w:tr w14:paraId="27AEC8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129" w:type="dxa"/>
            <w:tcMar>
              <w:top w:w="16" w:type="dxa"/>
              <w:left w:w="16" w:type="dxa"/>
              <w:right w:w="16" w:type="dxa"/>
            </w:tcMar>
            <w:vAlign w:val="center"/>
          </w:tcPr>
          <w:p w14:paraId="2A06A25C">
            <w:pPr>
              <w:adjustRightInd w:val="0"/>
              <w:snapToGrid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建设地点</w:t>
            </w:r>
          </w:p>
        </w:tc>
        <w:tc>
          <w:tcPr>
            <w:tcW w:w="6741" w:type="dxa"/>
            <w:gridSpan w:val="3"/>
            <w:vAlign w:val="center"/>
          </w:tcPr>
          <w:p w14:paraId="5B8F68A7">
            <w:pPr>
              <w:adjustRightInd w:val="0"/>
              <w:snapToGrid w:val="0"/>
              <w:jc w:val="center"/>
              <w:rPr>
                <w:rFonts w:hint="default" w:ascii="Times New Roman" w:hAnsi="Times New Roman" w:eastAsia="宋体" w:cs="Times New Roman"/>
                <w:color w:val="auto"/>
                <w:sz w:val="24"/>
                <w:highlight w:val="none"/>
              </w:rPr>
            </w:pPr>
            <w:r>
              <w:rPr>
                <w:rFonts w:hint="eastAsia" w:cs="Times New Roman"/>
                <w:color w:val="auto"/>
                <w:sz w:val="24"/>
                <w:highlight w:val="none"/>
                <w:lang w:val="en-US" w:eastAsia="zh-CN"/>
              </w:rPr>
              <w:t>北京市朝阳区和平里青年沟东路5号45号楼</w:t>
            </w:r>
          </w:p>
        </w:tc>
      </w:tr>
      <w:tr w14:paraId="0EF82D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37" w:hRule="atLeast"/>
          <w:jc w:val="center"/>
        </w:trPr>
        <w:tc>
          <w:tcPr>
            <w:tcW w:w="2129" w:type="dxa"/>
            <w:tcMar>
              <w:top w:w="16" w:type="dxa"/>
              <w:left w:w="16" w:type="dxa"/>
              <w:right w:w="16" w:type="dxa"/>
            </w:tcMar>
            <w:vAlign w:val="center"/>
          </w:tcPr>
          <w:p w14:paraId="77519D8B">
            <w:pPr>
              <w:adjustRightInd w:val="0"/>
              <w:snapToGrid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地理坐标</w:t>
            </w:r>
          </w:p>
        </w:tc>
        <w:tc>
          <w:tcPr>
            <w:tcW w:w="6741" w:type="dxa"/>
            <w:gridSpan w:val="3"/>
            <w:vAlign w:val="center"/>
          </w:tcPr>
          <w:p w14:paraId="1115DE27">
            <w:pPr>
              <w:adjustRightInd w:val="0"/>
              <w:snapToGrid w:val="0"/>
              <w:jc w:val="center"/>
              <w:rPr>
                <w:rFonts w:hint="default" w:ascii="Times New Roman" w:hAnsi="Times New Roman" w:eastAsia="宋体" w:cs="Times New Roman"/>
                <w:color w:val="auto"/>
                <w:sz w:val="24"/>
                <w:highlight w:val="none"/>
                <w:lang w:eastAsia="zh-CN"/>
              </w:rPr>
            </w:pPr>
            <w:r>
              <w:rPr>
                <w:rFonts w:hint="eastAsia" w:cs="Times New Roman"/>
                <w:color w:val="auto"/>
                <w:sz w:val="24"/>
                <w:highlight w:val="none"/>
                <w:lang w:val="en-US" w:eastAsia="zh-CN"/>
              </w:rPr>
              <w:t>东经</w:t>
            </w:r>
            <w:r>
              <w:rPr>
                <w:rFonts w:hint="eastAsia" w:ascii="Times New Roman" w:hAnsi="Times New Roman" w:eastAsia="宋体" w:cs="Times New Roman"/>
                <w:color w:val="auto"/>
                <w:sz w:val="24"/>
                <w:highlight w:val="none"/>
              </w:rPr>
              <w:t>116度</w:t>
            </w:r>
            <w:r>
              <w:rPr>
                <w:rFonts w:hint="eastAsia" w:cs="Times New Roman"/>
                <w:color w:val="auto"/>
                <w:sz w:val="24"/>
                <w:highlight w:val="none"/>
                <w:lang w:val="en-US" w:eastAsia="zh-CN"/>
              </w:rPr>
              <w:t>25</w:t>
            </w:r>
            <w:r>
              <w:rPr>
                <w:rFonts w:hint="eastAsia" w:ascii="Times New Roman" w:hAnsi="Times New Roman" w:eastAsia="宋体" w:cs="Times New Roman"/>
                <w:color w:val="auto"/>
                <w:sz w:val="24"/>
                <w:highlight w:val="none"/>
              </w:rPr>
              <w:t>分</w:t>
            </w:r>
            <w:r>
              <w:rPr>
                <w:rFonts w:hint="eastAsia" w:cs="Times New Roman"/>
                <w:color w:val="auto"/>
                <w:sz w:val="24"/>
                <w:highlight w:val="none"/>
                <w:lang w:val="en-US" w:eastAsia="zh-CN"/>
              </w:rPr>
              <w:t>23.932</w:t>
            </w:r>
            <w:r>
              <w:rPr>
                <w:rFonts w:hint="eastAsia" w:ascii="Times New Roman" w:hAnsi="Times New Roman" w:eastAsia="宋体" w:cs="Times New Roman"/>
                <w:color w:val="auto"/>
                <w:sz w:val="24"/>
                <w:highlight w:val="none"/>
              </w:rPr>
              <w:t>秒</w:t>
            </w:r>
            <w:r>
              <w:rPr>
                <w:rFonts w:hint="eastAsia" w:cs="Times New Roman"/>
                <w:color w:val="auto"/>
                <w:sz w:val="24"/>
                <w:highlight w:val="none"/>
                <w:lang w:eastAsia="zh-CN"/>
              </w:rPr>
              <w:t>，</w:t>
            </w:r>
            <w:r>
              <w:rPr>
                <w:rFonts w:hint="eastAsia" w:cs="Times New Roman"/>
                <w:color w:val="auto"/>
                <w:sz w:val="24"/>
                <w:highlight w:val="none"/>
                <w:lang w:val="en-US" w:eastAsia="zh-CN"/>
              </w:rPr>
              <w:t>北纬</w:t>
            </w:r>
            <w:r>
              <w:rPr>
                <w:rFonts w:hint="eastAsia" w:ascii="Times New Roman" w:hAnsi="Times New Roman" w:eastAsia="宋体" w:cs="Times New Roman"/>
                <w:color w:val="auto"/>
                <w:sz w:val="24"/>
                <w:highlight w:val="none"/>
              </w:rPr>
              <w:t>39度</w:t>
            </w:r>
            <w:r>
              <w:rPr>
                <w:rFonts w:hint="eastAsia" w:cs="Times New Roman"/>
                <w:color w:val="auto"/>
                <w:sz w:val="24"/>
                <w:highlight w:val="none"/>
                <w:lang w:val="en-US" w:eastAsia="zh-CN"/>
              </w:rPr>
              <w:t>57</w:t>
            </w:r>
            <w:r>
              <w:rPr>
                <w:rFonts w:hint="eastAsia" w:ascii="Times New Roman" w:hAnsi="Times New Roman" w:eastAsia="宋体" w:cs="Times New Roman"/>
                <w:color w:val="auto"/>
                <w:sz w:val="24"/>
                <w:highlight w:val="none"/>
              </w:rPr>
              <w:t>分</w:t>
            </w:r>
            <w:r>
              <w:rPr>
                <w:rFonts w:hint="eastAsia" w:cs="Times New Roman"/>
                <w:color w:val="auto"/>
                <w:sz w:val="24"/>
                <w:highlight w:val="none"/>
                <w:lang w:val="en-US" w:eastAsia="zh-CN"/>
              </w:rPr>
              <w:t>44.520</w:t>
            </w:r>
            <w:r>
              <w:rPr>
                <w:rFonts w:hint="eastAsia" w:ascii="Times New Roman" w:hAnsi="Times New Roman" w:eastAsia="宋体" w:cs="Times New Roman"/>
                <w:color w:val="auto"/>
                <w:sz w:val="24"/>
                <w:highlight w:val="none"/>
              </w:rPr>
              <w:t>秒</w:t>
            </w:r>
          </w:p>
        </w:tc>
      </w:tr>
      <w:tr w14:paraId="17F8E2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2129" w:type="dxa"/>
            <w:tcMar>
              <w:top w:w="16" w:type="dxa"/>
              <w:left w:w="16" w:type="dxa"/>
              <w:right w:w="16" w:type="dxa"/>
            </w:tcMar>
            <w:vAlign w:val="center"/>
          </w:tcPr>
          <w:p w14:paraId="61E320A1">
            <w:pPr>
              <w:adjustRightInd w:val="0"/>
              <w:snapToGrid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国民经济行业类别</w:t>
            </w:r>
          </w:p>
        </w:tc>
        <w:tc>
          <w:tcPr>
            <w:tcW w:w="1968" w:type="dxa"/>
            <w:vAlign w:val="center"/>
          </w:tcPr>
          <w:p w14:paraId="5E2552B8">
            <w:pPr>
              <w:adjustRightInd w:val="0"/>
              <w:snapToGrid w:val="0"/>
              <w:jc w:val="center"/>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M7320工程和技术研究和实验发展</w:t>
            </w:r>
          </w:p>
        </w:tc>
        <w:tc>
          <w:tcPr>
            <w:tcW w:w="2134" w:type="dxa"/>
            <w:vAlign w:val="center"/>
          </w:tcPr>
          <w:p w14:paraId="5B6ED8A5">
            <w:pPr>
              <w:adjustRightInd w:val="0"/>
              <w:snapToGrid w:val="0"/>
              <w:jc w:val="center"/>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建设项目行业类别</w:t>
            </w:r>
          </w:p>
        </w:tc>
        <w:tc>
          <w:tcPr>
            <w:tcW w:w="2639" w:type="dxa"/>
            <w:vAlign w:val="center"/>
          </w:tcPr>
          <w:p w14:paraId="191A1088">
            <w:pPr>
              <w:adjustRightInd w:val="0"/>
              <w:snapToGrid w:val="0"/>
              <w:jc w:val="center"/>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四十五、研究和实验发展，98.专业实验室、研发（实验）基地</w:t>
            </w:r>
          </w:p>
        </w:tc>
      </w:tr>
      <w:tr w14:paraId="537203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2129" w:type="dxa"/>
            <w:tcMar>
              <w:top w:w="16" w:type="dxa"/>
              <w:left w:w="16" w:type="dxa"/>
              <w:right w:w="16" w:type="dxa"/>
            </w:tcMar>
            <w:vAlign w:val="center"/>
          </w:tcPr>
          <w:p w14:paraId="421867C8">
            <w:pPr>
              <w:adjustRightInd w:val="0"/>
              <w:snapToGrid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建设性质</w:t>
            </w:r>
          </w:p>
        </w:tc>
        <w:tc>
          <w:tcPr>
            <w:tcW w:w="1968" w:type="dxa"/>
            <w:vAlign w:val="center"/>
          </w:tcPr>
          <w:p w14:paraId="3D5249B6">
            <w:pPr>
              <w:jc w:val="left"/>
              <w:rPr>
                <w:rFonts w:hint="eastAsia" w:ascii="Times New Roman" w:hAnsi="Times New Roman" w:eastAsia="宋体" w:cs="Times New Roman"/>
                <w:color w:val="auto"/>
                <w:sz w:val="24"/>
                <w:highlight w:val="none"/>
                <w:lang w:eastAsia="zh-CN"/>
              </w:rPr>
            </w:pPr>
            <w:r>
              <w:rPr>
                <w:rFonts w:hint="eastAsia" w:cs="Times New Roman"/>
                <w:color w:val="auto"/>
                <w:sz w:val="24"/>
                <w:highlight w:val="none"/>
                <w:lang w:eastAsia="zh-CN"/>
              </w:rPr>
              <w:t>☑</w:t>
            </w:r>
            <w:r>
              <w:rPr>
                <w:rFonts w:hint="default" w:ascii="Times New Roman" w:hAnsi="Times New Roman" w:eastAsia="宋体" w:cs="Times New Roman"/>
                <w:color w:val="auto"/>
                <w:sz w:val="24"/>
                <w:highlight w:val="none"/>
              </w:rPr>
              <w:t>新建</w:t>
            </w:r>
          </w:p>
          <w:p w14:paraId="18E28DBB">
            <w:pPr>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sym w:font="Wingdings 2" w:char="00A3"/>
            </w:r>
            <w:r>
              <w:rPr>
                <w:rFonts w:hint="default" w:ascii="Times New Roman" w:hAnsi="Times New Roman" w:eastAsia="宋体" w:cs="Times New Roman"/>
                <w:color w:val="auto"/>
                <w:sz w:val="24"/>
                <w:highlight w:val="none"/>
              </w:rPr>
              <w:t>改建</w:t>
            </w:r>
          </w:p>
          <w:p w14:paraId="466404C4">
            <w:pPr>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sym w:font="Wingdings 2" w:char="00A3"/>
            </w:r>
            <w:r>
              <w:rPr>
                <w:rFonts w:hint="default" w:ascii="Times New Roman" w:hAnsi="Times New Roman" w:eastAsia="宋体" w:cs="Times New Roman"/>
                <w:color w:val="auto"/>
                <w:sz w:val="24"/>
                <w:highlight w:val="none"/>
              </w:rPr>
              <w:t>扩建</w:t>
            </w:r>
          </w:p>
          <w:p w14:paraId="0617B823">
            <w:pPr>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sym w:font="Wingdings 2" w:char="00A3"/>
            </w:r>
            <w:r>
              <w:rPr>
                <w:rFonts w:hint="default" w:ascii="Times New Roman" w:hAnsi="Times New Roman" w:eastAsia="宋体" w:cs="Times New Roman"/>
                <w:color w:val="auto"/>
                <w:sz w:val="24"/>
                <w:highlight w:val="none"/>
              </w:rPr>
              <w:t>技术改造</w:t>
            </w:r>
          </w:p>
        </w:tc>
        <w:tc>
          <w:tcPr>
            <w:tcW w:w="2134" w:type="dxa"/>
            <w:vAlign w:val="center"/>
          </w:tcPr>
          <w:p w14:paraId="56FFBD87">
            <w:pPr>
              <w:adjustRightInd w:val="0"/>
              <w:snapToGrid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建设项目申报情形</w:t>
            </w:r>
          </w:p>
        </w:tc>
        <w:tc>
          <w:tcPr>
            <w:tcW w:w="2639" w:type="dxa"/>
            <w:vAlign w:val="center"/>
          </w:tcPr>
          <w:p w14:paraId="2C16C155">
            <w:pPr>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☑首次申报项目</w:t>
            </w:r>
          </w:p>
          <w:p w14:paraId="000392D4">
            <w:pPr>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sym w:font="Wingdings 2" w:char="00A3"/>
            </w:r>
            <w:r>
              <w:rPr>
                <w:rFonts w:hint="default" w:ascii="Times New Roman" w:hAnsi="Times New Roman" w:eastAsia="宋体" w:cs="Times New Roman"/>
                <w:color w:val="auto"/>
                <w:sz w:val="24"/>
                <w:highlight w:val="none"/>
              </w:rPr>
              <w:t>不予批准后再次申报项目</w:t>
            </w:r>
          </w:p>
          <w:p w14:paraId="2424844B">
            <w:pPr>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sym w:font="Wingdings 2" w:char="00A3"/>
            </w:r>
            <w:r>
              <w:rPr>
                <w:rFonts w:hint="default" w:ascii="Times New Roman" w:hAnsi="Times New Roman" w:eastAsia="宋体" w:cs="Times New Roman"/>
                <w:color w:val="auto"/>
                <w:sz w:val="24"/>
                <w:highlight w:val="none"/>
              </w:rPr>
              <w:t>超五年重新审核项目</w:t>
            </w:r>
          </w:p>
          <w:p w14:paraId="27F3EA58">
            <w:pPr>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sym w:font="Wingdings 2" w:char="00A3"/>
            </w:r>
            <w:r>
              <w:rPr>
                <w:rFonts w:hint="default" w:ascii="Times New Roman" w:hAnsi="Times New Roman" w:eastAsia="宋体" w:cs="Times New Roman"/>
                <w:color w:val="auto"/>
                <w:sz w:val="24"/>
                <w:highlight w:val="none"/>
              </w:rPr>
              <w:t>重大变动重新报批项目</w:t>
            </w:r>
          </w:p>
        </w:tc>
      </w:tr>
      <w:tr w14:paraId="176399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73" w:hRule="atLeast"/>
          <w:jc w:val="center"/>
        </w:trPr>
        <w:tc>
          <w:tcPr>
            <w:tcW w:w="2129" w:type="dxa"/>
            <w:tcMar>
              <w:top w:w="16" w:type="dxa"/>
              <w:left w:w="16" w:type="dxa"/>
              <w:right w:w="16" w:type="dxa"/>
            </w:tcMar>
            <w:vAlign w:val="center"/>
          </w:tcPr>
          <w:p w14:paraId="57EA1511">
            <w:pPr>
              <w:adjustRightInd w:val="0"/>
              <w:snapToGrid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项目审批（核准/备案）部门（选填）</w:t>
            </w:r>
          </w:p>
        </w:tc>
        <w:tc>
          <w:tcPr>
            <w:tcW w:w="1968" w:type="dxa"/>
            <w:vAlign w:val="center"/>
          </w:tcPr>
          <w:p w14:paraId="4A370B49">
            <w:pPr>
              <w:adjustRightInd w:val="0"/>
              <w:snapToGrid w:val="0"/>
              <w:jc w:val="center"/>
              <w:rPr>
                <w:rFonts w:hint="default" w:ascii="Times New Roman" w:hAnsi="Times New Roman" w:eastAsia="宋体" w:cs="Times New Roman"/>
                <w:color w:val="auto"/>
                <w:sz w:val="24"/>
                <w:highlight w:val="none"/>
                <w:lang w:val="en-US" w:eastAsia="zh-CN"/>
              </w:rPr>
            </w:pPr>
            <w:r>
              <w:rPr>
                <w:rFonts w:hint="eastAsia" w:cs="Times New Roman"/>
                <w:color w:val="auto"/>
                <w:sz w:val="24"/>
                <w:highlight w:val="none"/>
                <w:lang w:val="en-US" w:eastAsia="zh-CN"/>
              </w:rPr>
              <w:t>无</w:t>
            </w:r>
          </w:p>
        </w:tc>
        <w:tc>
          <w:tcPr>
            <w:tcW w:w="2134" w:type="dxa"/>
            <w:vAlign w:val="center"/>
          </w:tcPr>
          <w:p w14:paraId="3CB8CEC1">
            <w:pPr>
              <w:adjustRightInd w:val="0"/>
              <w:snapToGrid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项目审批（核准/</w:t>
            </w:r>
          </w:p>
          <w:p w14:paraId="18E096C9">
            <w:pPr>
              <w:adjustRightInd w:val="0"/>
              <w:snapToGrid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备案）文号（选填）</w:t>
            </w:r>
          </w:p>
        </w:tc>
        <w:tc>
          <w:tcPr>
            <w:tcW w:w="2639" w:type="dxa"/>
            <w:shd w:val="clear" w:color="auto" w:fill="auto"/>
            <w:vAlign w:val="center"/>
          </w:tcPr>
          <w:p w14:paraId="2B328C14">
            <w:pPr>
              <w:adjustRightInd w:val="0"/>
              <w:snapToGrid w:val="0"/>
              <w:jc w:val="center"/>
              <w:rPr>
                <w:rFonts w:hint="default" w:ascii="Times New Roman" w:hAnsi="Times New Roman" w:eastAsia="宋体" w:cs="Times New Roman"/>
                <w:color w:val="auto"/>
                <w:sz w:val="24"/>
                <w:highlight w:val="none"/>
                <w:lang w:val="en-US" w:eastAsia="zh-CN"/>
              </w:rPr>
            </w:pPr>
            <w:r>
              <w:rPr>
                <w:rFonts w:hint="eastAsia" w:cs="Times New Roman"/>
                <w:color w:val="auto"/>
                <w:sz w:val="24"/>
                <w:highlight w:val="none"/>
                <w:lang w:val="en-US" w:eastAsia="zh-CN"/>
              </w:rPr>
              <w:t>无</w:t>
            </w:r>
          </w:p>
        </w:tc>
      </w:tr>
      <w:tr w14:paraId="0743A8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129" w:type="dxa"/>
            <w:tcMar>
              <w:top w:w="16" w:type="dxa"/>
              <w:left w:w="16" w:type="dxa"/>
              <w:right w:w="16" w:type="dxa"/>
            </w:tcMar>
            <w:vAlign w:val="center"/>
          </w:tcPr>
          <w:p w14:paraId="62F14960">
            <w:pPr>
              <w:adjustRightInd w:val="0"/>
              <w:snapToGrid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总投资（万元）</w:t>
            </w:r>
          </w:p>
        </w:tc>
        <w:tc>
          <w:tcPr>
            <w:tcW w:w="1968" w:type="dxa"/>
            <w:vAlign w:val="center"/>
          </w:tcPr>
          <w:p w14:paraId="5D98C070">
            <w:pPr>
              <w:adjustRightInd w:val="0"/>
              <w:snapToGrid w:val="0"/>
              <w:jc w:val="center"/>
              <w:rPr>
                <w:rFonts w:hint="default" w:ascii="Times New Roman" w:hAnsi="Times New Roman" w:eastAsia="宋体" w:cs="Times New Roman"/>
                <w:color w:val="auto"/>
                <w:sz w:val="24"/>
                <w:highlight w:val="none"/>
                <w:lang w:val="en-US" w:eastAsia="zh-CN"/>
              </w:rPr>
            </w:pPr>
            <w:r>
              <w:rPr>
                <w:rFonts w:hint="eastAsia" w:cs="Times New Roman"/>
                <w:color w:val="auto"/>
                <w:sz w:val="24"/>
                <w:highlight w:val="none"/>
                <w:lang w:val="en-US" w:eastAsia="zh-CN"/>
              </w:rPr>
              <w:t>3400</w:t>
            </w:r>
          </w:p>
        </w:tc>
        <w:tc>
          <w:tcPr>
            <w:tcW w:w="2134" w:type="dxa"/>
            <w:tcMar>
              <w:top w:w="16" w:type="dxa"/>
              <w:left w:w="16" w:type="dxa"/>
              <w:right w:w="16" w:type="dxa"/>
            </w:tcMar>
            <w:vAlign w:val="center"/>
          </w:tcPr>
          <w:p w14:paraId="481B7D5A">
            <w:pPr>
              <w:adjustRightInd w:val="0"/>
              <w:snapToGrid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环保投资（万元）</w:t>
            </w:r>
          </w:p>
        </w:tc>
        <w:tc>
          <w:tcPr>
            <w:tcW w:w="2639" w:type="dxa"/>
            <w:vAlign w:val="center"/>
          </w:tcPr>
          <w:p w14:paraId="61A4B86A">
            <w:pPr>
              <w:adjustRightInd w:val="0"/>
              <w:snapToGrid w:val="0"/>
              <w:jc w:val="center"/>
              <w:rPr>
                <w:rFonts w:hint="default" w:ascii="Times New Roman" w:hAnsi="Times New Roman" w:eastAsia="宋体" w:cs="Times New Roman"/>
                <w:color w:val="auto"/>
                <w:sz w:val="24"/>
                <w:highlight w:val="none"/>
                <w:lang w:val="en-US" w:eastAsia="zh-CN"/>
              </w:rPr>
            </w:pPr>
            <w:r>
              <w:rPr>
                <w:rFonts w:hint="eastAsia" w:cs="Times New Roman"/>
                <w:color w:val="auto"/>
                <w:sz w:val="24"/>
                <w:highlight w:val="none"/>
                <w:lang w:val="en-US" w:eastAsia="zh-CN"/>
              </w:rPr>
              <w:t>50</w:t>
            </w:r>
          </w:p>
        </w:tc>
      </w:tr>
      <w:tr w14:paraId="1202BD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129" w:type="dxa"/>
            <w:tcMar>
              <w:top w:w="16" w:type="dxa"/>
              <w:left w:w="16" w:type="dxa"/>
              <w:right w:w="16" w:type="dxa"/>
            </w:tcMar>
            <w:vAlign w:val="center"/>
          </w:tcPr>
          <w:p w14:paraId="49ACC8D4">
            <w:pPr>
              <w:adjustRightInd w:val="0"/>
              <w:snapToGrid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环保投资占比（%）</w:t>
            </w:r>
          </w:p>
        </w:tc>
        <w:tc>
          <w:tcPr>
            <w:tcW w:w="1968" w:type="dxa"/>
            <w:vAlign w:val="center"/>
          </w:tcPr>
          <w:p w14:paraId="04A13E04">
            <w:pPr>
              <w:adjustRightInd w:val="0"/>
              <w:snapToGrid w:val="0"/>
              <w:jc w:val="center"/>
              <w:rPr>
                <w:rFonts w:hint="default" w:ascii="Times New Roman" w:hAnsi="Times New Roman" w:eastAsia="宋体" w:cs="Times New Roman"/>
                <w:color w:val="auto"/>
                <w:sz w:val="24"/>
                <w:highlight w:val="none"/>
                <w:lang w:val="en-US" w:eastAsia="zh-CN"/>
              </w:rPr>
            </w:pPr>
            <w:r>
              <w:rPr>
                <w:rFonts w:hint="eastAsia" w:cs="Times New Roman"/>
                <w:color w:val="auto"/>
                <w:sz w:val="24"/>
                <w:highlight w:val="none"/>
                <w:lang w:val="en-US" w:eastAsia="zh-CN"/>
              </w:rPr>
              <w:t>1.47</w:t>
            </w:r>
          </w:p>
        </w:tc>
        <w:tc>
          <w:tcPr>
            <w:tcW w:w="2134" w:type="dxa"/>
            <w:tcMar>
              <w:top w:w="16" w:type="dxa"/>
              <w:left w:w="16" w:type="dxa"/>
              <w:right w:w="16" w:type="dxa"/>
            </w:tcMar>
            <w:vAlign w:val="center"/>
          </w:tcPr>
          <w:p w14:paraId="38D4E07E">
            <w:pPr>
              <w:adjustRightInd w:val="0"/>
              <w:snapToGrid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施工工期</w:t>
            </w:r>
          </w:p>
        </w:tc>
        <w:tc>
          <w:tcPr>
            <w:tcW w:w="2639" w:type="dxa"/>
            <w:vAlign w:val="center"/>
          </w:tcPr>
          <w:p w14:paraId="59B50EB9">
            <w:pPr>
              <w:adjustRightInd w:val="0"/>
              <w:snapToGrid w:val="0"/>
              <w:jc w:val="center"/>
              <w:rPr>
                <w:rFonts w:hint="default" w:ascii="Times New Roman" w:hAnsi="Times New Roman" w:eastAsia="宋体" w:cs="Times New Roman"/>
                <w:color w:val="auto"/>
                <w:sz w:val="24"/>
                <w:highlight w:val="none"/>
              </w:rPr>
            </w:pPr>
            <w:r>
              <w:rPr>
                <w:rFonts w:hint="eastAsia" w:cs="Times New Roman"/>
                <w:color w:val="auto"/>
                <w:sz w:val="24"/>
                <w:highlight w:val="none"/>
                <w:lang w:val="en-US" w:eastAsia="zh-CN"/>
              </w:rPr>
              <w:t>2</w:t>
            </w:r>
            <w:r>
              <w:rPr>
                <w:rFonts w:hint="default" w:ascii="Times New Roman" w:hAnsi="Times New Roman" w:eastAsia="宋体" w:cs="Times New Roman"/>
                <w:color w:val="auto"/>
                <w:sz w:val="24"/>
                <w:highlight w:val="none"/>
              </w:rPr>
              <w:t>个月</w:t>
            </w:r>
          </w:p>
        </w:tc>
      </w:tr>
      <w:tr w14:paraId="69B485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129" w:type="dxa"/>
            <w:tcMar>
              <w:top w:w="16" w:type="dxa"/>
              <w:left w:w="16" w:type="dxa"/>
              <w:right w:w="16" w:type="dxa"/>
            </w:tcMar>
            <w:vAlign w:val="center"/>
          </w:tcPr>
          <w:p w14:paraId="0E3DFEF4">
            <w:pPr>
              <w:adjustRightInd w:val="0"/>
              <w:snapToGrid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是否开工建设</w:t>
            </w:r>
          </w:p>
        </w:tc>
        <w:tc>
          <w:tcPr>
            <w:tcW w:w="1968" w:type="dxa"/>
            <w:vAlign w:val="center"/>
          </w:tcPr>
          <w:p w14:paraId="7B6A8ACA">
            <w:pPr>
              <w:adjustRightInd w:val="0"/>
              <w:snapToGrid w:val="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☑否</w:t>
            </w:r>
          </w:p>
          <w:p w14:paraId="415B5168">
            <w:pPr>
              <w:adjustRightInd w:val="0"/>
              <w:snapToGrid w:val="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sym w:font="Wingdings 2" w:char="00A3"/>
            </w:r>
            <w:r>
              <w:rPr>
                <w:rFonts w:hint="default" w:ascii="Times New Roman" w:hAnsi="Times New Roman" w:eastAsia="宋体" w:cs="Times New Roman"/>
                <w:color w:val="auto"/>
                <w:sz w:val="24"/>
                <w:highlight w:val="none"/>
              </w:rPr>
              <w:t>是：</w:t>
            </w:r>
          </w:p>
        </w:tc>
        <w:tc>
          <w:tcPr>
            <w:tcW w:w="2134" w:type="dxa"/>
            <w:tcMar>
              <w:top w:w="16" w:type="dxa"/>
              <w:left w:w="16" w:type="dxa"/>
              <w:right w:w="16" w:type="dxa"/>
            </w:tcMar>
            <w:vAlign w:val="center"/>
          </w:tcPr>
          <w:p w14:paraId="674EDD84">
            <w:pPr>
              <w:adjustRightInd w:val="0"/>
              <w:snapToGrid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用地（用海）</w:t>
            </w:r>
          </w:p>
          <w:p w14:paraId="57950FE1">
            <w:pPr>
              <w:adjustRightInd w:val="0"/>
              <w:snapToGrid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面积（m</w:t>
            </w:r>
            <w:r>
              <w:rPr>
                <w:rFonts w:hint="default" w:ascii="Times New Roman" w:hAnsi="Times New Roman" w:eastAsia="宋体" w:cs="Times New Roman"/>
                <w:color w:val="auto"/>
                <w:sz w:val="24"/>
                <w:highlight w:val="none"/>
                <w:vertAlign w:val="superscript"/>
              </w:rPr>
              <w:t>2</w:t>
            </w:r>
            <w:r>
              <w:rPr>
                <w:rFonts w:hint="default" w:ascii="Times New Roman" w:hAnsi="Times New Roman" w:eastAsia="宋体" w:cs="Times New Roman"/>
                <w:color w:val="auto"/>
                <w:sz w:val="24"/>
                <w:highlight w:val="none"/>
              </w:rPr>
              <w:t>）</w:t>
            </w:r>
          </w:p>
        </w:tc>
        <w:tc>
          <w:tcPr>
            <w:tcW w:w="2639" w:type="dxa"/>
            <w:vAlign w:val="center"/>
          </w:tcPr>
          <w:p w14:paraId="0C8F1F68">
            <w:pPr>
              <w:adjustRightInd w:val="0"/>
              <w:snapToGrid w:val="0"/>
              <w:jc w:val="center"/>
              <w:rPr>
                <w:rFonts w:hint="default" w:ascii="Times New Roman" w:hAnsi="Times New Roman" w:eastAsia="宋体" w:cs="Times New Roman"/>
                <w:color w:val="auto"/>
                <w:sz w:val="24"/>
                <w:highlight w:val="none"/>
                <w:lang w:val="en-US" w:eastAsia="zh-CN"/>
              </w:rPr>
            </w:pPr>
            <w:r>
              <w:rPr>
                <w:rFonts w:hint="eastAsia" w:cs="Times New Roman"/>
                <w:color w:val="auto"/>
                <w:sz w:val="24"/>
                <w:highlight w:val="none"/>
                <w:lang w:val="en-US" w:eastAsia="zh-CN"/>
              </w:rPr>
              <w:t>529.3</w:t>
            </w:r>
          </w:p>
        </w:tc>
      </w:tr>
      <w:tr w14:paraId="6D5BC5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4" w:hRule="atLeast"/>
          <w:jc w:val="center"/>
        </w:trPr>
        <w:tc>
          <w:tcPr>
            <w:tcW w:w="2129" w:type="dxa"/>
            <w:vAlign w:val="center"/>
          </w:tcPr>
          <w:p w14:paraId="4D647DEF">
            <w:pPr>
              <w:autoSpaceDE w:val="0"/>
              <w:autoSpaceDN w:val="0"/>
              <w:adjustRightInd w:val="0"/>
              <w:snapToGrid w:val="0"/>
              <w:jc w:val="center"/>
              <w:rPr>
                <w:rFonts w:hint="default" w:ascii="Times New Roman" w:hAnsi="Times New Roman" w:eastAsia="宋体" w:cs="Times New Roman"/>
                <w:color w:val="auto"/>
                <w:kern w:val="0"/>
                <w:sz w:val="24"/>
                <w:highlight w:val="none"/>
              </w:rPr>
            </w:pPr>
            <w:r>
              <w:rPr>
                <w:rFonts w:hint="default" w:ascii="Times New Roman" w:hAnsi="Times New Roman" w:eastAsia="宋体" w:cs="Times New Roman"/>
                <w:color w:val="auto"/>
                <w:kern w:val="0"/>
                <w:sz w:val="24"/>
                <w:highlight w:val="none"/>
              </w:rPr>
              <w:t>专项评价设置情况</w:t>
            </w:r>
          </w:p>
        </w:tc>
        <w:tc>
          <w:tcPr>
            <w:tcW w:w="6741" w:type="dxa"/>
            <w:gridSpan w:val="3"/>
            <w:vAlign w:val="center"/>
          </w:tcPr>
          <w:p w14:paraId="23401B15">
            <w:pPr>
              <w:autoSpaceDE w:val="0"/>
              <w:autoSpaceDN w:val="0"/>
              <w:adjustRightInd w:val="0"/>
              <w:snapToGrid w:val="0"/>
              <w:jc w:val="center"/>
              <w:rPr>
                <w:rFonts w:hint="default" w:ascii="Times New Roman" w:hAnsi="Times New Roman" w:eastAsia="宋体" w:cs="Times New Roman"/>
                <w:color w:val="auto"/>
                <w:kern w:val="0"/>
                <w:sz w:val="24"/>
                <w:highlight w:val="none"/>
              </w:rPr>
            </w:pPr>
            <w:r>
              <w:rPr>
                <w:rFonts w:hint="default" w:ascii="Times New Roman" w:hAnsi="Times New Roman" w:eastAsia="宋体" w:cs="Times New Roman"/>
                <w:color w:val="auto"/>
                <w:kern w:val="0"/>
                <w:sz w:val="24"/>
                <w:highlight w:val="none"/>
              </w:rPr>
              <w:t>无</w:t>
            </w:r>
          </w:p>
        </w:tc>
      </w:tr>
      <w:tr w14:paraId="05B80E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11" w:hRule="atLeast"/>
          <w:jc w:val="center"/>
        </w:trPr>
        <w:tc>
          <w:tcPr>
            <w:tcW w:w="2129" w:type="dxa"/>
            <w:vAlign w:val="center"/>
          </w:tcPr>
          <w:p w14:paraId="74B97286">
            <w:pPr>
              <w:autoSpaceDE w:val="0"/>
              <w:autoSpaceDN w:val="0"/>
              <w:adjustRightInd w:val="0"/>
              <w:snapToGrid w:val="0"/>
              <w:jc w:val="center"/>
              <w:rPr>
                <w:rFonts w:hint="default" w:ascii="Times New Roman" w:hAnsi="Times New Roman" w:eastAsia="宋体" w:cs="Times New Roman"/>
                <w:color w:val="auto"/>
                <w:kern w:val="0"/>
                <w:sz w:val="24"/>
                <w:highlight w:val="none"/>
              </w:rPr>
            </w:pPr>
            <w:r>
              <w:rPr>
                <w:rFonts w:hint="default" w:ascii="Times New Roman" w:hAnsi="Times New Roman" w:eastAsia="宋体" w:cs="Times New Roman"/>
                <w:color w:val="auto"/>
                <w:kern w:val="0"/>
                <w:sz w:val="24"/>
                <w:highlight w:val="none"/>
              </w:rPr>
              <w:t>规划情况</w:t>
            </w:r>
          </w:p>
        </w:tc>
        <w:tc>
          <w:tcPr>
            <w:tcW w:w="6741" w:type="dxa"/>
            <w:gridSpan w:val="3"/>
            <w:vAlign w:val="center"/>
          </w:tcPr>
          <w:p w14:paraId="08B79411">
            <w:pPr>
              <w:autoSpaceDE w:val="0"/>
              <w:autoSpaceDN w:val="0"/>
              <w:adjustRightInd w:val="0"/>
              <w:snapToGrid w:val="0"/>
              <w:jc w:val="center"/>
              <w:rPr>
                <w:rFonts w:hint="default" w:ascii="Times New Roman" w:hAnsi="Times New Roman" w:eastAsia="宋体" w:cs="Times New Roman"/>
                <w:color w:val="auto"/>
                <w:kern w:val="0"/>
                <w:sz w:val="24"/>
                <w:highlight w:val="none"/>
              </w:rPr>
            </w:pPr>
            <w:r>
              <w:rPr>
                <w:rFonts w:hint="default" w:ascii="Times New Roman" w:hAnsi="Times New Roman" w:eastAsia="宋体" w:cs="Times New Roman"/>
                <w:color w:val="auto"/>
                <w:kern w:val="0"/>
                <w:sz w:val="24"/>
                <w:highlight w:val="none"/>
              </w:rPr>
              <w:t>无</w:t>
            </w:r>
          </w:p>
        </w:tc>
      </w:tr>
      <w:tr w14:paraId="2B0177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2129" w:type="dxa"/>
            <w:tcBorders>
              <w:top w:val="single" w:color="auto" w:sz="4" w:space="0"/>
              <w:left w:val="single" w:color="auto" w:sz="8" w:space="0"/>
              <w:bottom w:val="single" w:color="auto" w:sz="4" w:space="0"/>
              <w:right w:val="single" w:color="auto" w:sz="4" w:space="0"/>
            </w:tcBorders>
            <w:vAlign w:val="center"/>
          </w:tcPr>
          <w:p w14:paraId="01007D5E">
            <w:pPr>
              <w:autoSpaceDE w:val="0"/>
              <w:autoSpaceDN w:val="0"/>
              <w:adjustRightInd w:val="0"/>
              <w:snapToGrid w:val="0"/>
              <w:jc w:val="center"/>
              <w:rPr>
                <w:rFonts w:hint="default" w:ascii="Times New Roman" w:hAnsi="Times New Roman" w:eastAsia="宋体" w:cs="Times New Roman"/>
                <w:color w:val="auto"/>
                <w:kern w:val="0"/>
                <w:sz w:val="24"/>
                <w:highlight w:val="none"/>
              </w:rPr>
            </w:pPr>
            <w:r>
              <w:rPr>
                <w:rFonts w:hint="default" w:ascii="Times New Roman" w:hAnsi="Times New Roman" w:eastAsia="宋体" w:cs="Times New Roman"/>
                <w:color w:val="auto"/>
                <w:kern w:val="0"/>
                <w:sz w:val="24"/>
                <w:highlight w:val="none"/>
              </w:rPr>
              <w:t>规划环境影响评价情况</w:t>
            </w:r>
          </w:p>
        </w:tc>
        <w:tc>
          <w:tcPr>
            <w:tcW w:w="6741" w:type="dxa"/>
            <w:gridSpan w:val="3"/>
            <w:tcBorders>
              <w:top w:val="single" w:color="auto" w:sz="4" w:space="0"/>
              <w:left w:val="single" w:color="auto" w:sz="4" w:space="0"/>
              <w:bottom w:val="single" w:color="auto" w:sz="4" w:space="0"/>
              <w:right w:val="single" w:color="auto" w:sz="8" w:space="0"/>
            </w:tcBorders>
            <w:vAlign w:val="center"/>
          </w:tcPr>
          <w:p w14:paraId="7F278AB6">
            <w:pPr>
              <w:autoSpaceDE w:val="0"/>
              <w:autoSpaceDN w:val="0"/>
              <w:adjustRightInd w:val="0"/>
              <w:snapToGrid w:val="0"/>
              <w:jc w:val="center"/>
              <w:rPr>
                <w:rFonts w:hint="default" w:ascii="Times New Roman" w:hAnsi="Times New Roman" w:eastAsia="宋体" w:cs="Times New Roman"/>
                <w:color w:val="auto"/>
                <w:kern w:val="0"/>
                <w:sz w:val="24"/>
                <w:highlight w:val="none"/>
              </w:rPr>
            </w:pPr>
            <w:r>
              <w:rPr>
                <w:rFonts w:hint="default" w:ascii="Times New Roman" w:hAnsi="Times New Roman" w:eastAsia="宋体" w:cs="Times New Roman"/>
                <w:color w:val="auto"/>
                <w:kern w:val="0"/>
                <w:sz w:val="24"/>
                <w:highlight w:val="none"/>
              </w:rPr>
              <w:t>无</w:t>
            </w:r>
          </w:p>
        </w:tc>
      </w:tr>
      <w:tr w14:paraId="5068B6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14" w:hRule="atLeast"/>
          <w:jc w:val="center"/>
        </w:trPr>
        <w:tc>
          <w:tcPr>
            <w:tcW w:w="2129" w:type="dxa"/>
            <w:tcBorders>
              <w:top w:val="single" w:color="auto" w:sz="4" w:space="0"/>
              <w:left w:val="single" w:color="auto" w:sz="8" w:space="0"/>
              <w:bottom w:val="single" w:color="auto" w:sz="4" w:space="0"/>
              <w:right w:val="single" w:color="auto" w:sz="4" w:space="0"/>
            </w:tcBorders>
            <w:vAlign w:val="center"/>
          </w:tcPr>
          <w:p w14:paraId="724AC9AB">
            <w:pPr>
              <w:autoSpaceDE w:val="0"/>
              <w:autoSpaceDN w:val="0"/>
              <w:adjustRightInd w:val="0"/>
              <w:snapToGrid w:val="0"/>
              <w:jc w:val="center"/>
              <w:rPr>
                <w:rFonts w:hint="default" w:ascii="Times New Roman" w:hAnsi="Times New Roman" w:eastAsia="宋体" w:cs="Times New Roman"/>
                <w:color w:val="auto"/>
                <w:kern w:val="0"/>
                <w:sz w:val="24"/>
                <w:highlight w:val="none"/>
              </w:rPr>
            </w:pPr>
            <w:r>
              <w:rPr>
                <w:rFonts w:hint="default" w:ascii="Times New Roman" w:hAnsi="Times New Roman" w:eastAsia="宋体" w:cs="Times New Roman"/>
                <w:color w:val="auto"/>
                <w:kern w:val="0"/>
                <w:sz w:val="24"/>
                <w:highlight w:val="none"/>
              </w:rPr>
              <w:t>规划及规划环境影响评价符合性分析</w:t>
            </w:r>
          </w:p>
        </w:tc>
        <w:tc>
          <w:tcPr>
            <w:tcW w:w="6741" w:type="dxa"/>
            <w:gridSpan w:val="3"/>
            <w:tcBorders>
              <w:top w:val="single" w:color="auto" w:sz="4" w:space="0"/>
              <w:left w:val="single" w:color="auto" w:sz="4" w:space="0"/>
              <w:bottom w:val="single" w:color="auto" w:sz="4" w:space="0"/>
              <w:right w:val="single" w:color="auto" w:sz="8" w:space="0"/>
            </w:tcBorders>
            <w:vAlign w:val="center"/>
          </w:tcPr>
          <w:p w14:paraId="070E7344">
            <w:pPr>
              <w:autoSpaceDE w:val="0"/>
              <w:autoSpaceDN w:val="0"/>
              <w:adjustRightInd w:val="0"/>
              <w:snapToGrid w:val="0"/>
              <w:jc w:val="center"/>
              <w:rPr>
                <w:rFonts w:hint="default" w:ascii="Times New Roman" w:hAnsi="Times New Roman" w:eastAsia="宋体" w:cs="Times New Roman"/>
                <w:color w:val="auto"/>
                <w:kern w:val="0"/>
                <w:sz w:val="24"/>
                <w:highlight w:val="none"/>
              </w:rPr>
            </w:pPr>
            <w:r>
              <w:rPr>
                <w:rFonts w:hint="default" w:ascii="Times New Roman" w:hAnsi="Times New Roman" w:eastAsia="宋体" w:cs="Times New Roman"/>
                <w:color w:val="auto"/>
                <w:kern w:val="0"/>
                <w:sz w:val="24"/>
                <w:highlight w:val="none"/>
              </w:rPr>
              <w:t>无</w:t>
            </w:r>
          </w:p>
        </w:tc>
      </w:tr>
      <w:tr w14:paraId="641DA9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68" w:hRule="atLeast"/>
          <w:jc w:val="center"/>
        </w:trPr>
        <w:tc>
          <w:tcPr>
            <w:tcW w:w="2129" w:type="dxa"/>
            <w:tcBorders>
              <w:top w:val="single" w:color="auto" w:sz="4" w:space="0"/>
              <w:left w:val="single" w:color="auto" w:sz="8" w:space="0"/>
              <w:bottom w:val="single" w:color="auto" w:sz="4" w:space="0"/>
              <w:right w:val="single" w:color="auto" w:sz="4" w:space="0"/>
            </w:tcBorders>
            <w:vAlign w:val="center"/>
          </w:tcPr>
          <w:p w14:paraId="5C2B01FC">
            <w:pPr>
              <w:autoSpaceDE w:val="0"/>
              <w:autoSpaceDN w:val="0"/>
              <w:adjustRightInd w:val="0"/>
              <w:snapToGrid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kern w:val="0"/>
                <w:sz w:val="24"/>
                <w:highlight w:val="none"/>
              </w:rPr>
              <w:t>其他符合性分析</w:t>
            </w:r>
          </w:p>
        </w:tc>
        <w:tc>
          <w:tcPr>
            <w:tcW w:w="6741" w:type="dxa"/>
            <w:gridSpan w:val="3"/>
            <w:tcBorders>
              <w:top w:val="single" w:color="auto" w:sz="4" w:space="0"/>
              <w:left w:val="single" w:color="auto" w:sz="4" w:space="0"/>
              <w:bottom w:val="single" w:color="auto" w:sz="4" w:space="0"/>
              <w:right w:val="single" w:color="auto" w:sz="8" w:space="0"/>
            </w:tcBorders>
          </w:tcPr>
          <w:p w14:paraId="78F7F596">
            <w:pPr>
              <w:numPr>
                <w:ilvl w:val="0"/>
                <w:numId w:val="1"/>
              </w:numPr>
              <w:spacing w:line="360" w:lineRule="auto"/>
              <w:ind w:firstLine="482"/>
              <w:rPr>
                <w:rFonts w:hint="default" w:ascii="Times New Roman" w:hAnsi="Times New Roman" w:eastAsia="宋体" w:cs="Times New Roman"/>
                <w:b/>
                <w:bCs/>
                <w:color w:val="auto"/>
                <w:kern w:val="0"/>
                <w:sz w:val="24"/>
                <w:highlight w:val="none"/>
                <w:lang w:bidi="ar"/>
              </w:rPr>
            </w:pPr>
            <w:r>
              <w:rPr>
                <w:rFonts w:hint="default" w:ascii="Times New Roman" w:hAnsi="Times New Roman" w:eastAsia="宋体" w:cs="Times New Roman"/>
                <w:b/>
                <w:bCs/>
                <w:color w:val="auto"/>
                <w:kern w:val="0"/>
                <w:sz w:val="24"/>
                <w:highlight w:val="none"/>
                <w:lang w:bidi="ar"/>
              </w:rPr>
              <w:t>产业政策符合性分析：</w:t>
            </w:r>
          </w:p>
          <w:p w14:paraId="5B9581EA">
            <w:pPr>
              <w:spacing w:line="360" w:lineRule="auto"/>
              <w:ind w:firstLine="480" w:firstLineChars="200"/>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本项目</w:t>
            </w:r>
            <w:r>
              <w:rPr>
                <w:rFonts w:hint="default" w:ascii="Times New Roman" w:hAnsi="Times New Roman" w:eastAsia="宋体" w:cs="Times New Roman"/>
                <w:color w:val="auto"/>
                <w:kern w:val="0"/>
                <w:sz w:val="24"/>
                <w:highlight w:val="none"/>
                <w:lang w:val="en-US" w:eastAsia="zh-CN" w:bidi="ar"/>
              </w:rPr>
              <w:t>从事</w:t>
            </w:r>
            <w:r>
              <w:rPr>
                <w:rFonts w:hint="eastAsia" w:ascii="Times New Roman" w:hAnsi="Times New Roman" w:cs="Times New Roman"/>
                <w:color w:val="auto"/>
                <w:kern w:val="0"/>
                <w:sz w:val="24"/>
                <w:highlight w:val="none"/>
                <w:lang w:val="en-US" w:eastAsia="zh-CN" w:bidi="ar"/>
              </w:rPr>
              <w:t>电池材料</w:t>
            </w:r>
            <w:r>
              <w:rPr>
                <w:rFonts w:hint="default" w:ascii="Times New Roman" w:hAnsi="Times New Roman" w:eastAsia="宋体" w:cs="Times New Roman"/>
                <w:color w:val="auto"/>
                <w:kern w:val="0"/>
                <w:sz w:val="24"/>
                <w:highlight w:val="none"/>
                <w:lang w:val="en-US" w:eastAsia="zh-CN" w:bidi="ar"/>
              </w:rPr>
              <w:t>研发，</w:t>
            </w:r>
            <w:r>
              <w:rPr>
                <w:rFonts w:hint="default" w:ascii="Times New Roman" w:hAnsi="Times New Roman" w:eastAsia="宋体" w:cs="Times New Roman"/>
                <w:color w:val="auto"/>
                <w:kern w:val="0"/>
                <w:sz w:val="24"/>
                <w:highlight w:val="none"/>
                <w:lang w:bidi="ar"/>
              </w:rPr>
              <w:t>属于《产业结构调整指导目录（2024年本）》中</w:t>
            </w:r>
            <w:r>
              <w:rPr>
                <w:rFonts w:hint="eastAsia" w:ascii="Times New Roman" w:hAnsi="Times New Roman" w:eastAsia="宋体" w:cs="Times New Roman"/>
                <w:color w:val="auto"/>
                <w:kern w:val="0"/>
                <w:sz w:val="24"/>
                <w:highlight w:val="none"/>
                <w:lang w:eastAsia="zh-CN" w:bidi="ar"/>
              </w:rPr>
              <w:t>“</w:t>
            </w:r>
            <w:r>
              <w:rPr>
                <w:rFonts w:hint="default" w:ascii="Times New Roman" w:hAnsi="Times New Roman" w:eastAsia="宋体" w:cs="Times New Roman"/>
                <w:color w:val="auto"/>
                <w:kern w:val="0"/>
                <w:sz w:val="24"/>
                <w:highlight w:val="none"/>
                <w:lang w:val="en-US" w:eastAsia="zh-CN" w:bidi="ar"/>
              </w:rPr>
              <w:t>三十一、科技服务业</w:t>
            </w:r>
            <w:r>
              <w:rPr>
                <w:rFonts w:hint="eastAsia" w:ascii="Times New Roman" w:hAnsi="Times New Roman" w:eastAsia="宋体" w:cs="Times New Roman"/>
                <w:color w:val="auto"/>
                <w:kern w:val="0"/>
                <w:sz w:val="24"/>
                <w:highlight w:val="none"/>
                <w:lang w:eastAsia="zh-CN" w:bidi="ar"/>
              </w:rPr>
              <w:t>”</w:t>
            </w:r>
            <w:r>
              <w:rPr>
                <w:rFonts w:hint="eastAsia" w:cs="Times New Roman"/>
                <w:color w:val="auto"/>
                <w:kern w:val="0"/>
                <w:sz w:val="24"/>
                <w:highlight w:val="none"/>
                <w:lang w:val="en-US" w:eastAsia="zh-CN" w:bidi="ar"/>
              </w:rPr>
              <w:t>中，新材料科技服务业，属于“</w:t>
            </w:r>
            <w:r>
              <w:rPr>
                <w:rFonts w:hint="default" w:ascii="Times New Roman" w:hAnsi="Times New Roman" w:eastAsia="宋体" w:cs="Times New Roman"/>
                <w:color w:val="auto"/>
                <w:kern w:val="0"/>
                <w:sz w:val="24"/>
                <w:highlight w:val="none"/>
                <w:lang w:val="en-US" w:eastAsia="zh-CN" w:bidi="ar"/>
              </w:rPr>
              <w:t>鼓励类</w:t>
            </w:r>
            <w:r>
              <w:rPr>
                <w:rFonts w:hint="eastAsia" w:cs="Times New Roman"/>
                <w:color w:val="auto"/>
                <w:kern w:val="0"/>
                <w:sz w:val="24"/>
                <w:highlight w:val="none"/>
                <w:lang w:val="en-US" w:eastAsia="zh-CN" w:bidi="ar"/>
              </w:rPr>
              <w:t>”</w:t>
            </w:r>
            <w:r>
              <w:rPr>
                <w:rFonts w:hint="default" w:ascii="Times New Roman" w:hAnsi="Times New Roman" w:eastAsia="宋体" w:cs="Times New Roman"/>
                <w:color w:val="auto"/>
                <w:kern w:val="0"/>
                <w:sz w:val="24"/>
                <w:highlight w:val="none"/>
                <w:lang w:bidi="ar"/>
              </w:rPr>
              <w:t>项目。</w:t>
            </w:r>
          </w:p>
          <w:p w14:paraId="696CABD2">
            <w:pPr>
              <w:spacing w:line="360" w:lineRule="auto"/>
              <w:ind w:firstLine="480" w:firstLineChars="200"/>
              <w:rPr>
                <w:rFonts w:hint="default" w:ascii="Times New Roman" w:hAnsi="Times New Roman" w:eastAsia="宋体" w:cs="Times New Roman"/>
                <w:color w:val="auto"/>
                <w:kern w:val="0"/>
                <w:sz w:val="24"/>
                <w:highlight w:val="none"/>
                <w:lang w:eastAsia="zh-CN" w:bidi="ar"/>
              </w:rPr>
            </w:pPr>
            <w:r>
              <w:rPr>
                <w:rFonts w:hint="default" w:ascii="Times New Roman" w:hAnsi="Times New Roman" w:eastAsia="宋体" w:cs="Times New Roman"/>
                <w:color w:val="auto"/>
                <w:kern w:val="0"/>
                <w:sz w:val="24"/>
                <w:highlight w:val="none"/>
                <w:lang w:bidi="ar"/>
              </w:rPr>
              <w:t>本项目不属于《北京市新增产业的禁止和限制目录（2022年版）》中禁止和限制类中所列的项目</w:t>
            </w:r>
            <w:r>
              <w:rPr>
                <w:rFonts w:hint="default" w:ascii="Times New Roman" w:hAnsi="Times New Roman" w:eastAsia="宋体" w:cs="Times New Roman"/>
                <w:color w:val="auto"/>
                <w:kern w:val="0"/>
                <w:sz w:val="24"/>
                <w:highlight w:val="none"/>
                <w:lang w:eastAsia="zh-CN" w:bidi="ar"/>
              </w:rPr>
              <w:t>。</w:t>
            </w:r>
          </w:p>
          <w:p w14:paraId="0ACE11D9">
            <w:pPr>
              <w:spacing w:line="360" w:lineRule="auto"/>
              <w:ind w:firstLine="480" w:firstLineChars="200"/>
              <w:rPr>
                <w:rFonts w:hint="default" w:ascii="Times New Roman" w:hAnsi="Times New Roman" w:eastAsia="宋体" w:cs="Times New Roman"/>
                <w:color w:val="auto"/>
                <w:kern w:val="0"/>
                <w:sz w:val="24"/>
                <w:highlight w:val="none"/>
                <w:lang w:val="en-US" w:eastAsia="zh-CN" w:bidi="ar"/>
              </w:rPr>
            </w:pPr>
            <w:r>
              <w:rPr>
                <w:rFonts w:hint="default" w:ascii="Times New Roman" w:hAnsi="Times New Roman" w:eastAsia="宋体" w:cs="Times New Roman"/>
                <w:color w:val="auto"/>
                <w:kern w:val="0"/>
                <w:sz w:val="24"/>
                <w:highlight w:val="none"/>
                <w:lang w:val="en-US" w:eastAsia="zh-CN" w:bidi="ar"/>
              </w:rPr>
              <w:t>本项目</w:t>
            </w:r>
            <w:r>
              <w:rPr>
                <w:rFonts w:hint="eastAsia" w:cs="Times New Roman"/>
                <w:color w:val="auto"/>
                <w:kern w:val="0"/>
                <w:sz w:val="24"/>
                <w:highlight w:val="none"/>
                <w:lang w:val="en-US" w:eastAsia="zh-CN" w:bidi="ar"/>
              </w:rPr>
              <w:t>从事电池研发，不属于</w:t>
            </w:r>
            <w:r>
              <w:rPr>
                <w:rFonts w:hint="default" w:ascii="Times New Roman" w:hAnsi="Times New Roman" w:eastAsia="宋体" w:cs="Times New Roman"/>
                <w:color w:val="auto"/>
                <w:kern w:val="0"/>
                <w:sz w:val="24"/>
                <w:highlight w:val="none"/>
                <w:lang w:eastAsia="zh-CN" w:bidi="ar"/>
              </w:rPr>
              <w:t>《</w:t>
            </w:r>
            <w:r>
              <w:rPr>
                <w:rFonts w:hint="default" w:ascii="Times New Roman" w:hAnsi="Times New Roman" w:eastAsia="宋体" w:cs="Times New Roman"/>
                <w:color w:val="auto"/>
                <w:kern w:val="0"/>
                <w:sz w:val="24"/>
                <w:highlight w:val="none"/>
                <w:lang w:bidi="ar"/>
              </w:rPr>
              <w:t>市场准入负面清单（2025年版）</w:t>
            </w:r>
            <w:r>
              <w:rPr>
                <w:rFonts w:hint="default" w:ascii="Times New Roman" w:hAnsi="Times New Roman" w:eastAsia="宋体" w:cs="Times New Roman"/>
                <w:color w:val="auto"/>
                <w:kern w:val="0"/>
                <w:sz w:val="24"/>
                <w:highlight w:val="none"/>
                <w:lang w:eastAsia="zh-CN" w:bidi="ar"/>
              </w:rPr>
              <w:t>》</w:t>
            </w:r>
            <w:r>
              <w:rPr>
                <w:rFonts w:hint="eastAsia" w:cs="Times New Roman"/>
                <w:color w:val="auto"/>
                <w:kern w:val="0"/>
                <w:sz w:val="24"/>
                <w:highlight w:val="none"/>
                <w:lang w:val="en-US" w:eastAsia="zh-CN" w:bidi="ar"/>
              </w:rPr>
              <w:t>禁止类事项</w:t>
            </w:r>
            <w:r>
              <w:rPr>
                <w:rFonts w:hint="default" w:ascii="Times New Roman" w:hAnsi="Times New Roman" w:eastAsia="宋体" w:cs="Times New Roman"/>
                <w:color w:val="auto"/>
                <w:kern w:val="0"/>
                <w:sz w:val="24"/>
                <w:highlight w:val="none"/>
                <w:lang w:val="en-US" w:eastAsia="zh-CN" w:bidi="ar"/>
              </w:rPr>
              <w:t>。</w:t>
            </w:r>
          </w:p>
          <w:p w14:paraId="328B9A70">
            <w:pPr>
              <w:spacing w:line="360" w:lineRule="auto"/>
              <w:ind w:firstLine="480" w:firstLineChars="200"/>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val="en-US" w:eastAsia="zh-CN" w:bidi="ar"/>
              </w:rPr>
              <w:t>综上，</w:t>
            </w:r>
            <w:r>
              <w:rPr>
                <w:rFonts w:hint="default" w:ascii="Times New Roman" w:hAnsi="Times New Roman" w:eastAsia="宋体" w:cs="Times New Roman"/>
                <w:color w:val="auto"/>
                <w:kern w:val="0"/>
                <w:sz w:val="24"/>
                <w:highlight w:val="none"/>
                <w:lang w:bidi="ar"/>
              </w:rPr>
              <w:t>本项目符合产业政策</w:t>
            </w:r>
            <w:r>
              <w:rPr>
                <w:rFonts w:hint="default" w:ascii="Times New Roman" w:hAnsi="Times New Roman" w:eastAsia="宋体" w:cs="Times New Roman"/>
                <w:color w:val="auto"/>
                <w:kern w:val="0"/>
                <w:sz w:val="24"/>
                <w:highlight w:val="none"/>
                <w:lang w:val="en-US" w:eastAsia="zh-CN" w:bidi="ar"/>
              </w:rPr>
              <w:t>的要求</w:t>
            </w:r>
            <w:r>
              <w:rPr>
                <w:rFonts w:hint="default" w:ascii="Times New Roman" w:hAnsi="Times New Roman" w:eastAsia="宋体" w:cs="Times New Roman"/>
                <w:color w:val="auto"/>
                <w:kern w:val="0"/>
                <w:sz w:val="24"/>
                <w:highlight w:val="none"/>
                <w:lang w:bidi="ar"/>
              </w:rPr>
              <w:t>。</w:t>
            </w:r>
          </w:p>
          <w:p w14:paraId="30B081A5">
            <w:pPr>
              <w:numPr>
                <w:ilvl w:val="0"/>
                <w:numId w:val="1"/>
              </w:numPr>
              <w:spacing w:line="360" w:lineRule="auto"/>
              <w:ind w:firstLine="482"/>
              <w:rPr>
                <w:rFonts w:hint="default" w:ascii="Times New Roman" w:hAnsi="Times New Roman" w:eastAsia="宋体" w:cs="Times New Roman"/>
                <w:b/>
                <w:bCs/>
                <w:color w:val="auto"/>
                <w:kern w:val="0"/>
                <w:sz w:val="24"/>
                <w:highlight w:val="none"/>
                <w:lang w:bidi="ar"/>
              </w:rPr>
            </w:pPr>
            <w:r>
              <w:rPr>
                <w:rFonts w:hint="default" w:ascii="Times New Roman" w:hAnsi="Times New Roman" w:eastAsia="宋体" w:cs="Times New Roman"/>
                <w:b/>
                <w:bCs/>
                <w:color w:val="auto"/>
                <w:kern w:val="0"/>
                <w:sz w:val="24"/>
                <w:highlight w:val="none"/>
                <w:lang w:bidi="ar"/>
              </w:rPr>
              <w:t>选址合理性分析</w:t>
            </w:r>
          </w:p>
          <w:p w14:paraId="7E6A714D">
            <w:pPr>
              <w:spacing w:line="360" w:lineRule="auto"/>
              <w:ind w:firstLine="480" w:firstLineChars="200"/>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本项目</w:t>
            </w:r>
            <w:r>
              <w:rPr>
                <w:rFonts w:hint="eastAsia" w:cs="Times New Roman"/>
                <w:color w:val="auto"/>
                <w:kern w:val="0"/>
                <w:sz w:val="24"/>
                <w:highlight w:val="none"/>
                <w:lang w:val="en-US" w:eastAsia="zh-CN" w:bidi="ar"/>
              </w:rPr>
              <w:t>利用</w:t>
            </w:r>
            <w:r>
              <w:rPr>
                <w:rFonts w:hint="default" w:ascii="Times New Roman" w:hAnsi="Times New Roman" w:eastAsia="宋体" w:cs="Times New Roman"/>
                <w:color w:val="auto"/>
                <w:kern w:val="0"/>
                <w:sz w:val="24"/>
                <w:highlight w:val="none"/>
                <w:lang w:bidi="ar"/>
              </w:rPr>
              <w:t>现有</w:t>
            </w:r>
            <w:r>
              <w:rPr>
                <w:rFonts w:hint="eastAsia" w:cs="Times New Roman"/>
                <w:color w:val="auto"/>
                <w:kern w:val="0"/>
                <w:sz w:val="24"/>
                <w:highlight w:val="none"/>
                <w:lang w:val="en-US" w:eastAsia="zh-CN" w:bidi="ar"/>
              </w:rPr>
              <w:t>自有</w:t>
            </w:r>
            <w:r>
              <w:rPr>
                <w:rFonts w:hint="default" w:ascii="Times New Roman" w:hAnsi="Times New Roman" w:eastAsia="宋体" w:cs="Times New Roman"/>
                <w:color w:val="auto"/>
                <w:kern w:val="0"/>
                <w:sz w:val="24"/>
                <w:highlight w:val="none"/>
                <w:lang w:bidi="ar"/>
              </w:rPr>
              <w:t>房屋进行建设，不新建房屋，</w:t>
            </w:r>
            <w:r>
              <w:rPr>
                <w:rFonts w:hint="eastAsia" w:ascii="Times New Roman" w:hAnsi="Times New Roman" w:eastAsia="宋体" w:cs="Times New Roman"/>
                <w:color w:val="auto"/>
                <w:kern w:val="0"/>
                <w:sz w:val="24"/>
                <w:highlight w:val="none"/>
                <w:lang w:val="en-US" w:eastAsia="zh-CN" w:bidi="ar"/>
              </w:rPr>
              <w:t>房屋所有权人：</w:t>
            </w:r>
            <w:r>
              <w:rPr>
                <w:rFonts w:hint="eastAsia" w:cs="Times New Roman"/>
                <w:color w:val="auto"/>
                <w:kern w:val="0"/>
                <w:sz w:val="24"/>
                <w:highlight w:val="none"/>
                <w:lang w:val="en-US" w:eastAsia="zh-CN" w:bidi="ar"/>
              </w:rPr>
              <w:t>煤炭科学研究总院有限公司</w:t>
            </w:r>
            <w:r>
              <w:rPr>
                <w:rFonts w:hint="eastAsia" w:ascii="Times New Roman" w:hAnsi="Times New Roman" w:eastAsia="宋体" w:cs="Times New Roman"/>
                <w:color w:val="auto"/>
                <w:kern w:val="0"/>
                <w:sz w:val="24"/>
                <w:highlight w:val="none"/>
                <w:lang w:val="en-US" w:eastAsia="zh-CN" w:bidi="ar"/>
              </w:rPr>
              <w:t>，房屋所有权证号：“京房权证 朝国05字第</w:t>
            </w:r>
            <w:r>
              <w:rPr>
                <w:rFonts w:hint="eastAsia" w:cs="Times New Roman"/>
                <w:color w:val="auto"/>
                <w:kern w:val="0"/>
                <w:sz w:val="24"/>
                <w:highlight w:val="none"/>
                <w:lang w:val="en-US" w:eastAsia="zh-CN" w:bidi="ar"/>
              </w:rPr>
              <w:t>001957</w:t>
            </w:r>
            <w:r>
              <w:rPr>
                <w:rFonts w:hint="eastAsia" w:ascii="Times New Roman" w:hAnsi="Times New Roman" w:eastAsia="宋体" w:cs="Times New Roman"/>
                <w:color w:val="auto"/>
                <w:kern w:val="0"/>
                <w:sz w:val="24"/>
                <w:highlight w:val="none"/>
                <w:lang w:val="en-US" w:eastAsia="zh-CN" w:bidi="ar"/>
              </w:rPr>
              <w:t>号</w:t>
            </w:r>
            <w:r>
              <w:rPr>
                <w:rFonts w:hint="eastAsia" w:cs="Times New Roman"/>
                <w:color w:val="auto"/>
                <w:kern w:val="0"/>
                <w:sz w:val="24"/>
                <w:highlight w:val="none"/>
                <w:lang w:val="en-US" w:eastAsia="zh-CN" w:bidi="ar"/>
              </w:rPr>
              <w:t>”</w:t>
            </w:r>
            <w:r>
              <w:rPr>
                <w:rFonts w:hint="default" w:ascii="Times New Roman" w:hAnsi="Times New Roman" w:eastAsia="宋体" w:cs="Times New Roman"/>
                <w:color w:val="auto"/>
                <w:kern w:val="0"/>
                <w:sz w:val="24"/>
                <w:highlight w:val="none"/>
                <w:lang w:bidi="ar"/>
              </w:rPr>
              <w:t>，房屋</w:t>
            </w:r>
            <w:r>
              <w:rPr>
                <w:rFonts w:hint="default" w:ascii="Times New Roman" w:hAnsi="Times New Roman" w:eastAsia="宋体" w:cs="Times New Roman"/>
                <w:color w:val="auto"/>
                <w:kern w:val="0"/>
                <w:sz w:val="24"/>
                <w:highlight w:val="none"/>
                <w:lang w:eastAsia="zh-CN" w:bidi="ar"/>
              </w:rPr>
              <w:t>用途</w:t>
            </w:r>
            <w:r>
              <w:rPr>
                <w:rFonts w:hint="default" w:ascii="Times New Roman" w:hAnsi="Times New Roman" w:eastAsia="宋体" w:cs="Times New Roman"/>
                <w:color w:val="auto"/>
                <w:kern w:val="0"/>
                <w:sz w:val="24"/>
                <w:highlight w:val="none"/>
                <w:lang w:bidi="ar"/>
              </w:rPr>
              <w:t>为</w:t>
            </w:r>
            <w:r>
              <w:rPr>
                <w:rFonts w:hint="eastAsia" w:cs="Times New Roman"/>
                <w:color w:val="auto"/>
                <w:kern w:val="0"/>
                <w:sz w:val="24"/>
                <w:highlight w:val="none"/>
                <w:lang w:val="en-US" w:eastAsia="zh-CN" w:bidi="ar"/>
              </w:rPr>
              <w:t>办公、科研</w:t>
            </w:r>
            <w:r>
              <w:rPr>
                <w:rFonts w:hint="eastAsia" w:cs="Times New Roman"/>
                <w:color w:val="auto"/>
                <w:kern w:val="0"/>
                <w:sz w:val="24"/>
                <w:highlight w:val="none"/>
                <w:lang w:eastAsia="zh-CN" w:bidi="ar"/>
              </w:rPr>
              <w:t>。</w:t>
            </w:r>
            <w:r>
              <w:rPr>
                <w:rFonts w:hint="default" w:ascii="Times New Roman" w:hAnsi="Times New Roman" w:eastAsia="宋体" w:cs="Times New Roman"/>
                <w:color w:val="auto"/>
                <w:kern w:val="0"/>
                <w:sz w:val="24"/>
                <w:highlight w:val="none"/>
                <w:lang w:val="en-US" w:eastAsia="zh-CN" w:bidi="ar"/>
              </w:rPr>
              <w:t>本项目</w:t>
            </w:r>
            <w:r>
              <w:rPr>
                <w:rFonts w:hint="eastAsia" w:ascii="Times New Roman" w:hAnsi="Times New Roman" w:eastAsia="宋体" w:cs="Times New Roman"/>
                <w:color w:val="auto"/>
                <w:kern w:val="0"/>
                <w:sz w:val="24"/>
                <w:highlight w:val="none"/>
                <w:lang w:val="en-US" w:eastAsia="zh-CN" w:bidi="ar"/>
              </w:rPr>
              <w:t>符合房屋规划用途，项目</w:t>
            </w:r>
            <w:r>
              <w:rPr>
                <w:rFonts w:hint="default" w:ascii="Times New Roman" w:hAnsi="Times New Roman" w:eastAsia="宋体" w:cs="Times New Roman"/>
                <w:color w:val="auto"/>
                <w:kern w:val="0"/>
                <w:sz w:val="24"/>
                <w:highlight w:val="none"/>
                <w:lang w:val="en-US" w:eastAsia="zh-CN" w:bidi="ar"/>
              </w:rPr>
              <w:t>选址合理可行。</w:t>
            </w:r>
          </w:p>
          <w:p w14:paraId="5489996C">
            <w:pPr>
              <w:numPr>
                <w:ilvl w:val="0"/>
                <w:numId w:val="1"/>
              </w:numPr>
              <w:spacing w:line="360" w:lineRule="auto"/>
              <w:ind w:firstLine="482"/>
              <w:rPr>
                <w:rFonts w:hint="default" w:ascii="Times New Roman" w:hAnsi="Times New Roman" w:eastAsia="宋体" w:cs="Times New Roman"/>
                <w:b/>
                <w:bCs/>
                <w:color w:val="auto"/>
                <w:kern w:val="0"/>
                <w:sz w:val="24"/>
                <w:highlight w:val="none"/>
                <w:lang w:bidi="ar"/>
              </w:rPr>
            </w:pPr>
            <w:r>
              <w:rPr>
                <w:rFonts w:hint="default" w:ascii="Times New Roman" w:hAnsi="Times New Roman" w:eastAsia="宋体" w:cs="Times New Roman"/>
                <w:b/>
                <w:bCs/>
                <w:color w:val="auto"/>
                <w:kern w:val="0"/>
                <w:sz w:val="24"/>
                <w:highlight w:val="none"/>
                <w:lang w:bidi="ar"/>
              </w:rPr>
              <w:t>与</w:t>
            </w:r>
            <w:r>
              <w:rPr>
                <w:rFonts w:hint="eastAsia" w:cs="Times New Roman"/>
                <w:b/>
                <w:bCs/>
                <w:color w:val="auto"/>
                <w:kern w:val="0"/>
                <w:sz w:val="24"/>
                <w:highlight w:val="none"/>
                <w:lang w:eastAsia="zh-CN" w:bidi="ar"/>
              </w:rPr>
              <w:t>“</w:t>
            </w:r>
            <w:r>
              <w:rPr>
                <w:rFonts w:hint="default" w:ascii="Times New Roman" w:hAnsi="Times New Roman" w:eastAsia="宋体" w:cs="Times New Roman"/>
                <w:b/>
                <w:bCs/>
                <w:color w:val="auto"/>
                <w:kern w:val="0"/>
                <w:sz w:val="24"/>
                <w:highlight w:val="none"/>
                <w:lang w:bidi="ar"/>
              </w:rPr>
              <w:t>三线一单</w:t>
            </w:r>
            <w:r>
              <w:rPr>
                <w:rFonts w:hint="eastAsia" w:cs="Times New Roman"/>
                <w:b/>
                <w:bCs/>
                <w:color w:val="auto"/>
                <w:kern w:val="0"/>
                <w:sz w:val="24"/>
                <w:highlight w:val="none"/>
                <w:lang w:eastAsia="zh-CN" w:bidi="ar"/>
              </w:rPr>
              <w:t>”</w:t>
            </w:r>
            <w:r>
              <w:rPr>
                <w:rFonts w:hint="default" w:ascii="Times New Roman" w:hAnsi="Times New Roman" w:eastAsia="宋体" w:cs="Times New Roman"/>
                <w:b/>
                <w:bCs/>
                <w:color w:val="auto"/>
                <w:kern w:val="0"/>
                <w:sz w:val="24"/>
                <w:highlight w:val="none"/>
                <w:lang w:bidi="ar"/>
              </w:rPr>
              <w:t>符合性分析</w:t>
            </w:r>
          </w:p>
          <w:p w14:paraId="624EC0CB">
            <w:pPr>
              <w:numPr>
                <w:ilvl w:val="0"/>
                <w:numId w:val="2"/>
              </w:numPr>
              <w:spacing w:line="360" w:lineRule="auto"/>
              <w:ind w:firstLine="482" w:firstLineChars="200"/>
              <w:rPr>
                <w:rFonts w:hint="default" w:ascii="Times New Roman" w:hAnsi="Times New Roman" w:eastAsia="宋体" w:cs="Times New Roman"/>
                <w:b/>
                <w:bCs/>
                <w:color w:val="auto"/>
                <w:kern w:val="0"/>
                <w:sz w:val="24"/>
                <w:highlight w:val="none"/>
                <w:lang w:bidi="ar"/>
              </w:rPr>
            </w:pPr>
            <w:r>
              <w:rPr>
                <w:rFonts w:hint="default" w:ascii="Times New Roman" w:hAnsi="Times New Roman" w:eastAsia="宋体" w:cs="Times New Roman"/>
                <w:b/>
                <w:bCs/>
                <w:color w:val="auto"/>
                <w:kern w:val="0"/>
                <w:sz w:val="24"/>
                <w:highlight w:val="none"/>
                <w:lang w:bidi="ar"/>
              </w:rPr>
              <w:t>生态保护红线符合性分析</w:t>
            </w:r>
          </w:p>
          <w:p w14:paraId="3E9EDE53">
            <w:pPr>
              <w:spacing w:line="360" w:lineRule="auto"/>
              <w:ind w:firstLine="480" w:firstLineChars="200"/>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根据《北京市人民政府关于发布北京市生态保护红线的通知》(京政发(2018)18号)，全市生态保护红线包括水源涵养、水土保持和生物多样性维护的生态功能重要区、水土流失生态敏感区以及市级以上禁止开发区域和有必要严格保护的其他各类保护地。</w:t>
            </w:r>
          </w:p>
          <w:p w14:paraId="7EC162B5">
            <w:pPr>
              <w:spacing w:line="360" w:lineRule="auto"/>
              <w:ind w:firstLine="480" w:firstLineChars="200"/>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本项目位于</w:t>
            </w:r>
            <w:r>
              <w:rPr>
                <w:rFonts w:hint="eastAsia" w:cs="Times New Roman"/>
                <w:color w:val="auto"/>
                <w:sz w:val="24"/>
                <w:highlight w:val="none"/>
                <w:lang w:val="en-US" w:eastAsia="zh-CN"/>
              </w:rPr>
              <w:t>北京市朝阳区和平里青年沟东路5号45号楼</w:t>
            </w:r>
            <w:r>
              <w:rPr>
                <w:rFonts w:hint="default" w:ascii="Times New Roman" w:hAnsi="Times New Roman" w:eastAsia="宋体" w:cs="Times New Roman"/>
                <w:color w:val="auto"/>
                <w:sz w:val="24"/>
                <w:highlight w:val="none"/>
                <w:lang w:val="en-US" w:eastAsia="zh-CN"/>
              </w:rPr>
              <w:t>，根据《北京市人民政府关于发布北京市生态保护红线的通知》（京政发〔2018〕18号），本项目所在区域无重点生态功能区、生态敏感区、生态脆弱区、生物多样性保护优先区和自然保护区，未触及北京市生态保护红线</w:t>
            </w:r>
            <w:r>
              <w:rPr>
                <w:rFonts w:hint="default" w:ascii="Times New Roman" w:hAnsi="Times New Roman" w:eastAsia="宋体" w:cs="Times New Roman"/>
                <w:color w:val="auto"/>
                <w:kern w:val="0"/>
                <w:sz w:val="24"/>
                <w:highlight w:val="none"/>
                <w:lang w:bidi="ar"/>
              </w:rPr>
              <w:t>，符合生态保护红线的要求。本项目与北京市生态红线位置关系见</w:t>
            </w:r>
            <w:r>
              <w:rPr>
                <w:rFonts w:hint="default" w:ascii="Times New Roman" w:hAnsi="Times New Roman" w:eastAsia="宋体" w:cs="Times New Roman"/>
                <w:color w:val="auto"/>
                <w:kern w:val="0"/>
                <w:sz w:val="24"/>
                <w:highlight w:val="none"/>
                <w:lang w:val="en-US" w:eastAsia="zh-CN" w:bidi="ar"/>
              </w:rPr>
              <w:t>下图</w:t>
            </w:r>
            <w:r>
              <w:rPr>
                <w:rFonts w:hint="default" w:ascii="Times New Roman" w:hAnsi="Times New Roman" w:eastAsia="宋体" w:cs="Times New Roman"/>
                <w:color w:val="auto"/>
                <w:kern w:val="0"/>
                <w:sz w:val="24"/>
                <w:highlight w:val="none"/>
                <w:lang w:bidi="ar"/>
              </w:rPr>
              <w:t>。</w:t>
            </w:r>
          </w:p>
          <w:p w14:paraId="5BF4A43A">
            <w:pPr>
              <w:spacing w:line="360" w:lineRule="auto"/>
              <w:jc w:val="both"/>
              <w:rPr>
                <w:rFonts w:hint="eastAsia" w:ascii="Times New Roman" w:hAnsi="Times New Roman" w:eastAsia="宋体" w:cs="Times New Roman"/>
                <w:color w:val="auto"/>
                <w:kern w:val="0"/>
                <w:sz w:val="24"/>
                <w:highlight w:val="none"/>
                <w:lang w:eastAsia="zh-CN" w:bidi="ar"/>
              </w:rPr>
            </w:pPr>
            <w:r>
              <w:rPr>
                <w:color w:val="auto"/>
                <w:sz w:val="24"/>
              </w:rPr>
              <mc:AlternateContent>
                <mc:Choice Requires="wps">
                  <w:drawing>
                    <wp:anchor distT="0" distB="0" distL="114300" distR="114300" simplePos="0" relativeHeight="251667456" behindDoc="0" locked="0" layoutInCell="1" allowOverlap="1">
                      <wp:simplePos x="0" y="0"/>
                      <wp:positionH relativeFrom="column">
                        <wp:posOffset>2723515</wp:posOffset>
                      </wp:positionH>
                      <wp:positionV relativeFrom="paragraph">
                        <wp:posOffset>2062480</wp:posOffset>
                      </wp:positionV>
                      <wp:extent cx="692785" cy="311785"/>
                      <wp:effectExtent l="657225" t="6350" r="6350" b="169545"/>
                      <wp:wrapNone/>
                      <wp:docPr id="28" name="矩形标注 28"/>
                      <wp:cNvGraphicFramePr/>
                      <a:graphic xmlns:a="http://schemas.openxmlformats.org/drawingml/2006/main">
                        <a:graphicData uri="http://schemas.microsoft.com/office/word/2010/wordprocessingShape">
                          <wps:wsp>
                            <wps:cNvSpPr/>
                            <wps:spPr>
                              <a:xfrm>
                                <a:off x="5311140" y="3707130"/>
                                <a:ext cx="692785" cy="311785"/>
                              </a:xfrm>
                              <a:prstGeom prst="wedgeRectCallout">
                                <a:avLst>
                                  <a:gd name="adj1" fmla="val -137809"/>
                                  <a:gd name="adj2" fmla="val 93584"/>
                                </a:avLst>
                              </a:prstGeom>
                            </wps:spPr>
                            <wps:style>
                              <a:lnRef idx="2">
                                <a:schemeClr val="accent1">
                                  <a:lumMod val="75000"/>
                                </a:schemeClr>
                              </a:lnRef>
                              <a:fillRef idx="1">
                                <a:schemeClr val="accent1"/>
                              </a:fillRef>
                              <a:effectRef idx="0">
                                <a:srgbClr val="FFFFFF"/>
                              </a:effectRef>
                              <a:fontRef idx="minor">
                                <a:schemeClr val="lt1"/>
                              </a:fontRef>
                            </wps:style>
                            <wps:txbx>
                              <w:txbxContent>
                                <w:p w14:paraId="78C0AFC9">
                                  <w:pPr>
                                    <w:jc w:val="center"/>
                                    <w:rPr>
                                      <w:rFonts w:hint="eastAsia" w:eastAsia="宋体"/>
                                      <w:b/>
                                      <w:bCs/>
                                      <w:lang w:val="en-US" w:eastAsia="zh-CN"/>
                                    </w:rPr>
                                  </w:pPr>
                                  <w:r>
                                    <w:rPr>
                                      <w:rFonts w:hint="eastAsia"/>
                                      <w:b/>
                                      <w:bCs/>
                                      <w:lang w:val="en-US" w:eastAsia="zh-CN"/>
                                    </w:rPr>
                                    <w:t>本项目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214.45pt;margin-top:162.4pt;height:24.55pt;width:54.55pt;z-index:251667456;v-text-anchor:middle;mso-width-relative:page;mso-height-relative:page;" fillcolor="#5B9BD5 [3204]" filled="t" stroked="t" coordsize="21600,21600" o:gfxdata="UEsDBAoAAAAAAIdO4kAAAAAAAAAAAAAAAAAEAAAAZHJzL1BLAwQUAAAACACHTuJACRGU+t0AAAAL&#10;AQAADwAAAGRycy9kb3ducmV2LnhtbE2PTU+DQBCG7yb+h82YeLNLobQUWRqjMZo0Wm0x4biFEYjs&#10;LGG3H/57x5MeZ+bJO8+brc6mF0ccXWdJwXQSgECqbN1Ro6DYPd4kIJzXVOveEir4Rger/PIi02lt&#10;T/SOx61vBIeQS7WC1vshldJVLRrtJnZA4tunHY32PI6NrEd94nDTyzAI5tLojvhDqwe8b7H62h6M&#10;gnn3+vFwV7ztyueneFMW66F8KWKlrq+mwS0Ij2f/B8OvPqtDzk57e6DaiV7BLEyWjCqIwhl3YCKO&#10;Em63580iWoLMM/m/Q/4DUEsDBBQAAAAIAIdO4kASYIqd0AIAAJMFAAAOAAAAZHJzL2Uyb0RvYy54&#10;bWytVM1u00AQviPxDqu9t/5JUidRnSpNKEIqtKIgzpv1Ol60f+xu6pQX4DFAnODMmcehvAaza7dN&#10;C4ceuNgznvE3M9/8HB5tpUCXzDquVYmz/RQjpqiuuFqX+O2bk70xRs4TVRGhFSvxFXP4aPb0yWFr&#10;pizXjRYVswhAlJu2psSN92aaJI42TBK3rw1TYKy1lcSDatdJZUkL6FIkeZoeJK22lbGaMufg67Iz&#10;4h7RPgZQ1zWnbKnpRjLlO1TLBPFQkmu4cXgWs61rRv1ZXTvmkSgxVOrjE4KAvArPZHZIpmtLTMNp&#10;nwJ5TAoPapKEKwh6C7UknqCN5X9BSU6tdrr2+1TLpCskMgJVZOkDbi4aYlisBah25pZ09/9g6avL&#10;c4t4VeIc+q6IhI7//vz918+v118+Xf/4huAzcNQaNwXXC3Nue82BGAre1laGN5SCtiUeDbIsGwK7&#10;VyUeFGmRDXqO2dYjCg4Hk7wYjzCiwSHLggyIyR2Qsc4/Z1qiIJS4ZdWavYY+LogQeuMjy+Ty1PlI&#10;d9XnTKr3GUa1FNC9SyLQXjYoxumk7++OV77rNRmMxsM+fo8JmdxkEAI4LXh1woWIil2vFsIiCACV&#10;Hk+OlzfJ33MTCrWwWXmRAg+UwI7UMJsgSgM8O7XGiIg1LB/1NpZz72+3GyR/VoyOD6KT2MiXuupi&#10;F6MUsDveev/I4T2gUMaSuKb7JZo6OiT3sMGCyxKPAecWSSgACZ3uehskv11t+4avdHUFo2J1t0PO&#10;0BMOEU6J8+fEAu1QLJwVfwaPWmhgQPcSRo22H//1PfjDLIMVoxaWENj5sCGWYSReKJjySTYMs+Sj&#10;MhwVOSh217LataiNXGjoDAwCZBfF4O/FjVhbLd/B9ZmHqGAiikLsrg+9svDdcYD7Rdl8Ht1gUw3x&#10;p+rC0AAeJkHp+cbrmvvQg0BUx06vwK7GdvR3JRyDXT163d3S2R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AJEZT63QAAAAsBAAAPAAAAAAAAAAEAIAAAACIAAABkcnMvZG93bnJldi54bWxQSwECFAAU&#10;AAAACACHTuJAEmCKndACAACTBQAADgAAAAAAAAABACAAAAAsAQAAZHJzL2Uyb0RvYy54bWxQSwUG&#10;AAAAAAYABgBZAQAAbgYAAAAA&#10;" adj="-18967,31014">
                      <v:fill on="t" focussize="0,0"/>
                      <v:stroke weight="1pt" color="#2E75B6 [2404]" miterlimit="8" joinstyle="miter"/>
                      <v:imagedata o:title=""/>
                      <o:lock v:ext="edit" aspectratio="f"/>
                      <v:textbox>
                        <w:txbxContent>
                          <w:p w14:paraId="78C0AFC9">
                            <w:pPr>
                              <w:jc w:val="center"/>
                              <w:rPr>
                                <w:rFonts w:hint="eastAsia" w:eastAsia="宋体"/>
                                <w:b/>
                                <w:bCs/>
                                <w:lang w:val="en-US" w:eastAsia="zh-CN"/>
                              </w:rPr>
                            </w:pPr>
                            <w:r>
                              <w:rPr>
                                <w:rFonts w:hint="eastAsia"/>
                                <w:b/>
                                <w:bCs/>
                                <w:lang w:val="en-US" w:eastAsia="zh-CN"/>
                              </w:rPr>
                              <w:t>本项目</w:t>
                            </w:r>
                          </w:p>
                        </w:txbxContent>
                      </v:textbox>
                    </v:shape>
                  </w:pict>
                </mc:Fallback>
              </mc:AlternateContent>
            </w:r>
            <w:r>
              <w:rPr>
                <w:color w:val="auto"/>
                <w:sz w:val="24"/>
              </w:rPr>
              <mc:AlternateContent>
                <mc:Choice Requires="wps">
                  <w:drawing>
                    <wp:anchor distT="0" distB="0" distL="114300" distR="114300" simplePos="0" relativeHeight="251666432" behindDoc="0" locked="0" layoutInCell="1" allowOverlap="1">
                      <wp:simplePos x="0" y="0"/>
                      <wp:positionH relativeFrom="column">
                        <wp:posOffset>1948180</wp:posOffset>
                      </wp:positionH>
                      <wp:positionV relativeFrom="paragraph">
                        <wp:posOffset>2524760</wp:posOffset>
                      </wp:positionV>
                      <wp:extent cx="75565" cy="75565"/>
                      <wp:effectExtent l="6350" t="6350" r="9525" b="9525"/>
                      <wp:wrapNone/>
                      <wp:docPr id="27" name="椭圆 27"/>
                      <wp:cNvGraphicFramePr/>
                      <a:graphic xmlns:a="http://schemas.openxmlformats.org/drawingml/2006/main">
                        <a:graphicData uri="http://schemas.microsoft.com/office/word/2010/wordprocessingShape">
                          <wps:wsp>
                            <wps:cNvSpPr/>
                            <wps:spPr>
                              <a:xfrm>
                                <a:off x="4597400" y="4136390"/>
                                <a:ext cx="75565" cy="75565"/>
                              </a:xfrm>
                              <a:prstGeom prst="ellipse">
                                <a:avLst/>
                              </a:prstGeom>
                              <a:solidFill>
                                <a:srgbClr val="FF0000"/>
                              </a:solid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53.4pt;margin-top:198.8pt;height:5.95pt;width:5.95pt;z-index:251666432;v-text-anchor:middle;mso-width-relative:page;mso-height-relative:page;" fillcolor="#FF0000" filled="t" stroked="t" coordsize="21600,21600" o:gfxdata="UEsDBAoAAAAAAIdO4kAAAAAAAAAAAAAAAAAEAAAAZHJzL1BLAwQUAAAACACHTuJA81ukwtgAAAAL&#10;AQAADwAAAGRycy9kb3ducmV2LnhtbE2PT0+EMBDF7yZ+h2ZMvLktrrIsUvZg4s1ExX/XAiMQ6bSh&#10;XcBv73hyb/MyL+/9XnFY7ShmnMLgSEOyUSCQGtcO1Gl4e324ykCEaKg1oyPU8IMBDuX5WWHy1i30&#10;gnMVO8EhFHKjoY/R51KGpkdrwsZ5JP59ucmayHLqZDuZhcPtKK+VSqU1A3FDbzze99h8V0erwa+P&#10;dfLun91HyLzFpfqczRNpfXmRqDsQEdf4b4Y/fEaHkplqd6Q2iFHDVqWMHvnY71IQ7Ngm2Q5EreFG&#10;7W9BloU83VD+AlBLAwQUAAAACACHTuJA028H2HcCAAACBQAADgAAAGRycy9lMm9Eb2MueG1srVRL&#10;bhsxDN0X6B0E7ZuxHTtOjIwDI4aLAkFjIC26ljUajwD9KskepwfoKbrsNsdqz9EnzeTbLrKoFzIp&#10;ch7JR1LnFwetyF74IK0p6fBoQIkw3FbSbEv6+dPq3SklITJTMWWNKOmtCPRi/vbNeetmYmQbqyrh&#10;CUBMmLWupE2MblYUgTdCs3BknTAw1tZrFqH6bVF51gJdq2I0GJwUrfWV85aLEHC77Iy0R/SvAbR1&#10;LblYWr7TwsQO1QvFIkoKjXSBznO2dS14vK7rICJRJUWlMZ8IAnmTzmJ+zmZbz1wjeZ8Ce00KL2rS&#10;TBoEfYBassjIzsu/oLTk3gZbxyNuddEVkhlBFcPBC25uGuZErgVUB/dAevh/sPzjfu2JrEo6mlJi&#10;mEbHf/+8+/XjO8EF2GldmMHpxq19rwWIqdRD7XX6RxHkUNLx5Gw6HoDXW8jD45Pjs55dcYiEw2E6&#10;mZxMKOGwdyLwikcY50N8L6wmSSipUAqNTNWzGdtfhdh533ul62CVrFZSqaz47eZSebJn6PRqNcAv&#10;pY8Az9yUIS2mfjRNmXKG+a0xNxC1AwfBbClhaovF4NHn2M++Dq8LkpJcstB0yWSEbtC0jNgdJXVJ&#10;T1OG9ykqg0wT0x23SdrY6had8bYb2eD4SgL2ioW4Zh4zivyxxfEaR60sirK9RElj/bd/3Sd/jA6s&#10;lLSYeRT8dce8oER9MBiqs+F4DNiYlfFkOoLin1o2Ty1mpy8tyB7ivXA8i8k/qnux9lZ/wbIvUlSY&#10;mOGI3VHbK5ex20U8F1wsFtkNi+FYvDI3jifw1FxjF7toa5mH4JGdnjSsRm50v8Zp957q2evx6Zr/&#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PNbpMLYAAAACwEAAA8AAAAAAAAAAQAgAAAAIgAAAGRy&#10;cy9kb3ducmV2LnhtbFBLAQIUABQAAAAIAIdO4kDTbwfYdwIAAAIFAAAOAAAAAAAAAAEAIAAAACcB&#10;AABkcnMvZTJvRG9jLnhtbFBLBQYAAAAABgAGAFkBAAAQBgAAAAA=&#10;">
                      <v:fill on="t" focussize="0,0"/>
                      <v:stroke weight="1pt" color="#FF0000 [2404]" miterlimit="8" joinstyle="miter"/>
                      <v:imagedata o:title=""/>
                      <o:lock v:ext="edit" aspectratio="f"/>
                    </v:shape>
                  </w:pict>
                </mc:Fallback>
              </mc:AlternateContent>
            </w:r>
            <w:r>
              <w:rPr>
                <w:rFonts w:hint="eastAsia" w:ascii="Times New Roman" w:hAnsi="Times New Roman" w:eastAsia="宋体" w:cs="Times New Roman"/>
                <w:color w:val="auto"/>
                <w:kern w:val="0"/>
                <w:sz w:val="24"/>
                <w:highlight w:val="none"/>
                <w:lang w:eastAsia="zh-CN" w:bidi="ar"/>
              </w:rPr>
              <w:drawing>
                <wp:inline distT="0" distB="0" distL="114300" distR="114300">
                  <wp:extent cx="4140200" cy="4127500"/>
                  <wp:effectExtent l="0" t="0" r="5080" b="2540"/>
                  <wp:docPr id="25" name="图片 25" descr="1761628562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1761628562470"/>
                          <pic:cNvPicPr>
                            <a:picLocks noChangeAspect="1"/>
                          </pic:cNvPicPr>
                        </pic:nvPicPr>
                        <pic:blipFill>
                          <a:blip r:embed="rId7"/>
                          <a:stretch>
                            <a:fillRect/>
                          </a:stretch>
                        </pic:blipFill>
                        <pic:spPr>
                          <a:xfrm>
                            <a:off x="0" y="0"/>
                            <a:ext cx="4140200" cy="4127500"/>
                          </a:xfrm>
                          <a:prstGeom prst="rect">
                            <a:avLst/>
                          </a:prstGeom>
                        </pic:spPr>
                      </pic:pic>
                    </a:graphicData>
                  </a:graphic>
                </wp:inline>
              </w:drawing>
            </w:r>
          </w:p>
          <w:p w14:paraId="534D3A2F">
            <w:pPr>
              <w:widowControl/>
              <w:numPr>
                <w:ilvl w:val="0"/>
                <w:numId w:val="3"/>
              </w:numPr>
              <w:spacing w:line="360" w:lineRule="auto"/>
              <w:ind w:left="425" w:leftChars="0" w:hanging="425" w:firstLineChars="0"/>
              <w:jc w:val="center"/>
              <w:rPr>
                <w:rFonts w:hint="default" w:ascii="Times New Roman" w:hAnsi="Times New Roman" w:eastAsia="宋体" w:cs="Times New Roman"/>
                <w:b/>
                <w:bCs/>
                <w:color w:val="auto"/>
                <w:kern w:val="0"/>
                <w:sz w:val="24"/>
                <w:highlight w:val="none"/>
                <w:lang w:bidi="ar"/>
              </w:rPr>
            </w:pPr>
            <w:r>
              <w:rPr>
                <w:rFonts w:hint="default" w:ascii="Times New Roman" w:hAnsi="Times New Roman" w:eastAsia="宋体" w:cs="Times New Roman"/>
                <w:b/>
                <w:bCs/>
                <w:color w:val="auto"/>
                <w:kern w:val="0"/>
                <w:sz w:val="24"/>
                <w:highlight w:val="none"/>
                <w:lang w:bidi="ar"/>
              </w:rPr>
              <w:t>本项目与北京市生态保护红线位置关系图</w:t>
            </w:r>
          </w:p>
          <w:p w14:paraId="54BDF33E">
            <w:pPr>
              <w:numPr>
                <w:ilvl w:val="0"/>
                <w:numId w:val="2"/>
              </w:numPr>
              <w:spacing w:line="360" w:lineRule="auto"/>
              <w:ind w:firstLine="482" w:firstLineChars="200"/>
              <w:rPr>
                <w:rFonts w:hint="default" w:ascii="Times New Roman" w:hAnsi="Times New Roman" w:eastAsia="宋体" w:cs="Times New Roman"/>
                <w:b/>
                <w:bCs/>
                <w:color w:val="auto"/>
                <w:kern w:val="0"/>
                <w:sz w:val="24"/>
                <w:highlight w:val="none"/>
                <w:lang w:bidi="ar"/>
              </w:rPr>
            </w:pPr>
            <w:r>
              <w:rPr>
                <w:rFonts w:hint="default" w:ascii="Times New Roman" w:hAnsi="Times New Roman" w:eastAsia="宋体" w:cs="Times New Roman"/>
                <w:b/>
                <w:bCs/>
                <w:color w:val="auto"/>
                <w:kern w:val="0"/>
                <w:sz w:val="24"/>
                <w:highlight w:val="none"/>
                <w:lang w:bidi="ar"/>
              </w:rPr>
              <w:t>环境质量底线符合性分析</w:t>
            </w:r>
          </w:p>
          <w:p w14:paraId="16296705">
            <w:pPr>
              <w:spacing w:line="360" w:lineRule="auto"/>
              <w:ind w:firstLine="480" w:firstLineChars="200"/>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根据北京市生态环境局发布的《2024年北京市生态环境状况公报》(2025年5月9日发布)，2024年</w:t>
            </w:r>
            <w:r>
              <w:rPr>
                <w:rFonts w:hint="eastAsia" w:cs="Times New Roman"/>
                <w:color w:val="auto"/>
                <w:kern w:val="0"/>
                <w:sz w:val="24"/>
                <w:highlight w:val="none"/>
                <w:lang w:val="en-US" w:eastAsia="zh-CN" w:bidi="ar"/>
              </w:rPr>
              <w:t>朝阳区</w:t>
            </w:r>
            <w:r>
              <w:rPr>
                <w:rFonts w:hint="default" w:ascii="Times New Roman" w:hAnsi="Times New Roman" w:eastAsia="宋体" w:cs="Times New Roman"/>
                <w:color w:val="auto"/>
                <w:kern w:val="0"/>
                <w:sz w:val="24"/>
                <w:highlight w:val="none"/>
                <w:lang w:bidi="ar"/>
              </w:rPr>
              <w:t>各污染物浓度均达到《环境空气质量标准》(GB3095-2012)限值要求，北京市</w:t>
            </w:r>
            <w:r>
              <w:rPr>
                <w:rFonts w:hint="eastAsia" w:ascii="Times New Roman" w:hAnsi="Times New Roman" w:eastAsia="宋体" w:cs="Times New Roman"/>
                <w:color w:val="auto"/>
                <w:kern w:val="0"/>
                <w:sz w:val="24"/>
                <w:highlight w:val="none"/>
                <w:lang w:val="en-US" w:eastAsia="zh-CN" w:bidi="ar"/>
              </w:rPr>
              <w:t>O</w:t>
            </w:r>
            <w:r>
              <w:rPr>
                <w:rFonts w:hint="default" w:ascii="Times New Roman" w:hAnsi="Times New Roman" w:eastAsia="宋体" w:cs="Times New Roman"/>
                <w:color w:val="auto"/>
                <w:kern w:val="0"/>
                <w:sz w:val="24"/>
                <w:highlight w:val="none"/>
                <w:vertAlign w:val="subscript"/>
                <w:lang w:val="en-US" w:eastAsia="zh-CN" w:bidi="ar"/>
              </w:rPr>
              <w:t>3</w:t>
            </w:r>
            <w:r>
              <w:rPr>
                <w:rFonts w:hint="default" w:ascii="Times New Roman" w:hAnsi="Times New Roman" w:eastAsia="宋体" w:cs="Times New Roman"/>
                <w:color w:val="auto"/>
                <w:kern w:val="0"/>
                <w:sz w:val="24"/>
                <w:highlight w:val="none"/>
                <w:lang w:bidi="ar"/>
              </w:rPr>
              <w:t>日最大8小时平均浓度未能达到《环境空气质量标准》(GB3095-2012)限值要求，其他污染物现状浓度达到上述标准要求，判定项目</w:t>
            </w:r>
            <w:r>
              <w:rPr>
                <w:rFonts w:hint="eastAsia" w:cs="Times New Roman"/>
                <w:color w:val="auto"/>
                <w:kern w:val="0"/>
                <w:sz w:val="24"/>
                <w:highlight w:val="none"/>
                <w:lang w:val="en-US" w:eastAsia="zh-CN" w:bidi="ar"/>
              </w:rPr>
              <w:t>所在区</w:t>
            </w:r>
            <w:r>
              <w:rPr>
                <w:rFonts w:hint="default" w:ascii="Times New Roman" w:hAnsi="Times New Roman" w:eastAsia="宋体" w:cs="Times New Roman"/>
                <w:color w:val="auto"/>
                <w:kern w:val="0"/>
                <w:sz w:val="24"/>
                <w:highlight w:val="none"/>
                <w:lang w:bidi="ar"/>
              </w:rPr>
              <w:t>为环境空气质量不达标区。本项目</w:t>
            </w:r>
            <w:r>
              <w:rPr>
                <w:rFonts w:hint="eastAsia" w:cs="Times New Roman"/>
                <w:color w:val="auto"/>
                <w:kern w:val="0"/>
                <w:sz w:val="24"/>
                <w:highlight w:val="none"/>
                <w:lang w:val="en-US" w:eastAsia="zh-CN" w:bidi="ar"/>
              </w:rPr>
              <w:t>根据不同过程废气类别分别采用万向罩、通风</w:t>
            </w:r>
            <w:r>
              <w:rPr>
                <w:rFonts w:hint="eastAsia" w:ascii="Times New Roman" w:hAnsi="Times New Roman" w:eastAsia="宋体" w:cs="Times New Roman"/>
                <w:color w:val="auto"/>
                <w:kern w:val="0"/>
                <w:sz w:val="24"/>
                <w:highlight w:val="none"/>
                <w:lang w:val="en-US" w:eastAsia="zh-CN" w:bidi="ar"/>
              </w:rPr>
              <w:t>橱收集，并经</w:t>
            </w:r>
            <w:r>
              <w:rPr>
                <w:rFonts w:hint="eastAsia" w:cs="Times New Roman"/>
                <w:color w:val="auto"/>
                <w:kern w:val="0"/>
                <w:sz w:val="24"/>
                <w:highlight w:val="none"/>
                <w:lang w:val="en-US" w:eastAsia="zh-CN" w:bidi="ar"/>
              </w:rPr>
              <w:t>活性炭处理装置</w:t>
            </w:r>
            <w:r>
              <w:rPr>
                <w:rFonts w:hint="eastAsia" w:ascii="Times New Roman" w:hAnsi="Times New Roman" w:eastAsia="宋体" w:cs="Times New Roman"/>
                <w:color w:val="auto"/>
                <w:kern w:val="0"/>
                <w:sz w:val="24"/>
                <w:highlight w:val="none"/>
                <w:lang w:val="en-US" w:eastAsia="zh-CN" w:bidi="ar"/>
              </w:rPr>
              <w:t>吸附处理</w:t>
            </w:r>
            <w:r>
              <w:rPr>
                <w:rFonts w:hint="default" w:ascii="Times New Roman" w:hAnsi="Times New Roman" w:eastAsia="宋体" w:cs="Times New Roman"/>
                <w:color w:val="auto"/>
                <w:kern w:val="0"/>
                <w:sz w:val="24"/>
                <w:highlight w:val="none"/>
                <w:lang w:val="en-US" w:eastAsia="zh-CN" w:bidi="ar"/>
              </w:rPr>
              <w:t>，满足</w:t>
            </w:r>
            <w:r>
              <w:rPr>
                <w:rFonts w:hint="eastAsia" w:cs="Times New Roman"/>
                <w:color w:val="auto"/>
                <w:kern w:val="0"/>
                <w:sz w:val="24"/>
                <w:highlight w:val="none"/>
                <w:lang w:val="en-US" w:eastAsia="zh-CN" w:bidi="ar"/>
              </w:rPr>
              <w:t>达标</w:t>
            </w:r>
            <w:r>
              <w:rPr>
                <w:rFonts w:hint="default" w:ascii="Times New Roman" w:hAnsi="Times New Roman" w:eastAsia="宋体" w:cs="Times New Roman"/>
                <w:color w:val="auto"/>
                <w:kern w:val="0"/>
                <w:sz w:val="24"/>
                <w:highlight w:val="none"/>
                <w:lang w:val="en-US" w:eastAsia="zh-CN" w:bidi="ar"/>
              </w:rPr>
              <w:t>排放要求</w:t>
            </w:r>
            <w:r>
              <w:rPr>
                <w:rFonts w:hint="default" w:ascii="Times New Roman" w:hAnsi="Times New Roman" w:eastAsia="宋体" w:cs="Times New Roman"/>
                <w:color w:val="auto"/>
                <w:kern w:val="0"/>
                <w:sz w:val="24"/>
                <w:highlight w:val="none"/>
                <w:lang w:bidi="ar"/>
              </w:rPr>
              <w:t>。随着北京市大气污染治理的措施的逐步实施，环境空气质量持续改善</w:t>
            </w:r>
            <w:r>
              <w:rPr>
                <w:rFonts w:hint="default" w:ascii="Times New Roman" w:hAnsi="Times New Roman" w:eastAsia="宋体" w:cs="Times New Roman"/>
                <w:color w:val="auto"/>
                <w:kern w:val="0"/>
                <w:sz w:val="24"/>
                <w:highlight w:val="none"/>
                <w:lang w:eastAsia="zh-CN" w:bidi="ar"/>
              </w:rPr>
              <w:t>，</w:t>
            </w:r>
            <w:r>
              <w:rPr>
                <w:rFonts w:hint="default" w:ascii="Times New Roman" w:hAnsi="Times New Roman" w:eastAsia="宋体" w:cs="Times New Roman"/>
                <w:color w:val="auto"/>
                <w:kern w:val="0"/>
                <w:sz w:val="24"/>
                <w:highlight w:val="none"/>
                <w:lang w:bidi="ar"/>
              </w:rPr>
              <w:t>本项目的实施不会突破大气环境质量底线。</w:t>
            </w:r>
          </w:p>
          <w:p w14:paraId="4D61E7F5">
            <w:pPr>
              <w:spacing w:line="360" w:lineRule="auto"/>
              <w:ind w:firstLine="480" w:firstLineChars="200"/>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项目所在地附近地表水体为</w:t>
            </w:r>
            <w:r>
              <w:rPr>
                <w:rFonts w:hint="eastAsia" w:cs="Times New Roman"/>
                <w:color w:val="auto"/>
                <w:kern w:val="0"/>
                <w:sz w:val="24"/>
                <w:highlight w:val="none"/>
                <w:lang w:val="en-US" w:eastAsia="zh-CN" w:bidi="ar"/>
              </w:rPr>
              <w:t>南侧的</w:t>
            </w:r>
            <w:r>
              <w:rPr>
                <w:rFonts w:hint="eastAsia" w:cs="Times New Roman"/>
                <w:color w:val="auto"/>
                <w:sz w:val="24"/>
                <w:szCs w:val="24"/>
                <w:lang w:val="en-US" w:eastAsia="zh-CN"/>
              </w:rPr>
              <w:t>1.5</w:t>
            </w:r>
            <w:r>
              <w:rPr>
                <w:rFonts w:ascii="宋体" w:hAnsi="宋体" w:eastAsia="宋体" w:cs="宋体"/>
                <w:color w:val="auto"/>
                <w:sz w:val="24"/>
                <w:szCs w:val="24"/>
              </w:rPr>
              <w:t>km处的</w:t>
            </w:r>
            <w:r>
              <w:rPr>
                <w:rFonts w:hint="eastAsia" w:ascii="宋体" w:hAnsi="宋体" w:cs="宋体"/>
                <w:color w:val="auto"/>
                <w:sz w:val="24"/>
                <w:szCs w:val="24"/>
                <w:lang w:val="en-US" w:eastAsia="zh-CN"/>
              </w:rPr>
              <w:t>北护城河</w:t>
            </w:r>
            <w:r>
              <w:rPr>
                <w:rFonts w:hint="default" w:ascii="Times New Roman" w:hAnsi="Times New Roman" w:eastAsia="宋体" w:cs="Times New Roman"/>
                <w:color w:val="auto"/>
                <w:sz w:val="24"/>
                <w:highlight w:val="none"/>
              </w:rPr>
              <w:t>，</w:t>
            </w:r>
            <w:r>
              <w:rPr>
                <w:rFonts w:hint="default" w:ascii="Times New Roman" w:hAnsi="Times New Roman" w:eastAsia="宋体" w:cs="Times New Roman"/>
                <w:color w:val="auto"/>
                <w:kern w:val="0"/>
                <w:sz w:val="24"/>
                <w:highlight w:val="none"/>
                <w:lang w:bidi="ar"/>
              </w:rPr>
              <w:t>根据北京市五大水系各河流、水库水体功能划分与水质分类，</w:t>
            </w:r>
            <w:r>
              <w:rPr>
                <w:rFonts w:hint="eastAsia" w:ascii="宋体" w:hAnsi="宋体" w:cs="宋体"/>
                <w:color w:val="auto"/>
                <w:sz w:val="24"/>
                <w:szCs w:val="24"/>
                <w:lang w:eastAsia="zh-CN"/>
              </w:rPr>
              <w:t>北护城河</w:t>
            </w:r>
            <w:r>
              <w:rPr>
                <w:rFonts w:hint="default" w:ascii="Times New Roman" w:hAnsi="Times New Roman" w:eastAsia="宋体" w:cs="Times New Roman"/>
                <w:color w:val="auto"/>
                <w:kern w:val="0"/>
                <w:sz w:val="24"/>
                <w:highlight w:val="none"/>
                <w:lang w:bidi="ar"/>
              </w:rPr>
              <w:t>水体功能为</w:t>
            </w:r>
            <w:r>
              <w:rPr>
                <w:rFonts w:hint="eastAsia" w:ascii="微软雅黑" w:hAnsi="微软雅黑" w:eastAsia="微软雅黑" w:cs="微软雅黑"/>
                <w:i w:val="0"/>
                <w:iCs w:val="0"/>
                <w:caps w:val="0"/>
                <w:color w:val="3E3A39"/>
                <w:spacing w:val="0"/>
                <w:sz w:val="21"/>
                <w:szCs w:val="21"/>
                <w:shd w:val="clear" w:fill="FFFFFF"/>
              </w:rPr>
              <w:t>Ⅳ</w:t>
            </w:r>
            <w:r>
              <w:rPr>
                <w:rFonts w:hint="default" w:ascii="Times New Roman" w:hAnsi="Times New Roman" w:eastAsia="宋体" w:cs="Times New Roman"/>
                <w:color w:val="auto"/>
                <w:kern w:val="0"/>
                <w:sz w:val="24"/>
                <w:highlight w:val="none"/>
                <w:lang w:bidi="ar"/>
              </w:rPr>
              <w:t>类。根据北京市生态环境局网站公布的</w:t>
            </w:r>
            <w:r>
              <w:rPr>
                <w:rFonts w:hint="default" w:ascii="Times New Roman" w:hAnsi="Times New Roman" w:eastAsia="宋体" w:cs="Times New Roman"/>
                <w:color w:val="auto"/>
                <w:kern w:val="0"/>
                <w:sz w:val="24"/>
                <w:highlight w:val="none"/>
                <w:lang w:val="en-US" w:eastAsia="zh-CN" w:bidi="ar"/>
              </w:rPr>
              <w:t>近一</w:t>
            </w:r>
            <w:r>
              <w:rPr>
                <w:rFonts w:hint="default" w:ascii="Times New Roman" w:hAnsi="Times New Roman" w:eastAsia="宋体" w:cs="Times New Roman"/>
                <w:color w:val="auto"/>
                <w:kern w:val="0"/>
                <w:sz w:val="24"/>
                <w:highlight w:val="none"/>
                <w:lang w:bidi="ar"/>
              </w:rPr>
              <w:t>年河流水质状况，</w:t>
            </w:r>
            <w:r>
              <w:rPr>
                <w:rFonts w:hint="eastAsia" w:ascii="宋体" w:hAnsi="宋体" w:cs="宋体"/>
                <w:color w:val="auto"/>
                <w:sz w:val="24"/>
                <w:szCs w:val="24"/>
                <w:lang w:eastAsia="zh-CN"/>
              </w:rPr>
              <w:t>北护城河</w:t>
            </w:r>
            <w:r>
              <w:rPr>
                <w:rFonts w:hint="default" w:ascii="Times New Roman" w:hAnsi="Times New Roman" w:eastAsia="宋体" w:cs="Times New Roman"/>
                <w:color w:val="auto"/>
                <w:kern w:val="0"/>
                <w:sz w:val="24"/>
                <w:highlight w:val="none"/>
                <w:lang w:bidi="ar"/>
              </w:rPr>
              <w:t>现状水质均能够达到《地表水环境质量标准》（GB3838-2002）中</w:t>
            </w:r>
            <w:r>
              <w:rPr>
                <w:rFonts w:hint="eastAsia" w:ascii="微软雅黑" w:hAnsi="微软雅黑" w:eastAsia="微软雅黑" w:cs="微软雅黑"/>
                <w:i w:val="0"/>
                <w:iCs w:val="0"/>
                <w:caps w:val="0"/>
                <w:color w:val="3E3A39"/>
                <w:spacing w:val="0"/>
                <w:sz w:val="21"/>
                <w:szCs w:val="21"/>
                <w:shd w:val="clear" w:fill="FFFFFF"/>
              </w:rPr>
              <w:t>Ⅳ</w:t>
            </w:r>
            <w:r>
              <w:rPr>
                <w:rFonts w:hint="default" w:ascii="Times New Roman" w:hAnsi="Times New Roman" w:eastAsia="宋体" w:cs="Times New Roman"/>
                <w:color w:val="auto"/>
                <w:kern w:val="0"/>
                <w:sz w:val="24"/>
                <w:highlight w:val="none"/>
                <w:lang w:bidi="ar"/>
              </w:rPr>
              <w:t>类标准限值。</w:t>
            </w:r>
            <w:r>
              <w:rPr>
                <w:rFonts w:hint="default" w:ascii="Times New Roman" w:hAnsi="Times New Roman" w:eastAsia="宋体" w:cs="Times New Roman"/>
                <w:color w:val="auto"/>
                <w:kern w:val="0"/>
                <w:sz w:val="24"/>
                <w:highlight w:val="none"/>
                <w:lang w:eastAsia="zh-CN" w:bidi="ar"/>
              </w:rPr>
              <w:t>项目废水</w:t>
            </w:r>
            <w:r>
              <w:rPr>
                <w:rFonts w:hint="default" w:ascii="Times New Roman" w:hAnsi="Times New Roman" w:eastAsia="宋体" w:cs="Times New Roman"/>
                <w:color w:val="auto"/>
                <w:kern w:val="0"/>
                <w:sz w:val="24"/>
                <w:highlight w:val="none"/>
                <w:lang w:val="en-US" w:eastAsia="zh-CN" w:bidi="ar"/>
              </w:rPr>
              <w:t>包括生活污水、</w:t>
            </w:r>
            <w:r>
              <w:rPr>
                <w:rFonts w:hint="eastAsia" w:cs="Times New Roman"/>
                <w:color w:val="auto"/>
                <w:kern w:val="0"/>
                <w:sz w:val="24"/>
                <w:highlight w:val="none"/>
                <w:lang w:val="en-US" w:eastAsia="zh-CN" w:bidi="ar"/>
              </w:rPr>
              <w:t>设备容器第二次清洗废水</w:t>
            </w:r>
            <w:r>
              <w:rPr>
                <w:rFonts w:hint="default" w:ascii="Times New Roman" w:hAnsi="Times New Roman" w:eastAsia="宋体" w:cs="Times New Roman"/>
                <w:color w:val="auto"/>
                <w:kern w:val="0"/>
                <w:sz w:val="24"/>
                <w:highlight w:val="none"/>
                <w:lang w:val="en-US" w:eastAsia="zh-CN" w:bidi="ar"/>
              </w:rPr>
              <w:t>，</w:t>
            </w:r>
            <w:r>
              <w:rPr>
                <w:rFonts w:hint="eastAsia" w:cs="Times New Roman"/>
                <w:color w:val="auto"/>
                <w:kern w:val="0"/>
                <w:sz w:val="24"/>
                <w:highlight w:val="none"/>
                <w:lang w:val="en-US" w:eastAsia="zh-CN" w:bidi="ar"/>
              </w:rPr>
              <w:t>以上废水一起进入化粪池</w:t>
            </w:r>
            <w:r>
              <w:rPr>
                <w:rFonts w:hint="default" w:cs="Times New Roman"/>
                <w:color w:val="auto"/>
                <w:kern w:val="0"/>
                <w:sz w:val="24"/>
                <w:highlight w:val="none"/>
                <w:lang w:val="en-US" w:eastAsia="zh-CN" w:bidi="ar"/>
              </w:rPr>
              <w:t>处理</w:t>
            </w:r>
            <w:r>
              <w:rPr>
                <w:rFonts w:hint="eastAsia" w:cs="Times New Roman"/>
                <w:color w:val="auto"/>
                <w:kern w:val="0"/>
                <w:sz w:val="24"/>
                <w:highlight w:val="none"/>
                <w:lang w:val="en-US" w:eastAsia="zh-CN" w:bidi="ar"/>
              </w:rPr>
              <w:t>，最后通过</w:t>
            </w:r>
            <w:r>
              <w:rPr>
                <w:rFonts w:hint="default" w:cs="Times New Roman"/>
                <w:color w:val="auto"/>
                <w:kern w:val="0"/>
                <w:sz w:val="24"/>
                <w:highlight w:val="none"/>
                <w:lang w:val="en-US" w:eastAsia="zh-CN" w:bidi="ar"/>
              </w:rPr>
              <w:t>市政管网排入</w:t>
            </w:r>
            <w:r>
              <w:rPr>
                <w:rFonts w:hint="eastAsia" w:cs="Times New Roman"/>
                <w:color w:val="auto"/>
                <w:kern w:val="0"/>
                <w:sz w:val="24"/>
                <w:highlight w:val="none"/>
                <w:lang w:val="en-US" w:eastAsia="zh-CN" w:bidi="ar"/>
              </w:rPr>
              <w:t>高碑店再生水厂</w:t>
            </w:r>
            <w:r>
              <w:rPr>
                <w:rFonts w:hint="default" w:cs="Times New Roman"/>
                <w:color w:val="auto"/>
                <w:kern w:val="0"/>
                <w:sz w:val="24"/>
                <w:highlight w:val="none"/>
                <w:lang w:val="en-US" w:eastAsia="zh-CN" w:bidi="ar"/>
              </w:rPr>
              <w:t>处理，不直接排入地表水体，不会突破</w:t>
            </w:r>
            <w:r>
              <w:rPr>
                <w:rFonts w:hint="default" w:ascii="Times New Roman" w:hAnsi="Times New Roman" w:eastAsia="宋体" w:cs="Times New Roman"/>
                <w:color w:val="auto"/>
                <w:kern w:val="0"/>
                <w:sz w:val="24"/>
                <w:highlight w:val="none"/>
                <w:lang w:bidi="ar"/>
              </w:rPr>
              <w:t>水环境质量底线。</w:t>
            </w:r>
          </w:p>
          <w:p w14:paraId="400C843C">
            <w:pPr>
              <w:spacing w:line="360" w:lineRule="auto"/>
              <w:ind w:firstLine="480" w:firstLineChars="200"/>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本项目</w:t>
            </w:r>
            <w:r>
              <w:rPr>
                <w:rFonts w:hint="default" w:ascii="Times New Roman" w:hAnsi="Times New Roman" w:eastAsia="宋体" w:cs="Times New Roman"/>
                <w:color w:val="auto"/>
                <w:kern w:val="0"/>
                <w:sz w:val="24"/>
                <w:highlight w:val="none"/>
                <w:lang w:eastAsia="zh-CN" w:bidi="ar"/>
              </w:rPr>
              <w:t>实验</w:t>
            </w:r>
            <w:r>
              <w:rPr>
                <w:rFonts w:hint="default" w:ascii="Times New Roman" w:hAnsi="Times New Roman" w:eastAsia="宋体" w:cs="Times New Roman"/>
                <w:color w:val="auto"/>
                <w:kern w:val="0"/>
                <w:sz w:val="24"/>
                <w:highlight w:val="none"/>
                <w:lang w:bidi="ar"/>
              </w:rPr>
              <w:t>设备均为低噪声设备，且采取了</w:t>
            </w:r>
            <w:r>
              <w:rPr>
                <w:rFonts w:hint="eastAsia" w:cs="Times New Roman"/>
                <w:color w:val="auto"/>
                <w:kern w:val="0"/>
                <w:sz w:val="24"/>
                <w:highlight w:val="none"/>
                <w:lang w:val="en-US" w:eastAsia="zh-CN" w:bidi="ar"/>
              </w:rPr>
              <w:t>减振、</w:t>
            </w:r>
            <w:r>
              <w:rPr>
                <w:rFonts w:hint="default" w:ascii="Times New Roman" w:hAnsi="Times New Roman" w:eastAsia="宋体" w:cs="Times New Roman"/>
                <w:color w:val="auto"/>
                <w:kern w:val="0"/>
                <w:sz w:val="24"/>
                <w:highlight w:val="none"/>
                <w:lang w:bidi="ar"/>
              </w:rPr>
              <w:t>隔声</w:t>
            </w:r>
            <w:r>
              <w:rPr>
                <w:rFonts w:hint="eastAsia" w:cs="Times New Roman"/>
                <w:color w:val="auto"/>
                <w:kern w:val="0"/>
                <w:sz w:val="24"/>
                <w:highlight w:val="none"/>
                <w:lang w:val="en-US" w:eastAsia="zh-CN" w:bidi="ar"/>
              </w:rPr>
              <w:t>等</w:t>
            </w:r>
            <w:r>
              <w:rPr>
                <w:rFonts w:hint="default" w:ascii="Times New Roman" w:hAnsi="Times New Roman" w:eastAsia="宋体" w:cs="Times New Roman"/>
                <w:color w:val="auto"/>
                <w:kern w:val="0"/>
                <w:sz w:val="24"/>
                <w:highlight w:val="none"/>
                <w:lang w:bidi="ar"/>
              </w:rPr>
              <w:t>措施，厂界噪声</w:t>
            </w:r>
            <w:r>
              <w:rPr>
                <w:rFonts w:hint="eastAsia" w:cs="Times New Roman"/>
                <w:color w:val="auto"/>
                <w:kern w:val="0"/>
                <w:sz w:val="24"/>
                <w:highlight w:val="none"/>
                <w:lang w:val="en-US" w:eastAsia="zh-CN" w:bidi="ar"/>
              </w:rPr>
              <w:t>预测值</w:t>
            </w:r>
            <w:r>
              <w:rPr>
                <w:rFonts w:hint="default" w:ascii="Times New Roman" w:hAnsi="Times New Roman" w:eastAsia="宋体" w:cs="Times New Roman"/>
                <w:color w:val="auto"/>
                <w:kern w:val="0"/>
                <w:sz w:val="24"/>
                <w:highlight w:val="none"/>
                <w:lang w:bidi="ar"/>
              </w:rPr>
              <w:t>达标，不会突破声环境质量底线。</w:t>
            </w:r>
          </w:p>
          <w:p w14:paraId="3B39D0A8">
            <w:pPr>
              <w:spacing w:line="360" w:lineRule="auto"/>
              <w:ind w:firstLine="480" w:firstLineChars="200"/>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项目产生的</w:t>
            </w:r>
            <w:r>
              <w:rPr>
                <w:rFonts w:hint="default" w:ascii="Times New Roman" w:hAnsi="Times New Roman" w:eastAsia="宋体" w:cs="Times New Roman"/>
                <w:color w:val="auto"/>
                <w:kern w:val="0"/>
                <w:sz w:val="24"/>
                <w:highlight w:val="none"/>
                <w:lang w:val="en-US" w:eastAsia="zh-CN" w:bidi="ar"/>
              </w:rPr>
              <w:t>固体废物分类收集，建设规范的</w:t>
            </w:r>
            <w:r>
              <w:rPr>
                <w:rFonts w:hint="eastAsia" w:cs="Times New Roman"/>
                <w:color w:val="auto"/>
                <w:kern w:val="0"/>
                <w:sz w:val="24"/>
                <w:highlight w:val="none"/>
                <w:lang w:val="en-US" w:eastAsia="zh-CN" w:bidi="ar"/>
              </w:rPr>
              <w:t>固体废物</w:t>
            </w:r>
            <w:r>
              <w:rPr>
                <w:rFonts w:hint="default" w:ascii="Times New Roman" w:hAnsi="Times New Roman" w:eastAsia="宋体" w:cs="Times New Roman"/>
                <w:color w:val="auto"/>
                <w:kern w:val="0"/>
                <w:sz w:val="24"/>
                <w:highlight w:val="none"/>
                <w:lang w:val="en-US" w:eastAsia="zh-CN" w:bidi="ar"/>
              </w:rPr>
              <w:t>暂存间，所有固体废物</w:t>
            </w:r>
            <w:r>
              <w:rPr>
                <w:rFonts w:hint="default" w:ascii="Times New Roman" w:hAnsi="Times New Roman" w:eastAsia="宋体" w:cs="Times New Roman"/>
                <w:color w:val="auto"/>
                <w:kern w:val="0"/>
                <w:sz w:val="24"/>
                <w:highlight w:val="none"/>
                <w:lang w:bidi="ar"/>
              </w:rPr>
              <w:t>定期委托有资质的单位处置。</w:t>
            </w:r>
          </w:p>
          <w:p w14:paraId="0E84F6F5">
            <w:pPr>
              <w:spacing w:line="360" w:lineRule="auto"/>
              <w:ind w:firstLine="480" w:firstLineChars="200"/>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val="en-US" w:eastAsia="zh-CN" w:bidi="ar"/>
              </w:rPr>
              <w:t>项目运营期废气、废水、噪声等达标排放，</w:t>
            </w:r>
            <w:r>
              <w:rPr>
                <w:rFonts w:hint="eastAsia" w:cs="Times New Roman"/>
                <w:color w:val="auto"/>
                <w:kern w:val="0"/>
                <w:sz w:val="24"/>
                <w:highlight w:val="none"/>
                <w:lang w:val="en-US" w:eastAsia="zh-CN" w:bidi="ar"/>
              </w:rPr>
              <w:t>固体废物</w:t>
            </w:r>
            <w:r>
              <w:rPr>
                <w:rFonts w:hint="default" w:ascii="Times New Roman" w:hAnsi="Times New Roman" w:eastAsia="宋体" w:cs="Times New Roman"/>
                <w:color w:val="auto"/>
                <w:kern w:val="0"/>
                <w:sz w:val="24"/>
                <w:highlight w:val="none"/>
                <w:lang w:val="en-US" w:eastAsia="zh-CN" w:bidi="ar"/>
              </w:rPr>
              <w:t>合理处置，不会突破环境质量底线。</w:t>
            </w:r>
          </w:p>
          <w:p w14:paraId="34069539">
            <w:pPr>
              <w:numPr>
                <w:ilvl w:val="0"/>
                <w:numId w:val="2"/>
              </w:numPr>
              <w:spacing w:line="360" w:lineRule="auto"/>
              <w:ind w:firstLine="482" w:firstLineChars="200"/>
              <w:rPr>
                <w:rFonts w:hint="default" w:ascii="Times New Roman" w:hAnsi="Times New Roman" w:eastAsia="宋体" w:cs="Times New Roman"/>
                <w:b/>
                <w:bCs/>
                <w:color w:val="auto"/>
                <w:kern w:val="0"/>
                <w:sz w:val="24"/>
                <w:highlight w:val="none"/>
                <w:lang w:bidi="ar"/>
              </w:rPr>
            </w:pPr>
            <w:r>
              <w:rPr>
                <w:rFonts w:hint="default" w:ascii="Times New Roman" w:hAnsi="Times New Roman" w:eastAsia="宋体" w:cs="Times New Roman"/>
                <w:b/>
                <w:bCs/>
                <w:color w:val="auto"/>
                <w:kern w:val="0"/>
                <w:sz w:val="24"/>
                <w:highlight w:val="none"/>
                <w:lang w:bidi="ar"/>
              </w:rPr>
              <w:t>资源利用上线符合性分析</w:t>
            </w:r>
          </w:p>
          <w:p w14:paraId="7B977D87">
            <w:pPr>
              <w:spacing w:line="360" w:lineRule="auto"/>
              <w:ind w:firstLine="480" w:firstLineChars="200"/>
              <w:rPr>
                <w:rFonts w:hint="default" w:ascii="Times New Roman" w:hAnsi="Times New Roman" w:eastAsia="宋体" w:cs="Times New Roman"/>
                <w:color w:val="auto"/>
                <w:kern w:val="0"/>
                <w:sz w:val="24"/>
                <w:highlight w:val="none"/>
                <w:lang w:bidi="ar"/>
              </w:rPr>
            </w:pPr>
            <w:r>
              <w:rPr>
                <w:rFonts w:hint="eastAsia" w:ascii="Times New Roman" w:hAnsi="Times New Roman" w:eastAsia="宋体" w:cs="Times New Roman"/>
                <w:color w:val="auto"/>
                <w:kern w:val="0"/>
                <w:sz w:val="24"/>
                <w:highlight w:val="none"/>
                <w:lang w:val="en-US" w:eastAsia="zh-CN" w:bidi="ar"/>
              </w:rPr>
              <w:t>本项目属于</w:t>
            </w:r>
            <w:r>
              <w:rPr>
                <w:rFonts w:hint="eastAsia" w:cs="Times New Roman"/>
                <w:color w:val="auto"/>
                <w:kern w:val="0"/>
                <w:sz w:val="24"/>
                <w:highlight w:val="none"/>
                <w:lang w:val="en-US" w:eastAsia="zh-CN" w:bidi="ar"/>
              </w:rPr>
              <w:t>实验研发项目</w:t>
            </w:r>
            <w:r>
              <w:rPr>
                <w:rFonts w:hint="eastAsia" w:ascii="Times New Roman" w:hAnsi="Times New Roman" w:eastAsia="宋体" w:cs="Times New Roman"/>
                <w:color w:val="auto"/>
                <w:kern w:val="0"/>
                <w:sz w:val="24"/>
                <w:highlight w:val="none"/>
                <w:lang w:val="en-US" w:eastAsia="zh-CN" w:bidi="ar"/>
              </w:rPr>
              <w:t>，</w:t>
            </w:r>
            <w:r>
              <w:rPr>
                <w:rFonts w:hint="default" w:ascii="Times New Roman" w:hAnsi="Times New Roman" w:eastAsia="宋体" w:cs="Times New Roman"/>
                <w:color w:val="auto"/>
                <w:kern w:val="0"/>
                <w:sz w:val="24"/>
                <w:highlight w:val="none"/>
                <w:lang w:bidi="ar"/>
              </w:rPr>
              <w:t>电力及水资源消耗量相对于区域资源利用总量很少</w:t>
            </w:r>
            <w:r>
              <w:rPr>
                <w:rFonts w:hint="eastAsia" w:cs="Times New Roman"/>
                <w:color w:val="auto"/>
                <w:kern w:val="0"/>
                <w:sz w:val="24"/>
                <w:highlight w:val="none"/>
                <w:lang w:eastAsia="zh-CN" w:bidi="ar"/>
              </w:rPr>
              <w:t>，</w:t>
            </w:r>
            <w:r>
              <w:rPr>
                <w:rFonts w:hint="eastAsia" w:cs="Times New Roman"/>
                <w:color w:val="auto"/>
                <w:kern w:val="0"/>
                <w:sz w:val="24"/>
                <w:highlight w:val="none"/>
                <w:lang w:val="en-US" w:eastAsia="zh-CN" w:bidi="ar"/>
              </w:rPr>
              <w:t>电力及水资源有保证</w:t>
            </w:r>
            <w:r>
              <w:rPr>
                <w:rFonts w:hint="default" w:ascii="Times New Roman" w:hAnsi="Times New Roman" w:eastAsia="宋体" w:cs="Times New Roman"/>
                <w:color w:val="auto"/>
                <w:kern w:val="0"/>
                <w:sz w:val="24"/>
                <w:highlight w:val="none"/>
                <w:lang w:bidi="ar"/>
              </w:rPr>
              <w:t>；项目不新增用地，租用现有厂房，用地符合规划要求。因此项目资源利用情况不会突破区域资源利用上线，符合资源利用上线的要求。</w:t>
            </w:r>
          </w:p>
          <w:p w14:paraId="7DB78B5E">
            <w:pPr>
              <w:numPr>
                <w:ilvl w:val="0"/>
                <w:numId w:val="2"/>
              </w:numPr>
              <w:spacing w:line="360" w:lineRule="auto"/>
              <w:ind w:firstLine="482" w:firstLineChars="200"/>
              <w:rPr>
                <w:rFonts w:hint="default" w:ascii="Times New Roman" w:hAnsi="Times New Roman" w:eastAsia="宋体" w:cs="Times New Roman"/>
                <w:b/>
                <w:bCs/>
                <w:color w:val="auto"/>
                <w:kern w:val="0"/>
                <w:sz w:val="24"/>
                <w:highlight w:val="none"/>
                <w:lang w:bidi="ar"/>
              </w:rPr>
            </w:pPr>
            <w:r>
              <w:rPr>
                <w:rFonts w:hint="default" w:ascii="Times New Roman" w:hAnsi="Times New Roman" w:eastAsia="宋体" w:cs="Times New Roman"/>
                <w:b/>
                <w:bCs/>
                <w:color w:val="auto"/>
                <w:kern w:val="0"/>
                <w:sz w:val="24"/>
                <w:highlight w:val="none"/>
                <w:lang w:bidi="ar"/>
              </w:rPr>
              <w:t>环境准入负面清单</w:t>
            </w:r>
          </w:p>
          <w:p w14:paraId="68EA28BF">
            <w:pPr>
              <w:spacing w:line="360" w:lineRule="auto"/>
              <w:ind w:firstLine="480" w:firstLineChars="200"/>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根据《关于北京市生态环境分区管控(</w:t>
            </w:r>
            <w:r>
              <w:rPr>
                <w:rFonts w:hint="eastAsia" w:cs="Times New Roman"/>
                <w:color w:val="auto"/>
                <w:kern w:val="0"/>
                <w:sz w:val="24"/>
                <w:highlight w:val="none"/>
                <w:lang w:eastAsia="zh-CN" w:bidi="ar"/>
              </w:rPr>
              <w:t>“</w:t>
            </w:r>
            <w:r>
              <w:rPr>
                <w:rFonts w:hint="default" w:ascii="Times New Roman" w:hAnsi="Times New Roman" w:eastAsia="宋体" w:cs="Times New Roman"/>
                <w:color w:val="auto"/>
                <w:kern w:val="0"/>
                <w:sz w:val="24"/>
                <w:highlight w:val="none"/>
                <w:lang w:bidi="ar"/>
              </w:rPr>
              <w:t>三线一单</w:t>
            </w:r>
            <w:r>
              <w:rPr>
                <w:rFonts w:hint="eastAsia" w:cs="Times New Roman"/>
                <w:color w:val="auto"/>
                <w:kern w:val="0"/>
                <w:sz w:val="24"/>
                <w:highlight w:val="none"/>
                <w:lang w:eastAsia="zh-CN" w:bidi="ar"/>
              </w:rPr>
              <w:t>”</w:t>
            </w:r>
            <w:r>
              <w:rPr>
                <w:rFonts w:hint="default" w:ascii="Times New Roman" w:hAnsi="Times New Roman" w:eastAsia="宋体" w:cs="Times New Roman"/>
                <w:color w:val="auto"/>
                <w:kern w:val="0"/>
                <w:sz w:val="24"/>
                <w:highlight w:val="none"/>
                <w:lang w:bidi="ar"/>
              </w:rPr>
              <w:t>)的实施意见》，北京市生态环境管控分为优先保护单元、重点管控单元和一般管控单元三类区域。</w:t>
            </w:r>
          </w:p>
          <w:p w14:paraId="61F99195">
            <w:pPr>
              <w:spacing w:line="360" w:lineRule="auto"/>
              <w:ind w:firstLine="480" w:firstLineChars="200"/>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bidi="ar"/>
              </w:rPr>
              <w:t>2024年12月25日，北京市生态环境局发布了《北京市生态环境局关于生态环境分区管控动态更新成果的通告》(通告(2024)33号)，发布了北京市生态环境分区管控动态更新成果，根据该成果，本项目位于重点管控单元，本项目在《北京市生态环境管控分区图》中的位置示意图见</w:t>
            </w:r>
            <w:r>
              <w:rPr>
                <w:rFonts w:hint="default" w:ascii="Times New Roman" w:hAnsi="Times New Roman" w:eastAsia="宋体" w:cs="Times New Roman"/>
                <w:color w:val="auto"/>
                <w:kern w:val="0"/>
                <w:sz w:val="24"/>
                <w:highlight w:val="none"/>
                <w:lang w:val="en-US" w:eastAsia="zh-CN" w:bidi="ar"/>
              </w:rPr>
              <w:t>下</w:t>
            </w:r>
            <w:r>
              <w:rPr>
                <w:rFonts w:hint="default" w:ascii="Times New Roman" w:hAnsi="Times New Roman" w:eastAsia="宋体" w:cs="Times New Roman"/>
                <w:color w:val="auto"/>
                <w:kern w:val="0"/>
                <w:sz w:val="24"/>
                <w:highlight w:val="none"/>
                <w:lang w:bidi="ar"/>
              </w:rPr>
              <w:t>图。</w:t>
            </w:r>
          </w:p>
          <w:p w14:paraId="6C5ECFA7">
            <w:pPr>
              <w:spacing w:line="360" w:lineRule="auto"/>
              <w:rPr>
                <w:rFonts w:hint="default" w:ascii="Times New Roman" w:hAnsi="Times New Roman" w:eastAsia="宋体" w:cs="Times New Roman"/>
                <w:color w:val="auto"/>
              </w:rPr>
            </w:pPr>
            <w:r>
              <w:rPr>
                <w:sz w:val="21"/>
              </w:rPr>
              <mc:AlternateContent>
                <mc:Choice Requires="wps">
                  <w:drawing>
                    <wp:anchor distT="0" distB="0" distL="114300" distR="114300" simplePos="0" relativeHeight="251668480" behindDoc="0" locked="0" layoutInCell="1" allowOverlap="1">
                      <wp:simplePos x="0" y="0"/>
                      <wp:positionH relativeFrom="column">
                        <wp:posOffset>1252220</wp:posOffset>
                      </wp:positionH>
                      <wp:positionV relativeFrom="paragraph">
                        <wp:posOffset>2043430</wp:posOffset>
                      </wp:positionV>
                      <wp:extent cx="643255" cy="262255"/>
                      <wp:effectExtent l="6350" t="6350" r="142875" b="158115"/>
                      <wp:wrapNone/>
                      <wp:docPr id="13" name="矩形标注 13"/>
                      <wp:cNvGraphicFramePr/>
                      <a:graphic xmlns:a="http://schemas.openxmlformats.org/drawingml/2006/main">
                        <a:graphicData uri="http://schemas.microsoft.com/office/word/2010/wordprocessingShape">
                          <wps:wsp>
                            <wps:cNvSpPr/>
                            <wps:spPr>
                              <a:xfrm>
                                <a:off x="3636645" y="4043680"/>
                                <a:ext cx="643255" cy="262255"/>
                              </a:xfrm>
                              <a:prstGeom prst="wedgeRectCallout">
                                <a:avLst>
                                  <a:gd name="adj1" fmla="val 64708"/>
                                  <a:gd name="adj2" fmla="val 101331"/>
                                </a:avLst>
                              </a:prstGeom>
                            </wps:spPr>
                            <wps:style>
                              <a:lnRef idx="2">
                                <a:schemeClr val="accent1">
                                  <a:lumMod val="75000"/>
                                </a:schemeClr>
                              </a:lnRef>
                              <a:fillRef idx="1">
                                <a:schemeClr val="accent1"/>
                              </a:fillRef>
                              <a:effectRef idx="0">
                                <a:srgbClr val="FFFFFF"/>
                              </a:effectRef>
                              <a:fontRef idx="minor">
                                <a:schemeClr val="lt1"/>
                              </a:fontRef>
                            </wps:style>
                            <wps:txbx>
                              <w:txbxContent>
                                <w:p w14:paraId="0059C6D5">
                                  <w:pPr>
                                    <w:jc w:val="center"/>
                                    <w:rPr>
                                      <w:rFonts w:hint="eastAsia" w:eastAsia="宋体"/>
                                      <w:lang w:val="en-US" w:eastAsia="zh-CN"/>
                                    </w:rPr>
                                  </w:pPr>
                                  <w:r>
                                    <w:rPr>
                                      <w:rFonts w:hint="eastAsia"/>
                                      <w:lang w:val="en-US" w:eastAsia="zh-CN"/>
                                    </w:rPr>
                                    <w:t>本项目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98.6pt;margin-top:160.9pt;height:20.65pt;width:50.65pt;z-index:251668480;v-text-anchor:middle;mso-width-relative:page;mso-height-relative:page;" fillcolor="#5B9BD5 [3204]" filled="t" stroked="t" coordsize="21600,21600" o:gfxdata="UEsDBAoAAAAAAIdO4kAAAAAAAAAAAAAAAAAEAAAAZHJzL1BLAwQUAAAACACHTuJAtKt609kAAAAL&#10;AQAADwAAAGRycy9kb3ducmV2LnhtbE2PQU+DQBCF7yb+h82YeLMLNNaWsvRQo0eNYIzctuwUsOws&#10;YRda/73jSY/vzZc372W7i+3FjKPvHCmIFxEIpNqZjhoF7+XT3RqED5qM7h2hgm/0sMuvrzKdGnem&#10;N5yL0AgOIZ9qBW0IQyqlr1u02i/cgMS3oxutDizHRppRnznc9jKJopW0uiP+0OoB9y3Wp2KyCr6q&#10;5qV7LUyZTNWJqv1cfnw+Pyp1exNHWxABL+EPht/6XB1y7nRwExkvetabh4RRBcsk5g1MJJv1PYgD&#10;O6tlDDLP5P8N+Q9QSwMEFAAAAAgAh07iQF9u3YDQAgAAkgUAAA4AAABkcnMvZTJvRG9jLnhtbK1U&#10;zW7TQBC+I/EOq71TO47jpFGdKk0oQiq0oiDOm/U6XrR/7G7ilBfgMUCc4MyZx6G8BrNrt00LBw5c&#10;7BnP+JuZb36OjndSoC2zjmtV4sFBihFTVFdcrUv85vXpkwlGzhNVEaEVK/EVc/h49vjRUWumLNON&#10;FhWzCECUm7amxI33ZpokjjZMEnegDVNgrLWVxINq10llSQvoUiRZmhZJq21lrKbMOfi67Iy4R7T/&#10;AqjrmlO21HQjmfIdqmWCeCjJNdw4PIvZ1jWj/ryuHfNIlBgq9fEJQUBehWcyOyLTtSWm4bRPgfxL&#10;Cg9qkoQrCHoLtSSeoI3lf0BJTq12uvYHVMukKyQyAlUM0gfcXDbEsFgLUO3MLenu/8HSl9sLi3gF&#10;kzDESBEJHf/16dvPH1+uP3+8/v4VwWfgqDVuCq6X5sL2mgMxFLyrrQxvKAXtSjwshkWRjzC6KnGe&#10;5sNi0nPMdh5RcCjyYTYCOwWHrMiCDIjJHZCxzj9jWqIglLhl1Zq9gj4uiBB64yPLZHvmfKS76nMm&#10;1bsBRrUU0L0tEajIx+mk7+6eT7bvM0gHw+GgD99DQiI3CQR8pwWvTrkQUbHr1UJYBPglHp0cnixv&#10;cr/nJhRqgc5snMKQUQIrUsNogigN0OzUGiMi1rB71NtYzb2/3X6Q7Ol4dFJEJ7GRL3TVxR6PUsDu&#10;aOv9I4X3gEIZS+Ka7pdo6viQ3MMCCy5LPAGcWyShACQ0umttkPxutev7vdLVFUyK1d0KOUNPOUQ4&#10;I85fEAusQ7FwVfw5PGqhgQHdSxg12n742/fgD6MMVoxa2EFg5/2GWIaReK5gyA8HeR6WNir5aJyB&#10;Yvctq32L2siFhs7AHEB2UQz+XtyItdXyLRyfeYgKJqIoxO760CsL390GOF+UzefRDRbVEH+mLg0N&#10;4GESlJ5vvK65Dz0IRHXs9AqsamxHf1bCLdjXo9fdKZ39B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EIFAABbQ29udGVudF9UeXBlc10ueG1sUEsB&#10;AhQACgAAAAAAh07iQAAAAAAAAAAAAAAAAAYAAAAAAAAAAAAQAAAAJAQAAF9yZWxzL1BLAQIUABQA&#10;AAAIAIdO4kCKFGY80QAAAJQBAAALAAAAAAAAAAEAIAAAAEgEAABfcmVscy8ucmVsc1BLAQIUAAoA&#10;AAAAAIdO4kAAAAAAAAAAAAAAAAAEAAAAAAAAAAAAEAAAAAAAAABkcnMvUEsBAhQAFAAAAAgAh07i&#10;QLSretPZAAAACwEAAA8AAAAAAAAAAQAgAAAAIgAAAGRycy9kb3ducmV2LnhtbFBLAQIUABQAAAAI&#10;AIdO4kBfbt2A0AIAAJIFAAAOAAAAAAAAAAEAIAAAACgBAABkcnMvZTJvRG9jLnhtbFBLBQYAAAAA&#10;BgAGAFkBAABqBgAAAAA=&#10;" adj="24777,32687">
                      <v:fill on="t" focussize="0,0"/>
                      <v:stroke weight="1pt" color="#2E75B6 [2404]" miterlimit="8" joinstyle="miter"/>
                      <v:imagedata o:title=""/>
                      <o:lock v:ext="edit" aspectratio="f"/>
                      <v:textbox>
                        <w:txbxContent>
                          <w:p w14:paraId="0059C6D5">
                            <w:pPr>
                              <w:jc w:val="center"/>
                              <w:rPr>
                                <w:rFonts w:hint="eastAsia" w:eastAsia="宋体"/>
                                <w:lang w:val="en-US" w:eastAsia="zh-CN"/>
                              </w:rPr>
                            </w:pPr>
                            <w:r>
                              <w:rPr>
                                <w:rFonts w:hint="eastAsia"/>
                                <w:lang w:val="en-US" w:eastAsia="zh-CN"/>
                              </w:rPr>
                              <w:t>本项目</w:t>
                            </w:r>
                          </w:p>
                        </w:txbxContent>
                      </v:textbox>
                    </v:shape>
                  </w:pict>
                </mc:Fallback>
              </mc:AlternateContent>
            </w:r>
            <w:r>
              <w:drawing>
                <wp:inline distT="0" distB="0" distL="114300" distR="114300">
                  <wp:extent cx="3954780" cy="3802380"/>
                  <wp:effectExtent l="0" t="0" r="7620" b="7620"/>
                  <wp:docPr id="1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5"/>
                          <pic:cNvPicPr>
                            <a:picLocks noChangeAspect="1"/>
                          </pic:cNvPicPr>
                        </pic:nvPicPr>
                        <pic:blipFill>
                          <a:blip r:embed="rId8"/>
                          <a:stretch>
                            <a:fillRect/>
                          </a:stretch>
                        </pic:blipFill>
                        <pic:spPr>
                          <a:xfrm>
                            <a:off x="0" y="0"/>
                            <a:ext cx="3954780" cy="3802380"/>
                          </a:xfrm>
                          <a:prstGeom prst="rect">
                            <a:avLst/>
                          </a:prstGeom>
                          <a:noFill/>
                          <a:ln>
                            <a:noFill/>
                          </a:ln>
                        </pic:spPr>
                      </pic:pic>
                    </a:graphicData>
                  </a:graphic>
                </wp:inline>
              </w:drawing>
            </w:r>
          </w:p>
          <w:p w14:paraId="21F3436F">
            <w:pPr>
              <w:widowControl/>
              <w:numPr>
                <w:ilvl w:val="0"/>
                <w:numId w:val="3"/>
              </w:numPr>
              <w:spacing w:line="360" w:lineRule="auto"/>
              <w:ind w:left="425" w:leftChars="0" w:hanging="425" w:firstLineChars="0"/>
              <w:jc w:val="center"/>
              <w:rPr>
                <w:rFonts w:hint="default" w:ascii="Times New Roman" w:hAnsi="Times New Roman" w:eastAsia="宋体" w:cs="Times New Roman"/>
                <w:b/>
                <w:bCs/>
                <w:color w:val="auto"/>
                <w:sz w:val="24"/>
                <w:szCs w:val="32"/>
                <w:highlight w:val="none"/>
              </w:rPr>
            </w:pPr>
            <w:r>
              <w:rPr>
                <w:rFonts w:hint="default" w:ascii="Times New Roman" w:hAnsi="Times New Roman" w:eastAsia="宋体" w:cs="Times New Roman"/>
                <w:b/>
                <w:bCs/>
                <w:color w:val="auto"/>
                <w:sz w:val="24"/>
                <w:szCs w:val="32"/>
                <w:highlight w:val="none"/>
              </w:rPr>
              <w:t>本项目在北京市生态环境管控分区图中的位置示意图</w:t>
            </w:r>
          </w:p>
          <w:p w14:paraId="646EE070">
            <w:pPr>
              <w:keepNext w:val="0"/>
              <w:keepLines w:val="0"/>
              <w:pageBreakBefore w:val="0"/>
              <w:widowControl w:val="0"/>
              <w:kinsoku/>
              <w:wordWrap w:val="0"/>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highlight w:val="none"/>
                <w:lang w:eastAsia="zh-CN" w:bidi="ar"/>
              </w:rPr>
            </w:pPr>
            <w:r>
              <w:rPr>
                <w:rFonts w:hint="default" w:ascii="Times New Roman" w:hAnsi="Times New Roman" w:eastAsia="宋体" w:cs="Times New Roman"/>
                <w:color w:val="auto"/>
                <w:kern w:val="0"/>
                <w:sz w:val="24"/>
                <w:highlight w:val="none"/>
                <w:lang w:bidi="ar"/>
              </w:rPr>
              <w:t>根据北京市生态环境局</w:t>
            </w:r>
            <w:r>
              <w:rPr>
                <w:rFonts w:hint="eastAsia" w:cs="Times New Roman"/>
                <w:color w:val="auto"/>
                <w:kern w:val="0"/>
                <w:sz w:val="24"/>
                <w:highlight w:val="none"/>
                <w:lang w:eastAsia="zh-CN" w:bidi="ar"/>
              </w:rPr>
              <w:t>“</w:t>
            </w:r>
            <w:r>
              <w:rPr>
                <w:rFonts w:hint="default" w:ascii="Times New Roman" w:hAnsi="Times New Roman" w:eastAsia="宋体" w:cs="Times New Roman"/>
                <w:color w:val="auto"/>
                <w:kern w:val="0"/>
                <w:sz w:val="24"/>
                <w:highlight w:val="none"/>
                <w:lang w:bidi="ar"/>
              </w:rPr>
              <w:t>北京市生态环境局政府网站-政务服务-生态环境分区管控(</w:t>
            </w:r>
            <w:r>
              <w:rPr>
                <w:rFonts w:hint="default" w:ascii="Times New Roman" w:hAnsi="Times New Roman" w:eastAsia="宋体" w:cs="Times New Roman"/>
                <w:color w:val="auto"/>
                <w:kern w:val="0"/>
                <w:sz w:val="24"/>
                <w:highlight w:val="none"/>
                <w:lang w:val="en-US" w:eastAsia="zh-CN" w:bidi="ar"/>
              </w:rPr>
              <w:t>‘</w:t>
            </w:r>
            <w:r>
              <w:rPr>
                <w:rFonts w:hint="default" w:ascii="Times New Roman" w:hAnsi="Times New Roman" w:eastAsia="宋体" w:cs="Times New Roman"/>
                <w:color w:val="auto"/>
                <w:kern w:val="0"/>
                <w:sz w:val="24"/>
                <w:highlight w:val="none"/>
                <w:lang w:bidi="ar"/>
              </w:rPr>
              <w:t>三线一单’)系统</w:t>
            </w:r>
            <w:r>
              <w:rPr>
                <w:rFonts w:hint="eastAsia" w:ascii="Times New Roman" w:hAnsi="Times New Roman" w:eastAsia="宋体" w:cs="Times New Roman"/>
                <w:color w:val="auto"/>
                <w:kern w:val="0"/>
                <w:sz w:val="24"/>
                <w:highlight w:val="none"/>
                <w:lang w:eastAsia="zh-CN" w:bidi="ar"/>
              </w:rPr>
              <w:t>”</w:t>
            </w:r>
            <w:r>
              <w:rPr>
                <w:rFonts w:hint="default" w:ascii="Times New Roman" w:hAnsi="Times New Roman" w:eastAsia="宋体" w:cs="Times New Roman"/>
                <w:color w:val="auto"/>
                <w:kern w:val="0"/>
                <w:sz w:val="24"/>
                <w:highlight w:val="none"/>
                <w:lang w:bidi="ar"/>
              </w:rPr>
              <w:t>，本项目属于</w:t>
            </w:r>
            <w:r>
              <w:rPr>
                <w:rFonts w:hint="eastAsia" w:ascii="Times New Roman" w:hAnsi="Times New Roman" w:eastAsia="宋体" w:cs="Times New Roman"/>
                <w:color w:val="auto"/>
                <w:kern w:val="0"/>
                <w:sz w:val="24"/>
                <w:highlight w:val="none"/>
                <w:lang w:val="en-US" w:eastAsia="zh-CN" w:bidi="ar"/>
              </w:rPr>
              <w:t>和平街街道</w:t>
            </w:r>
            <w:r>
              <w:rPr>
                <w:rFonts w:hint="eastAsia" w:ascii="Times New Roman" w:hAnsi="Times New Roman" w:eastAsia="宋体" w:cs="Times New Roman"/>
                <w:color w:val="auto"/>
                <w:kern w:val="0"/>
                <w:sz w:val="24"/>
                <w:highlight w:val="none"/>
                <w:lang w:bidi="ar"/>
              </w:rPr>
              <w:t>街道（乡镇）重点管控单元</w:t>
            </w:r>
            <w:r>
              <w:rPr>
                <w:rFonts w:hint="default" w:ascii="Times New Roman" w:hAnsi="Times New Roman" w:eastAsia="宋体" w:cs="Times New Roman"/>
                <w:color w:val="auto"/>
                <w:kern w:val="0"/>
                <w:sz w:val="24"/>
                <w:highlight w:val="none"/>
                <w:lang w:bidi="ar"/>
              </w:rPr>
              <w:t>，环境管控单元编码为</w:t>
            </w:r>
            <w:r>
              <w:rPr>
                <w:rFonts w:hint="eastAsia" w:ascii="Times New Roman" w:hAnsi="Times New Roman" w:eastAsia="宋体" w:cs="Times New Roman"/>
                <w:color w:val="auto"/>
                <w:kern w:val="0"/>
                <w:sz w:val="24"/>
                <w:highlight w:val="none"/>
                <w:lang w:bidi="ar"/>
              </w:rPr>
              <w:t>ZH11010520008</w:t>
            </w:r>
            <w:r>
              <w:rPr>
                <w:rFonts w:hint="default" w:ascii="Times New Roman" w:hAnsi="Times New Roman" w:eastAsia="宋体" w:cs="Times New Roman"/>
                <w:color w:val="auto"/>
                <w:kern w:val="0"/>
                <w:sz w:val="24"/>
                <w:highlight w:val="none"/>
                <w:lang w:bidi="ar"/>
              </w:rPr>
              <w:t>，本项目在</w:t>
            </w:r>
            <w:r>
              <w:rPr>
                <w:rFonts w:hint="eastAsia" w:ascii="Times New Roman" w:hAnsi="Times New Roman" w:cs="Times New Roman"/>
                <w:color w:val="auto"/>
                <w:kern w:val="0"/>
                <w:sz w:val="24"/>
                <w:highlight w:val="none"/>
                <w:lang w:val="en-US" w:eastAsia="zh-CN" w:bidi="ar"/>
              </w:rPr>
              <w:t>本</w:t>
            </w:r>
            <w:r>
              <w:rPr>
                <w:rFonts w:hint="default" w:ascii="Times New Roman" w:hAnsi="Times New Roman" w:eastAsia="宋体" w:cs="Times New Roman"/>
                <w:color w:val="auto"/>
                <w:kern w:val="0"/>
                <w:sz w:val="24"/>
                <w:highlight w:val="none"/>
                <w:lang w:bidi="ar"/>
              </w:rPr>
              <w:t>重点管控单元图中位置见</w:t>
            </w:r>
            <w:r>
              <w:rPr>
                <w:rFonts w:hint="default" w:ascii="Times New Roman" w:hAnsi="Times New Roman" w:eastAsia="宋体" w:cs="Times New Roman"/>
                <w:color w:val="auto"/>
                <w:kern w:val="0"/>
                <w:sz w:val="24"/>
                <w:highlight w:val="none"/>
                <w:lang w:val="en-US" w:eastAsia="zh-CN" w:bidi="ar"/>
              </w:rPr>
              <w:t>下</w:t>
            </w:r>
            <w:r>
              <w:rPr>
                <w:rFonts w:hint="default" w:ascii="Times New Roman" w:hAnsi="Times New Roman" w:eastAsia="宋体" w:cs="Times New Roman"/>
                <w:color w:val="auto"/>
                <w:kern w:val="0"/>
                <w:sz w:val="24"/>
                <w:highlight w:val="none"/>
                <w:lang w:bidi="ar"/>
              </w:rPr>
              <w:t>图</w:t>
            </w:r>
            <w:r>
              <w:rPr>
                <w:rFonts w:hint="default" w:ascii="Times New Roman" w:hAnsi="Times New Roman" w:eastAsia="宋体" w:cs="Times New Roman"/>
                <w:color w:val="auto"/>
                <w:kern w:val="0"/>
                <w:sz w:val="24"/>
                <w:highlight w:val="none"/>
                <w:lang w:eastAsia="zh-CN" w:bidi="ar"/>
              </w:rPr>
              <w:t>。</w:t>
            </w:r>
          </w:p>
          <w:p w14:paraId="457B2961">
            <w:pPr>
              <w:spacing w:line="360" w:lineRule="auto"/>
              <w:rPr>
                <w:rFonts w:hint="default" w:ascii="Times New Roman" w:hAnsi="Times New Roman" w:eastAsia="宋体" w:cs="Times New Roman"/>
                <w:color w:val="auto"/>
                <w:kern w:val="0"/>
                <w:sz w:val="24"/>
                <w:highlight w:val="none"/>
                <w:lang w:eastAsia="zh-CN" w:bidi="ar"/>
              </w:rPr>
            </w:pPr>
            <w:r>
              <w:rPr>
                <w:color w:val="auto"/>
                <w:sz w:val="21"/>
              </w:rPr>
              <mc:AlternateContent>
                <mc:Choice Requires="wps">
                  <w:drawing>
                    <wp:anchor distT="0" distB="0" distL="114300" distR="114300" simplePos="0" relativeHeight="251665408" behindDoc="0" locked="0" layoutInCell="1" allowOverlap="1">
                      <wp:simplePos x="0" y="0"/>
                      <wp:positionH relativeFrom="column">
                        <wp:posOffset>2673985</wp:posOffset>
                      </wp:positionH>
                      <wp:positionV relativeFrom="paragraph">
                        <wp:posOffset>1098550</wp:posOffset>
                      </wp:positionV>
                      <wp:extent cx="647700" cy="320040"/>
                      <wp:effectExtent l="415290" t="6350" r="19050" b="252730"/>
                      <wp:wrapNone/>
                      <wp:docPr id="155" name="矩形标注 155"/>
                      <wp:cNvGraphicFramePr/>
                      <a:graphic xmlns:a="http://schemas.openxmlformats.org/drawingml/2006/main">
                        <a:graphicData uri="http://schemas.microsoft.com/office/word/2010/wordprocessingShape">
                          <wps:wsp>
                            <wps:cNvSpPr/>
                            <wps:spPr>
                              <a:xfrm>
                                <a:off x="5448935" y="2291080"/>
                                <a:ext cx="647700" cy="320040"/>
                              </a:xfrm>
                              <a:prstGeom prst="wedgeRectCallout">
                                <a:avLst>
                                  <a:gd name="adj1" fmla="val -106666"/>
                                  <a:gd name="adj2" fmla="val 119642"/>
                                </a:avLst>
                              </a:prstGeom>
                            </wps:spPr>
                            <wps:style>
                              <a:lnRef idx="2">
                                <a:schemeClr val="accent1">
                                  <a:lumMod val="75000"/>
                                </a:schemeClr>
                              </a:lnRef>
                              <a:fillRef idx="1">
                                <a:schemeClr val="accent1"/>
                              </a:fillRef>
                              <a:effectRef idx="0">
                                <a:srgbClr val="FFFFFF"/>
                              </a:effectRef>
                              <a:fontRef idx="minor">
                                <a:schemeClr val="lt1"/>
                              </a:fontRef>
                            </wps:style>
                            <wps:txbx>
                              <w:txbxContent>
                                <w:p w14:paraId="76F2A199">
                                  <w:pPr>
                                    <w:jc w:val="center"/>
                                    <w:rPr>
                                      <w:rFonts w:hint="default" w:eastAsia="宋体"/>
                                      <w:b/>
                                      <w:bCs/>
                                      <w:lang w:val="en-US" w:eastAsia="zh-CN"/>
                                    </w:rPr>
                                  </w:pPr>
                                  <w:r>
                                    <w:rPr>
                                      <w:rFonts w:hint="eastAsia"/>
                                      <w:b/>
                                      <w:bCs/>
                                      <w:lang w:val="en-US" w:eastAsia="zh-CN"/>
                                    </w:rPr>
                                    <w:t>本项目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210.55pt;margin-top:86.5pt;height:25.2pt;width:51pt;z-index:251665408;v-text-anchor:middle;mso-width-relative:page;mso-height-relative:page;" fillcolor="#5B9BD5 [3204]" filled="t" stroked="t" coordsize="21600,21600" o:gfxdata="UEsDBAoAAAAAAIdO4kAAAAAAAAAAAAAAAAAEAAAAZHJzL1BLAwQUAAAACACHTuJAktFbwNoAAAAL&#10;AQAADwAAAGRycy9kb3ducmV2LnhtbE2PS0/DMBCE70j8B2uRuCDqxCkPhTg9VDx64UAoSNzceEki&#10;7HUUu0359ywnOO7Mp9mZanX0ThxwikMgDfkiA4HUBjtQp2H7+nB5CyImQ9a4QKjhGyOs6tOTypQ2&#10;zPSChyZ1gkMolkZDn9JYShnbHr2JizAisfcZJm8Sn1Mn7WRmDvdOqiy7lt4MxB96M+K6x/ar2XsN&#10;Zvv0/JEcvY0X7XpO74+b+6bbaH1+lmd3IBIe0x8Mv/W5OtTcaRf2ZKNwGpYqzxll46bgUUxcqYKV&#10;nQaliiXIupL/N9Q/UEsDBBQAAAAIAIdO4kBJRWv80gIAAJYFAAAOAAAAZHJzL2Uyb0RvYy54bWyt&#10;VM1u00AQviPxDqu9t4nd/KtOlSYUIRVaURDnzXodG+2P2d00KS/AY4A4wZkzj0N5Db5du21aOPRA&#10;Ds6MZ/zNzDc/h0dbJcmlsK4yOqPJfpcSobnJK73K6Ns3J3sjSpxnOmfSaJHRK+Ho0fTpk8NNPRGp&#10;KY3MhSUA0W6yqTNael9POh3HS6GY2ze10DAWxirmodpVJ7dsA3QlO2m3O+hsjM1ra7hwDm8XjZG2&#10;iPYxgKYoKi4Whq+V0L5BtUIyj5JcWdWOTmO2RSG4PysKJzyRGUWlPj4RBPIyPDvTQzZZWVaXFW9T&#10;YI9J4UFNilUaQW+hFswzsrbVX1Cq4tY4U/h9blSnKSQygiqS7gNuLkpWi1gLqHb1Lenu/8HyV5fn&#10;llQ5JqHfp0QzhZb//vz918+v118+Xf/4RsJ7sLSp3QTOF/W5bTUHMZS8LawK/yiGbDPa7/VG4wNg&#10;XWU0TcdJd9SyLLaecDgMesNhF/xzOBxgInrR3rkDqq3zz4VRJAgZ3Yh8JV6jk3MmpVn7yDO7PHU+&#10;Ep63SbP8fUJJoST6d8kk2Uu6A/zaDu94pbteSTIe9NLghARaUEg3KYQIzsgqP6mkjIpdLefSEkRA&#10;qcfj40VkB5/cc5OabEBp2hTKsCYFxhM1qxpUO72ihMkV9o97G+u597XbDZI+G/aPB9FJrtVLkzex&#10;h/0uSGzybv1jDfeAQhkL5srmk2hq+FCVxxLLSmV0BJxbJKkBElrdNDdIfrvcth1fmvwK02JNs0au&#10;5icVIpwy58+ZBe/oKi6LP8OjkAYMmFaipDT247/eB3+MM6yUbLCHYOfDmllBiXyhMejjpIcBIT4q&#10;vf4whWJ3Lctdi16ruUFnMAnILorB38sbsbBGvcMBmoWoMDHNEbvpQ6vMfXMfcMK4mM2iG5a1Zv5U&#10;X9Q8gIdJ0Ga29qaofOhBIKphp1WwrrEd7WkJ92BXj15353T6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JLRW8DaAAAACwEAAA8AAAAAAAAAAQAgAAAAIgAAAGRycy9kb3ducmV2LnhtbFBLAQIUABQA&#10;AAAIAIdO4kBJRWv80gIAAJYFAAAOAAAAAAAAAAEAIAAAACkBAABkcnMvZTJvRG9jLnhtbFBLBQYA&#10;AAAABgAGAFkBAABtBgAAAAA=&#10;" adj="-12240,36643">
                      <v:fill on="t" focussize="0,0"/>
                      <v:stroke weight="1pt" color="#2E75B6 [2404]" miterlimit="8" joinstyle="miter"/>
                      <v:imagedata o:title=""/>
                      <o:lock v:ext="edit" aspectratio="f"/>
                      <v:textbox>
                        <w:txbxContent>
                          <w:p w14:paraId="76F2A199">
                            <w:pPr>
                              <w:jc w:val="center"/>
                              <w:rPr>
                                <w:rFonts w:hint="default" w:eastAsia="宋体"/>
                                <w:b/>
                                <w:bCs/>
                                <w:lang w:val="en-US" w:eastAsia="zh-CN"/>
                              </w:rPr>
                            </w:pPr>
                            <w:r>
                              <w:rPr>
                                <w:rFonts w:hint="eastAsia"/>
                                <w:b/>
                                <w:bCs/>
                                <w:lang w:val="en-US" w:eastAsia="zh-CN"/>
                              </w:rPr>
                              <w:t>本项目</w:t>
                            </w:r>
                          </w:p>
                        </w:txbxContent>
                      </v:textbox>
                    </v:shape>
                  </w:pict>
                </mc:Fallback>
              </mc:AlternateContent>
            </w:r>
            <w:r>
              <w:rPr>
                <w:color w:val="auto"/>
                <w:sz w:val="21"/>
              </w:rPr>
              <mc:AlternateContent>
                <mc:Choice Requires="wps">
                  <w:drawing>
                    <wp:anchor distT="0" distB="0" distL="114300" distR="114300" simplePos="0" relativeHeight="251664384" behindDoc="0" locked="0" layoutInCell="1" allowOverlap="1">
                      <wp:simplePos x="0" y="0"/>
                      <wp:positionH relativeFrom="column">
                        <wp:posOffset>2154555</wp:posOffset>
                      </wp:positionH>
                      <wp:positionV relativeFrom="paragraph">
                        <wp:posOffset>1593850</wp:posOffset>
                      </wp:positionV>
                      <wp:extent cx="76200" cy="75565"/>
                      <wp:effectExtent l="10160" t="13970" r="20320" b="17145"/>
                      <wp:wrapNone/>
                      <wp:docPr id="154" name="等腰三角形 154"/>
                      <wp:cNvGraphicFramePr/>
                      <a:graphic xmlns:a="http://schemas.openxmlformats.org/drawingml/2006/main">
                        <a:graphicData uri="http://schemas.microsoft.com/office/word/2010/wordprocessingShape">
                          <wps:wsp>
                            <wps:cNvSpPr/>
                            <wps:spPr>
                              <a:xfrm>
                                <a:off x="4938395" y="2816860"/>
                                <a:ext cx="76200" cy="75565"/>
                              </a:xfrm>
                              <a:prstGeom prst="triangle">
                                <a:avLst/>
                              </a:prstGeom>
                              <a:solidFill>
                                <a:srgbClr val="FFFF00"/>
                              </a:solidFill>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169.65pt;margin-top:125.5pt;height:5.95pt;width:6pt;z-index:251664384;v-text-anchor:middle;mso-width-relative:page;mso-height-relative:page;" fillcolor="#FFFF00" filled="t" stroked="t" coordsize="21600,21600" o:gfxdata="UEsDBAoAAAAAAIdO4kAAAAAAAAAAAAAAAAAEAAAAZHJzL1BLAwQUAAAACACHTuJAPmTlb9gAAAAL&#10;AQAADwAAAGRycy9kb3ducmV2LnhtbE2Pu07EMBBFeyT+wZqV6FgnsbJiQ5wVAiFBkYIsDZ03dh7a&#10;eBzFzoO/Z6ignDtH95GfNjuwxUy+dygh3kfADNZO99hK+Dy/3j8A80GhVoNDI+HbeDgVtze5yrRb&#10;8cMsVWgZmaDPlIQuhDHj3Nedscrv3WiQfo2brAp0Ti3Xk1rJ3A48iaIDt6pHSujUaJ47U1+r2Uoo&#10;38VXuaxP7UvKK769rU2ZzI2Ud7s4egQWzBb+YPitT9WhoE4XN6P2bJAgxFEQKiFJYxpFhEhjUi6k&#10;HJIj8CLn/zcUP1BLAwQUAAAACACHTuJAG9kMnqYCAAAwBQAADgAAAGRycy9lMm9Eb2MueG1srVTN&#10;bhMxEL4j8Q6W73STNJukq26q0BCEVGikgjg7Xu+uJf9hO9mUew+98ghcOCFx5MLbgOhjMPZum7Rw&#10;6IEcnJmd8Tcz38z4+GQrBdow67hWOe4f9DBiiuqCqyrH794unk0wcp6oggitWI4vmcMn06dPjhuT&#10;sYGutSiYRQCiXNaYHNfemyxJHK2ZJO5AG6bAWGoriQfVVklhSQPoUiSDXm+UNNoWxmrKnIOv89aI&#10;O0T7GEBdlpyyuaZryZRvUS0TxENJrubG4WnMtiwZ9edl6ZhHIsdQqY8nBAF5Fc5kekyyyhJTc9ql&#10;QB6TwoOaJOEKgt5BzYknaG35X1CSU6udLv0B1TJpC4mMQBX93gNuLmpiWKwFqHbmjnT3/2Dpm83S&#10;Il7AJKRDjBSR0PLfX69vrr79/H598+XTrx+fUTABUY1xGfhfmKXtNAdiqHpbWhn+oR60zfHw6HBy&#10;eJRidJnjwaQ/mow6otnWIwoO4xFMAkYU7OM0HaUBPdnBGOv8S6YlCkKOveVEVSIwQTKyOXO+db91&#10;C5+dFrxYcCGiYqvVqbBoQ6DrC/hBsPbKPTehUAN1D8YxFwKzXMIMQVrSAB9OVRgRUcGSUG9j7Hu3&#10;3X6QwYtx+nwUncRavtZFG3uc9nahW/9Y6D2gUMacuLq9Ek0hW5JJ7mHTBJc5ngDOHZJQABKa0dIf&#10;pJUuLqGPVrcD7gxdcIA9I84viYWJBrZh5/05HKXQULbuJIxqbT/+63vwh0EDK0YNbAhQ8mFNLMNI&#10;vFIwgkf94TCsVFSG6XgAit23rPYtai1PNbSjD6+LoVEM/l7ciqXV8j08DbMQFUxEUYjdkt8pp77d&#10;XHhcKJvNohuskSH+TF0YGsADb0rP1l6XPI7Jjp2ONFik2INu6cOm7uvRa/fQTf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FwUAAFtDb250ZW50&#10;X1R5cGVzXS54bWxQSwECFAAKAAAAAACHTuJAAAAAAAAAAAAAAAAABgAAAAAAAAAAABAAAAD5AwAA&#10;X3JlbHMvUEsBAhQAFAAAAAgAh07iQIoUZjzRAAAAlAEAAAsAAAAAAAAAAQAgAAAAHQQAAF9yZWxz&#10;Ly5yZWxzUEsBAhQACgAAAAAAh07iQAAAAAAAAAAAAAAAAAQAAAAAAAAAAAAQAAAAAAAAAGRycy9Q&#10;SwECFAAUAAAACACHTuJAPmTlb9gAAAALAQAADwAAAAAAAAABACAAAAAiAAAAZHJzL2Rvd25yZXYu&#10;eG1sUEsBAhQAFAAAAAgAh07iQBvZDJ6mAgAAMAUAAA4AAAAAAAAAAQAgAAAAJwEAAGRycy9lMm9E&#10;b2MueG1sUEsFBgAAAAAGAAYAWQEAAD8GAAAAAA==&#10;" adj="10800">
                      <v:fill on="t" focussize="0,0"/>
                      <v:stroke weight="1pt" color="#2E75B6 [2404]" miterlimit="8" joinstyle="miter"/>
                      <v:imagedata o:title=""/>
                      <o:lock v:ext="edit" aspectratio="f"/>
                    </v:shape>
                  </w:pict>
                </mc:Fallback>
              </mc:AlternateContent>
            </w:r>
            <w:r>
              <w:drawing>
                <wp:inline distT="0" distB="0" distL="114300" distR="114300">
                  <wp:extent cx="3421380" cy="4869180"/>
                  <wp:effectExtent l="0" t="0" r="7620" b="7620"/>
                  <wp:docPr id="1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6"/>
                          <pic:cNvPicPr>
                            <a:picLocks noChangeAspect="1"/>
                          </pic:cNvPicPr>
                        </pic:nvPicPr>
                        <pic:blipFill>
                          <a:blip r:embed="rId9"/>
                          <a:stretch>
                            <a:fillRect/>
                          </a:stretch>
                        </pic:blipFill>
                        <pic:spPr>
                          <a:xfrm>
                            <a:off x="0" y="0"/>
                            <a:ext cx="3421380" cy="4869180"/>
                          </a:xfrm>
                          <a:prstGeom prst="rect">
                            <a:avLst/>
                          </a:prstGeom>
                          <a:noFill/>
                          <a:ln>
                            <a:noFill/>
                          </a:ln>
                        </pic:spPr>
                      </pic:pic>
                    </a:graphicData>
                  </a:graphic>
                </wp:inline>
              </w:drawing>
            </w:r>
          </w:p>
          <w:p w14:paraId="15431A60">
            <w:pPr>
              <w:widowControl/>
              <w:numPr>
                <w:ilvl w:val="0"/>
                <w:numId w:val="3"/>
              </w:numPr>
              <w:spacing w:line="360" w:lineRule="auto"/>
              <w:ind w:left="425" w:leftChars="0" w:hanging="425" w:firstLineChars="0"/>
              <w:jc w:val="center"/>
              <w:rPr>
                <w:color w:val="auto"/>
              </w:rPr>
            </w:pPr>
            <w:r>
              <w:rPr>
                <w:rFonts w:hint="eastAsia" w:ascii="宋体" w:hAnsi="宋体" w:eastAsia="宋体" w:cs="宋体"/>
                <w:b/>
                <w:bCs/>
                <w:color w:val="auto"/>
                <w:kern w:val="0"/>
                <w:sz w:val="24"/>
                <w:szCs w:val="24"/>
                <w:lang w:val="en-US" w:eastAsia="zh-CN" w:bidi="ar"/>
              </w:rPr>
              <w:t>本项目与</w:t>
            </w:r>
            <w:r>
              <w:rPr>
                <w:rFonts w:hint="eastAsia" w:ascii="宋体" w:hAnsi="宋体" w:cs="宋体"/>
                <w:b/>
                <w:bCs/>
                <w:color w:val="auto"/>
                <w:kern w:val="0"/>
                <w:sz w:val="24"/>
                <w:szCs w:val="24"/>
                <w:lang w:val="en-US" w:eastAsia="zh-CN" w:bidi="ar"/>
              </w:rPr>
              <w:t>和平街街道</w:t>
            </w:r>
            <w:r>
              <w:rPr>
                <w:rFonts w:hint="eastAsia" w:ascii="宋体" w:hAnsi="宋体" w:eastAsia="宋体" w:cs="宋体"/>
                <w:b/>
                <w:bCs/>
                <w:color w:val="auto"/>
                <w:kern w:val="0"/>
                <w:sz w:val="24"/>
                <w:szCs w:val="24"/>
                <w:lang w:val="en-US" w:eastAsia="zh-CN" w:bidi="ar"/>
              </w:rPr>
              <w:t>管控单元位置关系图</w:t>
            </w:r>
          </w:p>
          <w:p w14:paraId="101745A2">
            <w:pPr>
              <w:widowControl/>
              <w:numPr>
                <w:ilvl w:val="0"/>
                <w:numId w:val="0"/>
              </w:numPr>
              <w:spacing w:line="360" w:lineRule="auto"/>
              <w:ind w:leftChars="0" w:firstLine="480" w:firstLineChars="200"/>
              <w:jc w:val="both"/>
              <w:rPr>
                <w:rFonts w:hint="default" w:ascii="Times New Roman" w:hAnsi="Times New Roman" w:eastAsia="宋体" w:cs="Times New Roman"/>
                <w:color w:val="auto"/>
                <w:sz w:val="24"/>
                <w:szCs w:val="32"/>
                <w:highlight w:val="none"/>
              </w:rPr>
            </w:pPr>
            <w:r>
              <w:rPr>
                <w:rFonts w:hint="default" w:ascii="Times New Roman" w:hAnsi="Times New Roman" w:eastAsia="宋体" w:cs="Times New Roman"/>
                <w:color w:val="auto"/>
                <w:sz w:val="24"/>
                <w:szCs w:val="32"/>
                <w:highlight w:val="none"/>
              </w:rPr>
              <w:t>现就全市总体环境准入清单、五大功能区环境准入清单及环境管控单元环境准入清单的符合性进行分析。</w:t>
            </w:r>
          </w:p>
        </w:tc>
      </w:tr>
    </w:tbl>
    <w:p w14:paraId="3E285C43">
      <w:pPr>
        <w:pStyle w:val="8"/>
        <w:rPr>
          <w:rFonts w:hint="default" w:ascii="Times New Roman" w:hAnsi="Times New Roman" w:eastAsia="宋体" w:cs="Times New Roman"/>
          <w:color w:val="auto"/>
          <w:sz w:val="21"/>
          <w:szCs w:val="22"/>
          <w:highlight w:val="none"/>
        </w:rPr>
        <w:sectPr>
          <w:headerReference r:id="rId3" w:type="default"/>
          <w:footerReference r:id="rId4" w:type="default"/>
          <w:pgSz w:w="11906" w:h="16838"/>
          <w:pgMar w:top="1701" w:right="1531" w:bottom="1701" w:left="1531" w:header="851" w:footer="851" w:gutter="0"/>
          <w:pgBorders>
            <w:top w:val="none" w:sz="0" w:space="0"/>
            <w:left w:val="none" w:sz="0" w:space="0"/>
            <w:bottom w:val="none" w:sz="0" w:space="0"/>
            <w:right w:val="none" w:sz="0" w:space="0"/>
          </w:pgBorders>
          <w:pgNumType w:fmt="decimal" w:start="1"/>
          <w:cols w:space="720" w:num="1"/>
          <w:docGrid w:linePitch="312" w:charSpace="0"/>
        </w:sectPr>
      </w:pP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5"/>
        <w:gridCol w:w="13197"/>
      </w:tblGrid>
      <w:tr w14:paraId="0D891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1" w:hRule="atLeast"/>
          <w:jc w:val="center"/>
        </w:trPr>
        <w:tc>
          <w:tcPr>
            <w:tcW w:w="456" w:type="dxa"/>
            <w:vAlign w:val="center"/>
          </w:tcPr>
          <w:p w14:paraId="7756D829">
            <w:pPr>
              <w:autoSpaceDE w:val="0"/>
              <w:autoSpaceDN w:val="0"/>
              <w:adjustRightInd w:val="0"/>
              <w:snapToGrid w:val="0"/>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kern w:val="0"/>
                <w:sz w:val="24"/>
                <w:highlight w:val="none"/>
              </w:rPr>
              <w:t>其他符合性分析</w:t>
            </w:r>
          </w:p>
        </w:tc>
        <w:tc>
          <w:tcPr>
            <w:tcW w:w="13196" w:type="dxa"/>
          </w:tcPr>
          <w:p w14:paraId="59AFA03E">
            <w:pPr>
              <w:pStyle w:val="9"/>
              <w:spacing w:line="360" w:lineRule="auto"/>
              <w:ind w:firstLine="482" w:firstLineChars="200"/>
              <w:rPr>
                <w:rFonts w:hint="default" w:ascii="Times New Roman" w:hAnsi="Times New Roman" w:eastAsia="宋体" w:cs="Times New Roman"/>
                <w:b/>
                <w:bCs/>
                <w:color w:val="auto"/>
                <w:kern w:val="0"/>
                <w:sz w:val="24"/>
                <w:highlight w:val="none"/>
                <w:lang w:bidi="ar"/>
              </w:rPr>
            </w:pPr>
            <w:r>
              <w:rPr>
                <w:rFonts w:hint="default" w:ascii="Times New Roman" w:hAnsi="Times New Roman" w:eastAsia="宋体" w:cs="Times New Roman"/>
                <w:b/>
                <w:bCs/>
                <w:color w:val="auto"/>
                <w:kern w:val="0"/>
                <w:sz w:val="24"/>
                <w:highlight w:val="none"/>
                <w:lang w:bidi="ar"/>
              </w:rPr>
              <w:t>1）全市总体生态环境准入清单</w:t>
            </w:r>
          </w:p>
          <w:p w14:paraId="41A35466">
            <w:pPr>
              <w:pStyle w:val="9"/>
              <w:spacing w:line="360" w:lineRule="auto"/>
              <w:ind w:firstLine="480" w:firstLineChars="200"/>
              <w:rPr>
                <w:rFonts w:hint="default" w:ascii="Times New Roman" w:hAnsi="Times New Roman" w:eastAsia="宋体" w:cs="Times New Roman"/>
                <w:color w:val="auto"/>
                <w:kern w:val="0"/>
                <w:sz w:val="24"/>
                <w:highlight w:val="none"/>
                <w:lang w:eastAsia="zh-CN" w:bidi="ar"/>
              </w:rPr>
            </w:pPr>
            <w:r>
              <w:rPr>
                <w:rFonts w:hint="default" w:ascii="Times New Roman" w:hAnsi="Times New Roman" w:eastAsia="宋体" w:cs="Times New Roman"/>
                <w:color w:val="auto"/>
                <w:kern w:val="0"/>
                <w:sz w:val="24"/>
                <w:highlight w:val="none"/>
                <w:lang w:bidi="ar"/>
              </w:rPr>
              <w:t>本项目属于</w:t>
            </w:r>
            <w:r>
              <w:rPr>
                <w:rFonts w:hint="eastAsia" w:ascii="Times New Roman" w:hAnsi="Times New Roman" w:eastAsia="宋体" w:cs="Times New Roman"/>
                <w:color w:val="auto"/>
                <w:kern w:val="0"/>
                <w:sz w:val="24"/>
                <w:highlight w:val="none"/>
                <w:lang w:bidi="ar"/>
              </w:rPr>
              <w:t>街道（乡镇）重点管控单元</w:t>
            </w:r>
            <w:r>
              <w:rPr>
                <w:rFonts w:hint="default" w:ascii="Times New Roman" w:hAnsi="Times New Roman" w:eastAsia="宋体" w:cs="Times New Roman"/>
                <w:color w:val="auto"/>
                <w:kern w:val="0"/>
                <w:sz w:val="24"/>
                <w:highlight w:val="none"/>
                <w:lang w:bidi="ar"/>
              </w:rPr>
              <w:t>，</w:t>
            </w:r>
            <w:r>
              <w:rPr>
                <w:rFonts w:hint="default" w:ascii="Times New Roman" w:hAnsi="Times New Roman" w:eastAsia="宋体" w:cs="Times New Roman"/>
                <w:color w:val="auto"/>
                <w:kern w:val="0"/>
                <w:sz w:val="24"/>
                <w:highlight w:val="none"/>
                <w:lang w:val="en-US" w:eastAsia="zh-CN" w:bidi="ar"/>
              </w:rPr>
              <w:t>具体</w:t>
            </w:r>
            <w:r>
              <w:rPr>
                <w:rFonts w:hint="eastAsia" w:ascii="Times New Roman" w:hAnsi="Times New Roman" w:eastAsia="宋体" w:cs="Times New Roman"/>
                <w:color w:val="auto"/>
                <w:kern w:val="0"/>
                <w:sz w:val="24"/>
                <w:highlight w:val="none"/>
                <w:lang w:val="en-US" w:eastAsia="zh-CN" w:bidi="ar"/>
              </w:rPr>
              <w:t>符合</w:t>
            </w:r>
            <w:r>
              <w:rPr>
                <w:rFonts w:hint="default" w:ascii="Times New Roman" w:hAnsi="Times New Roman" w:eastAsia="宋体" w:cs="Times New Roman"/>
                <w:color w:val="auto"/>
                <w:kern w:val="0"/>
                <w:sz w:val="24"/>
                <w:highlight w:val="none"/>
                <w:lang w:val="en-US" w:eastAsia="zh-CN" w:bidi="ar"/>
              </w:rPr>
              <w:t>性分析</w:t>
            </w:r>
            <w:r>
              <w:rPr>
                <w:rFonts w:hint="default" w:ascii="Times New Roman" w:hAnsi="Times New Roman" w:eastAsia="宋体" w:cs="Times New Roman"/>
                <w:color w:val="auto"/>
                <w:kern w:val="0"/>
                <w:sz w:val="24"/>
                <w:highlight w:val="none"/>
                <w:lang w:bidi="ar"/>
              </w:rPr>
              <w:t>见下表</w:t>
            </w:r>
            <w:r>
              <w:rPr>
                <w:rFonts w:hint="default" w:ascii="Times New Roman" w:hAnsi="Times New Roman" w:eastAsia="宋体" w:cs="Times New Roman"/>
                <w:color w:val="auto"/>
                <w:kern w:val="0"/>
                <w:sz w:val="24"/>
                <w:highlight w:val="none"/>
                <w:lang w:eastAsia="zh-CN" w:bidi="ar"/>
              </w:rPr>
              <w:t>。</w:t>
            </w:r>
          </w:p>
          <w:p w14:paraId="31E999C8">
            <w:pPr>
              <w:widowControl/>
              <w:numPr>
                <w:ilvl w:val="0"/>
                <w:numId w:val="4"/>
              </w:numPr>
              <w:spacing w:line="360" w:lineRule="auto"/>
              <w:ind w:left="425" w:leftChars="0" w:hanging="425" w:firstLineChars="0"/>
              <w:jc w:val="center"/>
              <w:rPr>
                <w:rFonts w:hint="default" w:ascii="Times New Roman" w:hAnsi="Times New Roman" w:eastAsia="宋体" w:cs="Times New Roman"/>
                <w:b/>
                <w:bCs/>
                <w:color w:val="auto"/>
                <w:kern w:val="0"/>
                <w:sz w:val="24"/>
                <w:highlight w:val="none"/>
                <w:lang w:bidi="ar"/>
              </w:rPr>
            </w:pPr>
            <w:r>
              <w:rPr>
                <w:rFonts w:hint="default" w:ascii="Times New Roman" w:hAnsi="Times New Roman" w:eastAsia="宋体" w:cs="Times New Roman"/>
                <w:b/>
                <w:bCs/>
                <w:color w:val="auto"/>
                <w:kern w:val="0"/>
                <w:sz w:val="24"/>
                <w:highlight w:val="none"/>
                <w:lang w:bidi="ar"/>
              </w:rPr>
              <w:t>项目</w:t>
            </w:r>
            <w:r>
              <w:rPr>
                <w:rFonts w:hint="default" w:ascii="Times New Roman" w:hAnsi="Times New Roman" w:eastAsia="宋体" w:cs="Times New Roman"/>
                <w:b/>
                <w:bCs/>
                <w:color w:val="auto"/>
                <w:kern w:val="0"/>
                <w:sz w:val="24"/>
                <w:highlight w:val="none"/>
                <w:lang w:val="en-US" w:eastAsia="zh-CN" w:bidi="ar"/>
              </w:rPr>
              <w:t>与</w:t>
            </w:r>
            <w:r>
              <w:rPr>
                <w:rFonts w:hint="eastAsia" w:ascii="Times New Roman" w:hAnsi="Times New Roman" w:eastAsia="宋体" w:cs="Times New Roman"/>
                <w:b/>
                <w:bCs/>
                <w:color w:val="auto"/>
                <w:kern w:val="0"/>
                <w:sz w:val="24"/>
                <w:highlight w:val="none"/>
                <w:lang w:val="en-US" w:eastAsia="zh-CN" w:bidi="ar"/>
              </w:rPr>
              <w:t>街道（乡镇）重点管控单元生态环境总体准入清单管控要求符合性分析一览表</w:t>
            </w:r>
          </w:p>
          <w:tbl>
            <w:tblPr>
              <w:tblStyle w:val="24"/>
              <w:tblW w:w="13059"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38"/>
              <w:gridCol w:w="6495"/>
              <w:gridCol w:w="4980"/>
              <w:gridCol w:w="746"/>
            </w:tblGrid>
            <w:tr w14:paraId="7108099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38" w:type="dxa"/>
                  <w:tcBorders>
                    <w:tl2br w:val="nil"/>
                    <w:tr2bl w:val="nil"/>
                  </w:tcBorders>
                  <w:shd w:val="clear" w:color="auto" w:fill="auto"/>
                  <w:vAlign w:val="center"/>
                </w:tcPr>
                <w:p w14:paraId="69BD677E">
                  <w:pPr>
                    <w:pStyle w:val="9"/>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管控类别</w:t>
                  </w:r>
                </w:p>
              </w:tc>
              <w:tc>
                <w:tcPr>
                  <w:tcW w:w="6495" w:type="dxa"/>
                  <w:tcBorders>
                    <w:tl2br w:val="nil"/>
                    <w:tr2bl w:val="nil"/>
                  </w:tcBorders>
                  <w:shd w:val="clear" w:color="auto" w:fill="auto"/>
                  <w:vAlign w:val="center"/>
                </w:tcPr>
                <w:p w14:paraId="223844D0">
                  <w:pPr>
                    <w:pStyle w:val="9"/>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重点管控要求</w:t>
                  </w:r>
                </w:p>
              </w:tc>
              <w:tc>
                <w:tcPr>
                  <w:tcW w:w="4980" w:type="dxa"/>
                  <w:tcBorders>
                    <w:tl2br w:val="nil"/>
                    <w:tr2bl w:val="nil"/>
                  </w:tcBorders>
                  <w:shd w:val="clear" w:color="auto" w:fill="auto"/>
                  <w:vAlign w:val="center"/>
                </w:tcPr>
                <w:p w14:paraId="63B49296">
                  <w:pPr>
                    <w:pStyle w:val="9"/>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本项目符合性</w:t>
                  </w:r>
                </w:p>
              </w:tc>
              <w:tc>
                <w:tcPr>
                  <w:tcW w:w="746" w:type="dxa"/>
                  <w:tcBorders>
                    <w:tl2br w:val="nil"/>
                    <w:tr2bl w:val="nil"/>
                  </w:tcBorders>
                  <w:shd w:val="clear" w:color="auto" w:fill="auto"/>
                  <w:vAlign w:val="center"/>
                </w:tcPr>
                <w:p w14:paraId="21687915">
                  <w:pPr>
                    <w:pStyle w:val="9"/>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是否</w:t>
                  </w:r>
                </w:p>
                <w:p w14:paraId="3FF9E662">
                  <w:pPr>
                    <w:pStyle w:val="9"/>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符合</w:t>
                  </w:r>
                </w:p>
              </w:tc>
            </w:tr>
            <w:tr w14:paraId="4917F11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84" w:hRule="atLeast"/>
                <w:jc w:val="center"/>
              </w:trPr>
              <w:tc>
                <w:tcPr>
                  <w:tcW w:w="838" w:type="dxa"/>
                  <w:tcBorders>
                    <w:tl2br w:val="nil"/>
                    <w:tr2bl w:val="nil"/>
                  </w:tcBorders>
                  <w:shd w:val="clear" w:color="auto" w:fill="auto"/>
                  <w:vAlign w:val="center"/>
                </w:tcPr>
                <w:p w14:paraId="5C6453A6">
                  <w:pPr>
                    <w:pStyle w:val="9"/>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bCs/>
                      <w:color w:val="auto"/>
                      <w:sz w:val="21"/>
                      <w:szCs w:val="21"/>
                      <w:highlight w:val="none"/>
                    </w:rPr>
                    <w:t>空间布局约束</w:t>
                  </w:r>
                </w:p>
              </w:tc>
              <w:tc>
                <w:tcPr>
                  <w:tcW w:w="6495" w:type="dxa"/>
                  <w:tcBorders>
                    <w:tl2br w:val="nil"/>
                    <w:tr2bl w:val="nil"/>
                  </w:tcBorders>
                  <w:shd w:val="clear" w:color="auto" w:fill="auto"/>
                  <w:vAlign w:val="center"/>
                </w:tcPr>
                <w:p w14:paraId="0D248A0D">
                  <w:pPr>
                    <w:pStyle w:val="9"/>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1.严格执行《北京市新增产业的禁止和限制目录（2022年版）》、北京市《建设项目规划使用性质正面和负面清单》、《外商投资准入特别管理措施(负面清单)（2021年版）》《自由贸易试验区外商投资准入特别管理措施（负面清单）（2021年版）》《北京市“十四五”时期高精尖产业发展规划》《北京市“十四五”时期生态环境保护规划》。</w:t>
                  </w:r>
                  <w:r>
                    <w:rPr>
                      <w:rFonts w:hint="eastAsia" w:ascii="Times New Roman" w:hAnsi="Times New Roman" w:eastAsia="宋体" w:cs="Times New Roman"/>
                      <w:color w:val="auto"/>
                      <w:sz w:val="21"/>
                      <w:szCs w:val="21"/>
                      <w:highlight w:val="none"/>
                    </w:rPr>
                    <w:br w:type="textWrapping"/>
                  </w:r>
                  <w:r>
                    <w:rPr>
                      <w:rFonts w:hint="eastAsia" w:ascii="Times New Roman" w:hAnsi="Times New Roman" w:eastAsia="宋体" w:cs="Times New Roman"/>
                      <w:color w:val="auto"/>
                      <w:sz w:val="21"/>
                      <w:szCs w:val="21"/>
                      <w:highlight w:val="none"/>
                    </w:rPr>
                    <w:t>2.严格执行《北京市工业污染行业生产工艺调整退出及设备淘汰目录（2022年版）》。</w:t>
                  </w:r>
                  <w:r>
                    <w:rPr>
                      <w:rFonts w:hint="eastAsia" w:ascii="Times New Roman" w:hAnsi="Times New Roman" w:eastAsia="宋体" w:cs="Times New Roman"/>
                      <w:color w:val="auto"/>
                      <w:sz w:val="21"/>
                      <w:szCs w:val="21"/>
                      <w:highlight w:val="none"/>
                    </w:rPr>
                    <w:br w:type="textWrapping"/>
                  </w:r>
                  <w:r>
                    <w:rPr>
                      <w:rFonts w:hint="eastAsia" w:ascii="Times New Roman" w:hAnsi="Times New Roman" w:eastAsia="宋体" w:cs="Times New Roman"/>
                      <w:color w:val="auto"/>
                      <w:sz w:val="21"/>
                      <w:szCs w:val="21"/>
                      <w:highlight w:val="none"/>
                    </w:rPr>
                    <w:t>3.严格执行《北京城市总体规划(2016年-2035年)》《北京市国土空间近期规划(2021年—2025年)》及分区规划中的空间布局约束管控要求。</w:t>
                  </w:r>
                  <w:r>
                    <w:rPr>
                      <w:rFonts w:hint="eastAsia" w:ascii="Times New Roman" w:hAnsi="Times New Roman" w:eastAsia="宋体" w:cs="Times New Roman"/>
                      <w:color w:val="auto"/>
                      <w:sz w:val="21"/>
                      <w:szCs w:val="21"/>
                      <w:highlight w:val="none"/>
                    </w:rPr>
                    <w:br w:type="textWrapping"/>
                  </w:r>
                  <w:r>
                    <w:rPr>
                      <w:rFonts w:hint="eastAsia" w:ascii="Times New Roman" w:hAnsi="Times New Roman" w:eastAsia="宋体" w:cs="Times New Roman"/>
                      <w:color w:val="auto"/>
                      <w:sz w:val="21"/>
                      <w:szCs w:val="21"/>
                      <w:highlight w:val="none"/>
                    </w:rPr>
                    <w:t>4.严格执行《北京市高污染燃料禁燃区划定方案（试行）》，高污染燃料禁燃区内任何单位不得新建、扩建高污染燃料燃用设施，不得将其他燃料燃用设施改造为高污染燃料燃用设施。</w:t>
                  </w:r>
                  <w:r>
                    <w:rPr>
                      <w:rFonts w:hint="eastAsia" w:ascii="Times New Roman" w:hAnsi="Times New Roman" w:eastAsia="宋体" w:cs="Times New Roman"/>
                      <w:color w:val="auto"/>
                      <w:sz w:val="21"/>
                      <w:szCs w:val="21"/>
                      <w:highlight w:val="none"/>
                    </w:rPr>
                    <w:br w:type="textWrapping"/>
                  </w:r>
                  <w:r>
                    <w:rPr>
                      <w:rFonts w:hint="eastAsia" w:ascii="Times New Roman" w:hAnsi="Times New Roman" w:eastAsia="宋体" w:cs="Times New Roman"/>
                      <w:color w:val="auto"/>
                      <w:sz w:val="21"/>
                      <w:szCs w:val="21"/>
                      <w:highlight w:val="none"/>
                    </w:rPr>
                    <w:t>5.严格执行《北京市水污染防治条例》，通过合理规划工业布局，引导工业企业入驻工业园区；规划禁养区内已有的畜禽养殖场、养殖小区项目，由所在地区人民政府限期拆除。</w:t>
                  </w:r>
                  <w:r>
                    <w:rPr>
                      <w:rFonts w:hint="eastAsia" w:ascii="Times New Roman" w:hAnsi="Times New Roman" w:eastAsia="宋体" w:cs="Times New Roman"/>
                      <w:color w:val="auto"/>
                      <w:sz w:val="21"/>
                      <w:szCs w:val="21"/>
                      <w:highlight w:val="none"/>
                    </w:rPr>
                    <w:br w:type="textWrapping"/>
                  </w:r>
                  <w:r>
                    <w:rPr>
                      <w:rFonts w:hint="eastAsia" w:ascii="Times New Roman" w:hAnsi="Times New Roman" w:eastAsia="宋体" w:cs="Times New Roman"/>
                      <w:color w:val="auto"/>
                      <w:sz w:val="21"/>
                      <w:szCs w:val="21"/>
                      <w:highlight w:val="none"/>
                    </w:rPr>
                    <w:t>6.严格执行《北京市大气污染防治条例》，禁止销售不符合标准的散煤及制品；在居民住宅楼、未配套设立专用烟道的商住综合楼、商住综合楼内与居住层相邻的商业楼层内，禁止新建、改建、扩建产生油烟、异味、废气的饮食服务、服装干洗和机动车维修等项目。</w:t>
                  </w:r>
                  <w:r>
                    <w:rPr>
                      <w:rFonts w:hint="eastAsia" w:ascii="Times New Roman" w:hAnsi="Times New Roman" w:eastAsia="宋体" w:cs="Times New Roman"/>
                      <w:color w:val="auto"/>
                      <w:sz w:val="21"/>
                      <w:szCs w:val="21"/>
                      <w:highlight w:val="none"/>
                    </w:rPr>
                    <w:br w:type="textWrapping"/>
                  </w:r>
                  <w:r>
                    <w:rPr>
                      <w:rFonts w:hint="eastAsia" w:ascii="Times New Roman" w:hAnsi="Times New Roman" w:eastAsia="宋体" w:cs="Times New Roman"/>
                      <w:color w:val="auto"/>
                      <w:sz w:val="21"/>
                      <w:szCs w:val="21"/>
                      <w:highlight w:val="none"/>
                    </w:rPr>
                    <w:t>7.严格执行《北京历史文化名城保护条例》，严格控制建设规模和建筑高度，保护景观视廊和空间格局；逐步开展环境整治、生态修复，恢复大尺度绿色空间。</w:t>
                  </w:r>
                </w:p>
              </w:tc>
              <w:tc>
                <w:tcPr>
                  <w:tcW w:w="4980" w:type="dxa"/>
                  <w:tcBorders>
                    <w:tl2br w:val="nil"/>
                    <w:tr2bl w:val="nil"/>
                  </w:tcBorders>
                  <w:shd w:val="clear" w:color="auto" w:fill="auto"/>
                  <w:vAlign w:val="center"/>
                </w:tcPr>
                <w:p w14:paraId="6BDF9C5C">
                  <w:pPr>
                    <w:pStyle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1、本项目不属于《北京市新增产业的禁止和限制目录（202</w:t>
                  </w:r>
                  <w:r>
                    <w:rPr>
                      <w:rFonts w:hint="eastAsia"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rPr>
                    <w:t>年版）》中禁止和限制类项目；</w:t>
                  </w:r>
                  <w:r>
                    <w:rPr>
                      <w:rFonts w:hint="eastAsia" w:cs="Times New Roman"/>
                      <w:color w:val="auto"/>
                      <w:sz w:val="21"/>
                      <w:szCs w:val="21"/>
                      <w:highlight w:val="none"/>
                      <w:lang w:val="en-US" w:eastAsia="zh-CN"/>
                    </w:rPr>
                    <w:t>项目不在</w:t>
                  </w:r>
                  <w:r>
                    <w:rPr>
                      <w:rFonts w:hint="default" w:ascii="Times New Roman" w:hAnsi="Times New Roman" w:eastAsia="宋体" w:cs="Times New Roman"/>
                      <w:color w:val="auto"/>
                      <w:sz w:val="21"/>
                      <w:szCs w:val="21"/>
                      <w:highlight w:val="none"/>
                    </w:rPr>
                    <w:t>本</w:t>
                  </w:r>
                  <w:r>
                    <w:rPr>
                      <w:rFonts w:hint="eastAsia" w:ascii="Times New Roman" w:hAnsi="Times New Roman" w:eastAsia="宋体" w:cs="Times New Roman"/>
                      <w:color w:val="auto"/>
                      <w:sz w:val="21"/>
                      <w:szCs w:val="21"/>
                      <w:highlight w:val="none"/>
                    </w:rPr>
                    <w:t>北京市《建设项目规划使用性质正面和负面清单》</w:t>
                  </w:r>
                  <w:r>
                    <w:rPr>
                      <w:rFonts w:hint="eastAsia" w:cs="Times New Roman"/>
                      <w:color w:val="auto"/>
                      <w:sz w:val="21"/>
                      <w:szCs w:val="21"/>
                      <w:highlight w:val="none"/>
                      <w:lang w:val="en-US" w:eastAsia="zh-CN"/>
                    </w:rPr>
                    <w:t>中；</w:t>
                  </w:r>
                  <w:r>
                    <w:rPr>
                      <w:rFonts w:hint="default" w:ascii="Times New Roman" w:hAnsi="Times New Roman" w:eastAsia="宋体" w:cs="Times New Roman"/>
                      <w:color w:val="auto"/>
                      <w:sz w:val="21"/>
                      <w:szCs w:val="21"/>
                      <w:highlight w:val="none"/>
                    </w:rPr>
                    <w:t>项目不属于外商投资和自由贸易类项目</w:t>
                  </w:r>
                  <w:r>
                    <w:rPr>
                      <w:rFonts w:hint="eastAsia" w:cs="Times New Roman"/>
                      <w:color w:val="auto"/>
                      <w:sz w:val="21"/>
                      <w:szCs w:val="21"/>
                      <w:highlight w:val="none"/>
                      <w:lang w:eastAsia="zh-CN"/>
                    </w:rPr>
                    <w:t>；</w:t>
                  </w:r>
                  <w:r>
                    <w:rPr>
                      <w:rFonts w:hint="eastAsia" w:cs="Times New Roman"/>
                      <w:color w:val="auto"/>
                      <w:sz w:val="21"/>
                      <w:szCs w:val="21"/>
                      <w:highlight w:val="none"/>
                      <w:lang w:val="en-US" w:eastAsia="zh-CN"/>
                    </w:rPr>
                    <w:t>项目为电池材料研发项目，符合</w:t>
                  </w:r>
                  <w:r>
                    <w:rPr>
                      <w:rFonts w:hint="eastAsia" w:ascii="Times New Roman" w:hAnsi="Times New Roman" w:eastAsia="宋体" w:cs="Times New Roman"/>
                      <w:color w:val="auto"/>
                      <w:sz w:val="21"/>
                      <w:szCs w:val="21"/>
                      <w:highlight w:val="none"/>
                    </w:rPr>
                    <w:t>《北京市“十四五”时期高精尖产业发展规划》《北京市“十四五”时期生态环境保护规划》</w:t>
                  </w:r>
                  <w:r>
                    <w:rPr>
                      <w:rFonts w:hint="eastAsia" w:ascii="Times New Roman" w:hAnsi="Times New Roman" w:cs="Times New Roman"/>
                      <w:color w:val="auto"/>
                      <w:sz w:val="21"/>
                      <w:szCs w:val="21"/>
                      <w:highlight w:val="none"/>
                      <w:lang w:val="en-US" w:eastAsia="zh-CN"/>
                    </w:rPr>
                    <w:t>要求</w:t>
                  </w:r>
                  <w:r>
                    <w:rPr>
                      <w:rFonts w:hint="default" w:ascii="Times New Roman" w:hAnsi="Times New Roman" w:eastAsia="宋体" w:cs="Times New Roman"/>
                      <w:color w:val="auto"/>
                      <w:sz w:val="21"/>
                      <w:szCs w:val="21"/>
                      <w:highlight w:val="none"/>
                    </w:rPr>
                    <w:t>。</w:t>
                  </w:r>
                </w:p>
                <w:p w14:paraId="7A916D67">
                  <w:pPr>
                    <w:pStyle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2、本项目的生产工艺和设备未列入《北京市工业污染行业生产工艺调整退出及设备淘汰目录（202</w:t>
                  </w:r>
                  <w:r>
                    <w:rPr>
                      <w:rFonts w:hint="eastAsia" w:cs="Times New Roman"/>
                      <w:color w:val="auto"/>
                      <w:sz w:val="21"/>
                      <w:szCs w:val="21"/>
                      <w:highlight w:val="none"/>
                      <w:lang w:val="en-US" w:eastAsia="zh-CN"/>
                    </w:rPr>
                    <w:t>5</w:t>
                  </w:r>
                  <w:r>
                    <w:rPr>
                      <w:rFonts w:hint="default" w:ascii="Times New Roman" w:hAnsi="Times New Roman" w:eastAsia="宋体" w:cs="Times New Roman"/>
                      <w:color w:val="auto"/>
                      <w:sz w:val="21"/>
                      <w:szCs w:val="21"/>
                      <w:highlight w:val="none"/>
                    </w:rPr>
                    <w:t>年版）》。</w:t>
                  </w:r>
                </w:p>
                <w:p w14:paraId="6F1B8AC4">
                  <w:pPr>
                    <w:pStyle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w:t>
                  </w:r>
                  <w:r>
                    <w:rPr>
                      <w:rFonts w:hint="eastAsia" w:cs="Times New Roman"/>
                      <w:color w:val="auto"/>
                      <w:sz w:val="21"/>
                      <w:szCs w:val="21"/>
                      <w:highlight w:val="none"/>
                      <w:lang w:val="en-US" w:eastAsia="zh-CN"/>
                    </w:rPr>
                    <w:t>本项目符合</w:t>
                  </w:r>
                  <w:r>
                    <w:rPr>
                      <w:rFonts w:hint="eastAsia" w:ascii="Times New Roman" w:hAnsi="Times New Roman" w:eastAsia="宋体" w:cs="Times New Roman"/>
                      <w:color w:val="auto"/>
                      <w:sz w:val="21"/>
                      <w:szCs w:val="21"/>
                      <w:highlight w:val="none"/>
                    </w:rPr>
                    <w:t>《北京城市总体规划(2016年-2035年)》《北京市国土空间近期规划(2021年—2025年)》及</w:t>
                  </w:r>
                  <w:r>
                    <w:rPr>
                      <w:rFonts w:hint="eastAsia" w:ascii="Times New Roman" w:hAnsi="Times New Roman" w:cs="Times New Roman"/>
                      <w:color w:val="auto"/>
                      <w:sz w:val="21"/>
                      <w:szCs w:val="21"/>
                      <w:highlight w:val="none"/>
                      <w:lang w:val="en-US" w:eastAsia="zh-CN"/>
                    </w:rPr>
                    <w:t>朝阳区</w:t>
                  </w:r>
                  <w:r>
                    <w:rPr>
                      <w:rFonts w:hint="eastAsia" w:ascii="Times New Roman" w:hAnsi="Times New Roman" w:eastAsia="宋体" w:cs="Times New Roman"/>
                      <w:color w:val="auto"/>
                      <w:sz w:val="21"/>
                      <w:szCs w:val="21"/>
                      <w:highlight w:val="none"/>
                    </w:rPr>
                    <w:t>规划中的空间布局约束管控要求。</w:t>
                  </w:r>
                </w:p>
                <w:p w14:paraId="02489CC2">
                  <w:pPr>
                    <w:pStyle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w:t>
                  </w:r>
                  <w:r>
                    <w:rPr>
                      <w:rFonts w:hint="eastAsia" w:cs="Times New Roman"/>
                      <w:color w:val="auto"/>
                      <w:sz w:val="21"/>
                      <w:szCs w:val="21"/>
                      <w:highlight w:val="none"/>
                      <w:lang w:val="en-US" w:eastAsia="zh-CN"/>
                    </w:rPr>
                    <w:t>项目不涉及高污染燃料</w:t>
                  </w:r>
                  <w:r>
                    <w:rPr>
                      <w:rFonts w:hint="default" w:ascii="Times New Roman" w:hAnsi="Times New Roman" w:eastAsia="宋体" w:cs="Times New Roman"/>
                      <w:color w:val="auto"/>
                      <w:sz w:val="21"/>
                      <w:szCs w:val="21"/>
                      <w:highlight w:val="none"/>
                    </w:rPr>
                    <w:t>。</w:t>
                  </w:r>
                </w:p>
                <w:p w14:paraId="6336DA75">
                  <w:pPr>
                    <w:pStyle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w:t>
                  </w:r>
                  <w:r>
                    <w:rPr>
                      <w:rFonts w:hint="eastAsia" w:cs="Times New Roman"/>
                      <w:color w:val="auto"/>
                      <w:sz w:val="21"/>
                      <w:szCs w:val="21"/>
                      <w:highlight w:val="none"/>
                      <w:lang w:val="en-US" w:eastAsia="zh-CN"/>
                    </w:rPr>
                    <w:t>本项目用水量较少，单位制定节水措施，减少项目用水量</w:t>
                  </w:r>
                  <w:r>
                    <w:rPr>
                      <w:rFonts w:hint="default" w:ascii="Times New Roman" w:hAnsi="Times New Roman" w:eastAsia="宋体" w:cs="Times New Roman"/>
                      <w:color w:val="auto"/>
                      <w:sz w:val="21"/>
                      <w:szCs w:val="21"/>
                      <w:highlight w:val="none"/>
                    </w:rPr>
                    <w:t>。</w:t>
                  </w:r>
                </w:p>
                <w:p w14:paraId="280B5862">
                  <w:pPr>
                    <w:pStyle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6.本项目</w:t>
                  </w:r>
                  <w:r>
                    <w:rPr>
                      <w:rFonts w:hint="eastAsia" w:cs="Times New Roman"/>
                      <w:color w:val="auto"/>
                      <w:sz w:val="21"/>
                      <w:szCs w:val="21"/>
                      <w:highlight w:val="none"/>
                      <w:lang w:val="en-US" w:eastAsia="zh-CN"/>
                    </w:rPr>
                    <w:t>严格执行</w:t>
                  </w:r>
                  <w:r>
                    <w:rPr>
                      <w:rFonts w:hint="eastAsia" w:ascii="Times New Roman" w:hAnsi="Times New Roman" w:eastAsia="宋体" w:cs="Times New Roman"/>
                      <w:color w:val="auto"/>
                      <w:sz w:val="21"/>
                      <w:szCs w:val="21"/>
                      <w:highlight w:val="none"/>
                    </w:rPr>
                    <w:t>《北京市大气污染防治条例》</w:t>
                  </w:r>
                  <w:r>
                    <w:rPr>
                      <w:rFonts w:hint="eastAsia" w:ascii="Times New Roman" w:hAnsi="Times New Roman" w:cs="Times New Roman"/>
                      <w:color w:val="auto"/>
                      <w:sz w:val="21"/>
                      <w:szCs w:val="21"/>
                      <w:highlight w:val="none"/>
                      <w:lang w:val="en-US" w:eastAsia="zh-CN"/>
                    </w:rPr>
                    <w:t>的要求</w:t>
                  </w:r>
                  <w:r>
                    <w:rPr>
                      <w:rFonts w:hint="default" w:ascii="Times New Roman" w:hAnsi="Times New Roman" w:eastAsia="宋体" w:cs="Times New Roman"/>
                      <w:color w:val="auto"/>
                      <w:sz w:val="21"/>
                      <w:szCs w:val="21"/>
                      <w:highlight w:val="none"/>
                    </w:rPr>
                    <w:t>。</w:t>
                  </w:r>
                </w:p>
                <w:p w14:paraId="4816AF11">
                  <w:pPr>
                    <w:pStyle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7.本项目</w:t>
                  </w:r>
                  <w:r>
                    <w:rPr>
                      <w:rFonts w:hint="eastAsia" w:cs="Times New Roman"/>
                      <w:color w:val="auto"/>
                      <w:sz w:val="21"/>
                      <w:szCs w:val="21"/>
                      <w:highlight w:val="none"/>
                      <w:lang w:val="en-US" w:eastAsia="zh-CN"/>
                    </w:rPr>
                    <w:t>严格执行</w:t>
                  </w:r>
                  <w:r>
                    <w:rPr>
                      <w:rFonts w:hint="eastAsia" w:ascii="Times New Roman" w:hAnsi="Times New Roman" w:eastAsia="宋体" w:cs="Times New Roman"/>
                      <w:color w:val="auto"/>
                      <w:sz w:val="21"/>
                      <w:szCs w:val="21"/>
                      <w:highlight w:val="none"/>
                    </w:rPr>
                    <w:t>《北京历史文化名城保护条例》</w:t>
                  </w:r>
                  <w:r>
                    <w:rPr>
                      <w:rFonts w:hint="eastAsia" w:ascii="Times New Roman" w:hAnsi="Times New Roman" w:cs="Times New Roman"/>
                      <w:color w:val="auto"/>
                      <w:sz w:val="21"/>
                      <w:szCs w:val="21"/>
                      <w:highlight w:val="none"/>
                      <w:lang w:val="en-US" w:eastAsia="zh-CN"/>
                    </w:rPr>
                    <w:t>的要求</w:t>
                  </w:r>
                  <w:r>
                    <w:rPr>
                      <w:rFonts w:hint="default" w:ascii="Times New Roman" w:hAnsi="Times New Roman" w:eastAsia="宋体" w:cs="Times New Roman"/>
                      <w:color w:val="auto"/>
                      <w:sz w:val="21"/>
                      <w:szCs w:val="21"/>
                      <w:highlight w:val="none"/>
                    </w:rPr>
                    <w:t>。</w:t>
                  </w:r>
                </w:p>
              </w:tc>
              <w:tc>
                <w:tcPr>
                  <w:tcW w:w="746" w:type="dxa"/>
                  <w:tcBorders>
                    <w:tl2br w:val="nil"/>
                    <w:tr2bl w:val="nil"/>
                  </w:tcBorders>
                  <w:shd w:val="clear" w:color="auto" w:fill="auto"/>
                  <w:vAlign w:val="center"/>
                </w:tcPr>
                <w:p w14:paraId="421F62A3">
                  <w:pPr>
                    <w:pStyle w:val="9"/>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4D01E04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01" w:hRule="atLeast"/>
                <w:jc w:val="center"/>
              </w:trPr>
              <w:tc>
                <w:tcPr>
                  <w:tcW w:w="838" w:type="dxa"/>
                  <w:tcBorders>
                    <w:tl2br w:val="nil"/>
                    <w:tr2bl w:val="nil"/>
                  </w:tcBorders>
                  <w:shd w:val="clear" w:color="auto" w:fill="auto"/>
                  <w:vAlign w:val="center"/>
                </w:tcPr>
                <w:p w14:paraId="3688CC15">
                  <w:pPr>
                    <w:pStyle w:val="9"/>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bCs/>
                      <w:color w:val="auto"/>
                      <w:sz w:val="21"/>
                      <w:szCs w:val="21"/>
                      <w:highlight w:val="none"/>
                    </w:rPr>
                    <w:t>污染物排放管控</w:t>
                  </w:r>
                </w:p>
              </w:tc>
              <w:tc>
                <w:tcPr>
                  <w:tcW w:w="6495" w:type="dxa"/>
                  <w:tcBorders>
                    <w:tl2br w:val="nil"/>
                    <w:tr2bl w:val="nil"/>
                  </w:tcBorders>
                  <w:shd w:val="clear" w:color="auto" w:fill="auto"/>
                </w:tcPr>
                <w:p w14:paraId="1A3E7641">
                  <w:pPr>
                    <w:pStyle w:val="9"/>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1.严格执行《中华人民共和国环境保护法》《中华人民共和国大气污染防治法》《中华人民共和国水污染防治法》《中华人民共和国土壤污染防治法》《中华人民共和国固体废物污染环境防治法》《北京市大气污染防治条例》《北京市水污染防治条例》《北京市土壤污染防治条例》《排污许可管理条例》等法律法规以及国家、地方环境质量标准和污染物排放标准。</w:t>
                  </w:r>
                  <w:r>
                    <w:rPr>
                      <w:rFonts w:hint="eastAsia" w:ascii="Times New Roman" w:hAnsi="Times New Roman" w:eastAsia="宋体" w:cs="Times New Roman"/>
                      <w:color w:val="auto"/>
                      <w:sz w:val="21"/>
                      <w:szCs w:val="21"/>
                      <w:highlight w:val="none"/>
                    </w:rPr>
                    <w:br w:type="textWrapping"/>
                  </w:r>
                  <w:r>
                    <w:rPr>
                      <w:rFonts w:hint="eastAsia" w:ascii="Times New Roman" w:hAnsi="Times New Roman" w:eastAsia="宋体" w:cs="Times New Roman"/>
                      <w:color w:val="auto"/>
                      <w:sz w:val="21"/>
                      <w:szCs w:val="21"/>
                      <w:highlight w:val="none"/>
                    </w:rPr>
                    <w:t>2.严格执行《北京市机动车和非道路移动机械排放污染防治条例》，优化道路设置和运输结构，推广新能源的机动车和非道路移动机械应用，加强机动车和非道路移动机械排放污染防治。</w:t>
                  </w:r>
                  <w:r>
                    <w:rPr>
                      <w:rFonts w:hint="eastAsia" w:ascii="Times New Roman" w:hAnsi="Times New Roman" w:eastAsia="宋体" w:cs="Times New Roman"/>
                      <w:color w:val="auto"/>
                      <w:sz w:val="21"/>
                      <w:szCs w:val="21"/>
                      <w:highlight w:val="none"/>
                    </w:rPr>
                    <w:br w:type="textWrapping"/>
                  </w:r>
                  <w:r>
                    <w:rPr>
                      <w:rFonts w:hint="eastAsia" w:ascii="Times New Roman" w:hAnsi="Times New Roman" w:eastAsia="宋体" w:cs="Times New Roman"/>
                      <w:color w:val="auto"/>
                      <w:sz w:val="21"/>
                      <w:szCs w:val="21"/>
                      <w:highlight w:val="none"/>
                    </w:rPr>
                    <w:t>3.严格执行《绿色施工管理规程》。</w:t>
                  </w:r>
                  <w:r>
                    <w:rPr>
                      <w:rFonts w:hint="eastAsia" w:ascii="Times New Roman" w:hAnsi="Times New Roman" w:eastAsia="宋体" w:cs="Times New Roman"/>
                      <w:color w:val="auto"/>
                      <w:sz w:val="21"/>
                      <w:szCs w:val="21"/>
                      <w:highlight w:val="none"/>
                    </w:rPr>
                    <w:br w:type="textWrapping"/>
                  </w:r>
                  <w:r>
                    <w:rPr>
                      <w:rFonts w:hint="eastAsia" w:ascii="Times New Roman" w:hAnsi="Times New Roman" w:eastAsia="宋体" w:cs="Times New Roman"/>
                      <w:color w:val="auto"/>
                      <w:sz w:val="21"/>
                      <w:szCs w:val="21"/>
                      <w:highlight w:val="none"/>
                    </w:rPr>
                    <w:t>4.严格执行《北京市水污染防治条例》，城镇污水应当集中处理，统筹安排建设污水集中处理设施及配套污水管网，提高城镇污水的收集率和处理率；建设规模化畜禽养殖场、养殖小区，配套建设集中式畜禽粪污综合利用设施或者无害化处理设施。规模化畜禽养殖企业应当采取防渗漏、防流失、防遗撒措施，防止畜禽养殖废水、粪污渗漏、溢流、散落对环境造成污染。</w:t>
                  </w:r>
                  <w:r>
                    <w:rPr>
                      <w:rFonts w:hint="eastAsia" w:ascii="Times New Roman" w:hAnsi="Times New Roman" w:eastAsia="宋体" w:cs="Times New Roman"/>
                      <w:color w:val="auto"/>
                      <w:sz w:val="21"/>
                      <w:szCs w:val="21"/>
                      <w:highlight w:val="none"/>
                    </w:rPr>
                    <w:br w:type="textWrapping"/>
                  </w:r>
                  <w:r>
                    <w:rPr>
                      <w:rFonts w:hint="eastAsia" w:ascii="Times New Roman" w:hAnsi="Times New Roman" w:eastAsia="宋体" w:cs="Times New Roman"/>
                      <w:color w:val="auto"/>
                      <w:sz w:val="21"/>
                      <w:szCs w:val="21"/>
                      <w:highlight w:val="none"/>
                    </w:rPr>
                    <w:t>5.严格执行《中华人民共和国清洁生产促进法》《中华人民共和国循环经济促进法》。</w:t>
                  </w:r>
                  <w:r>
                    <w:rPr>
                      <w:rFonts w:hint="eastAsia" w:ascii="Times New Roman" w:hAnsi="Times New Roman" w:eastAsia="宋体" w:cs="Times New Roman"/>
                      <w:color w:val="auto"/>
                      <w:sz w:val="21"/>
                      <w:szCs w:val="21"/>
                      <w:highlight w:val="none"/>
                    </w:rPr>
                    <w:br w:type="textWrapping"/>
                  </w:r>
                  <w:r>
                    <w:rPr>
                      <w:rFonts w:hint="eastAsia" w:ascii="Times New Roman" w:hAnsi="Times New Roman" w:eastAsia="宋体" w:cs="Times New Roman"/>
                      <w:color w:val="auto"/>
                      <w:sz w:val="21"/>
                      <w:szCs w:val="21"/>
                      <w:highlight w:val="none"/>
                    </w:rPr>
                    <w:t>6.严格执行《建设项目主要污染物排放总量指标审核及管理暂行办法》《原北京市环境保护局关于建设项目主要污染物排放总量指标审核及管理的补充通知》。</w:t>
                  </w:r>
                  <w:r>
                    <w:rPr>
                      <w:rFonts w:hint="eastAsia" w:ascii="Times New Roman" w:hAnsi="Times New Roman" w:eastAsia="宋体" w:cs="Times New Roman"/>
                      <w:color w:val="auto"/>
                      <w:sz w:val="21"/>
                      <w:szCs w:val="21"/>
                      <w:highlight w:val="none"/>
                    </w:rPr>
                    <w:br w:type="textWrapping"/>
                  </w:r>
                  <w:r>
                    <w:rPr>
                      <w:rFonts w:hint="eastAsia" w:ascii="Times New Roman" w:hAnsi="Times New Roman" w:eastAsia="宋体" w:cs="Times New Roman"/>
                      <w:color w:val="auto"/>
                      <w:sz w:val="21"/>
                      <w:szCs w:val="21"/>
                      <w:highlight w:val="none"/>
                    </w:rPr>
                    <w:t>7.严格执行废气、废水、噪声、固体废物等国家、地方污染物排放标准；严格执行锅炉、餐饮、加油站、储油库、印刷业等地方大气污染物排放标准，强化重点领域大气污染管控。</w:t>
                  </w:r>
                  <w:r>
                    <w:rPr>
                      <w:rFonts w:hint="eastAsia" w:ascii="Times New Roman" w:hAnsi="Times New Roman" w:eastAsia="宋体" w:cs="Times New Roman"/>
                      <w:color w:val="auto"/>
                      <w:sz w:val="21"/>
                      <w:szCs w:val="21"/>
                      <w:highlight w:val="none"/>
                    </w:rPr>
                    <w:br w:type="textWrapping"/>
                  </w:r>
                  <w:r>
                    <w:rPr>
                      <w:rFonts w:hint="eastAsia" w:ascii="Times New Roman" w:hAnsi="Times New Roman" w:eastAsia="宋体" w:cs="Times New Roman"/>
                      <w:color w:val="auto"/>
                      <w:sz w:val="21"/>
                      <w:szCs w:val="21"/>
                      <w:highlight w:val="none"/>
                    </w:rPr>
                    <w:t>8.严格执行《污染地块土壤环境管理办法（试行）》，在土地开发过程中，属于《污染地块土壤环境管理办法（试行）》规定的疑似污染地块，土壤污染状况普查、详查和监测、现场检查表明有土壤污染风险的建设用地地块，用途变更为住宅、公共管理与公共服务用地的，重度污染农用地转为城镇建设用地的要按照有关规定开展土壤污染状况调查等。</w:t>
                  </w:r>
                  <w:r>
                    <w:rPr>
                      <w:rFonts w:hint="eastAsia" w:ascii="Times New Roman" w:hAnsi="Times New Roman" w:eastAsia="宋体" w:cs="Times New Roman"/>
                      <w:color w:val="auto"/>
                      <w:sz w:val="21"/>
                      <w:szCs w:val="21"/>
                      <w:highlight w:val="none"/>
                    </w:rPr>
                    <w:br w:type="textWrapping"/>
                  </w:r>
                  <w:r>
                    <w:rPr>
                      <w:rFonts w:hint="eastAsia" w:ascii="Times New Roman" w:hAnsi="Times New Roman" w:eastAsia="宋体" w:cs="Times New Roman"/>
                      <w:color w:val="auto"/>
                      <w:sz w:val="21"/>
                      <w:szCs w:val="21"/>
                      <w:highlight w:val="none"/>
                    </w:rPr>
                    <w:t>9.严格执行《北京市烟花爆竹安全管理规定》，五环路以内（含五环路）及各区人民政府划定的禁放区域禁止燃放烟花爆竹。</w:t>
                  </w:r>
                  <w:r>
                    <w:rPr>
                      <w:rFonts w:hint="eastAsia" w:ascii="Times New Roman" w:hAnsi="Times New Roman" w:eastAsia="宋体" w:cs="Times New Roman"/>
                      <w:color w:val="auto"/>
                      <w:sz w:val="21"/>
                      <w:szCs w:val="21"/>
                      <w:highlight w:val="none"/>
                    </w:rPr>
                    <w:br w:type="textWrapping"/>
                  </w:r>
                  <w:r>
                    <w:rPr>
                      <w:rFonts w:hint="eastAsia" w:ascii="Times New Roman" w:hAnsi="Times New Roman" w:eastAsia="宋体" w:cs="Times New Roman"/>
                      <w:color w:val="auto"/>
                      <w:sz w:val="21"/>
                      <w:szCs w:val="21"/>
                      <w:highlight w:val="none"/>
                    </w:rPr>
                    <w:t>10.严格执行《中共中央国务院关于深入打好污染防治攻坚战的意见》《中共北京市委 北京市人民政府关于深入打好北京市污染防治攻坚战的实施意见》，开展大气面源治理；推动规模化畜禽养殖场全部配备粪污处理设施，畜禽粪污综合利用率达到95%以上。</w:t>
                  </w:r>
                  <w:r>
                    <w:rPr>
                      <w:rFonts w:hint="eastAsia" w:ascii="Times New Roman" w:hAnsi="Times New Roman" w:eastAsia="宋体" w:cs="Times New Roman"/>
                      <w:color w:val="auto"/>
                      <w:sz w:val="21"/>
                      <w:szCs w:val="21"/>
                      <w:highlight w:val="none"/>
                    </w:rPr>
                    <w:br w:type="textWrapping"/>
                  </w:r>
                  <w:r>
                    <w:rPr>
                      <w:rFonts w:hint="eastAsia" w:ascii="Times New Roman" w:hAnsi="Times New Roman" w:eastAsia="宋体" w:cs="Times New Roman"/>
                      <w:color w:val="auto"/>
                      <w:sz w:val="21"/>
                      <w:szCs w:val="21"/>
                      <w:highlight w:val="none"/>
                    </w:rPr>
                    <w:t>11.严格执行《北京市“十四五”时期生态环境保护规划》《北京市“十四五”时期土壤污染防治规划》。</w:t>
                  </w:r>
                  <w:r>
                    <w:rPr>
                      <w:rFonts w:hint="eastAsia" w:ascii="Times New Roman" w:hAnsi="Times New Roman" w:eastAsia="宋体" w:cs="Times New Roman"/>
                      <w:color w:val="auto"/>
                      <w:sz w:val="21"/>
                      <w:szCs w:val="21"/>
                      <w:highlight w:val="none"/>
                    </w:rPr>
                    <w:br w:type="textWrapping"/>
                  </w:r>
                  <w:r>
                    <w:rPr>
                      <w:rFonts w:hint="eastAsia" w:ascii="Times New Roman" w:hAnsi="Times New Roman" w:eastAsia="宋体" w:cs="Times New Roman"/>
                      <w:color w:val="auto"/>
                      <w:sz w:val="21"/>
                      <w:szCs w:val="21"/>
                      <w:highlight w:val="none"/>
                    </w:rPr>
                    <w:t>12.严格执行《北京市“十四五”时期应对气候变化和节能规划》《北京市“十四五”时期能源发展规划》《北京市碳达峰实施方案》《北京市“十四五”时期制造业绿色低碳发展行动方案》，大力推广超低能耗建筑，推进既有建筑节能改造；积极引导绿色出行，加快优化车辆结构，加强航空和货运领域节能降碳；加强对本市甲烷、六氟化硫、氧化亚氮、全氟化碳等非二氧化碳温室气体的监测统计和科学管理。</w:t>
                  </w:r>
                  <w:r>
                    <w:rPr>
                      <w:rFonts w:hint="eastAsia" w:ascii="Times New Roman" w:hAnsi="Times New Roman" w:eastAsia="宋体" w:cs="Times New Roman"/>
                      <w:color w:val="auto"/>
                      <w:sz w:val="21"/>
                      <w:szCs w:val="21"/>
                      <w:highlight w:val="none"/>
                    </w:rPr>
                    <w:br w:type="textWrapping"/>
                  </w:r>
                  <w:r>
                    <w:rPr>
                      <w:rFonts w:hint="eastAsia" w:ascii="Times New Roman" w:hAnsi="Times New Roman" w:eastAsia="宋体" w:cs="Times New Roman"/>
                      <w:color w:val="auto"/>
                      <w:sz w:val="21"/>
                      <w:szCs w:val="21"/>
                      <w:highlight w:val="none"/>
                    </w:rPr>
                    <w:t>13.严格执行《北京市建设工程扬尘治理综合监管实施方案(试行)》《北京市预拌混凝土行业减量集约高质量发展指导意见（2019—2026年）》，坚持施工扬尘和站点扬尘高效精准治理</w:t>
                  </w:r>
                  <w:r>
                    <w:rPr>
                      <w:rFonts w:hint="eastAsia" w:ascii="微软雅黑" w:hAnsi="微软雅黑" w:eastAsia="微软雅黑" w:cs="微软雅黑"/>
                      <w:i w:val="0"/>
                      <w:iCs w:val="0"/>
                      <w:caps w:val="0"/>
                      <w:color w:val="333333"/>
                      <w:spacing w:val="0"/>
                      <w:sz w:val="19"/>
                      <w:szCs w:val="19"/>
                      <w:shd w:val="clear" w:fill="FFFFFF"/>
                    </w:rPr>
                    <w:t>。</w:t>
                  </w:r>
                </w:p>
              </w:tc>
              <w:tc>
                <w:tcPr>
                  <w:tcW w:w="4980" w:type="dxa"/>
                  <w:tcBorders>
                    <w:tl2br w:val="nil"/>
                    <w:tr2bl w:val="nil"/>
                  </w:tcBorders>
                  <w:shd w:val="clear" w:color="auto" w:fill="auto"/>
                </w:tcPr>
                <w:p w14:paraId="694B4AE4">
                  <w:pPr>
                    <w:pStyle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本项目严格执行《中华人民共和国环境保护法》《中华人民共和国大气污染防治法》《中华人民共和国水污染防治法》《中华人民共和国土壤污染防治法》《中华人民共和国固体废物污染环境防治法》《排污许可管理条例》《北京市大气污染防治条例》《北京市水污染防治条例》《北京市土壤污染防治条例》等法律法规以及国家、地方环境质量标准要求。</w:t>
                  </w:r>
                </w:p>
                <w:p w14:paraId="0884FE46">
                  <w:pPr>
                    <w:pStyle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2.本项目</w:t>
                  </w:r>
                  <w:r>
                    <w:rPr>
                      <w:rFonts w:hint="eastAsia" w:cs="Times New Roman"/>
                      <w:color w:val="auto"/>
                      <w:sz w:val="21"/>
                      <w:szCs w:val="21"/>
                      <w:highlight w:val="none"/>
                      <w:lang w:val="en-US" w:eastAsia="zh-CN"/>
                    </w:rPr>
                    <w:t>不涉及</w:t>
                  </w:r>
                  <w:r>
                    <w:rPr>
                      <w:rFonts w:hint="default" w:ascii="Times New Roman" w:hAnsi="Times New Roman" w:eastAsia="宋体" w:cs="Times New Roman"/>
                      <w:color w:val="auto"/>
                      <w:sz w:val="21"/>
                      <w:szCs w:val="21"/>
                      <w:highlight w:val="none"/>
                    </w:rPr>
                    <w:t>。</w:t>
                  </w:r>
                </w:p>
                <w:p w14:paraId="711B770D">
                  <w:pPr>
                    <w:pStyle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3.本项目</w:t>
                  </w:r>
                  <w:r>
                    <w:rPr>
                      <w:rFonts w:hint="eastAsia" w:cs="Times New Roman"/>
                      <w:color w:val="auto"/>
                      <w:sz w:val="21"/>
                      <w:szCs w:val="21"/>
                      <w:highlight w:val="none"/>
                      <w:lang w:val="en-US" w:eastAsia="zh-CN"/>
                    </w:rPr>
                    <w:t>建设期对现有房屋简单装修，将严格执行</w:t>
                  </w:r>
                  <w:r>
                    <w:rPr>
                      <w:rFonts w:hint="eastAsia" w:ascii="Times New Roman" w:hAnsi="Times New Roman" w:eastAsia="宋体" w:cs="Times New Roman"/>
                      <w:color w:val="auto"/>
                      <w:sz w:val="21"/>
                      <w:szCs w:val="21"/>
                      <w:highlight w:val="none"/>
                    </w:rPr>
                    <w:t>《绿色施工管理规程》</w:t>
                  </w:r>
                  <w:r>
                    <w:rPr>
                      <w:rFonts w:hint="eastAsia" w:ascii="Times New Roman" w:hAnsi="Times New Roman" w:cs="Times New Roman"/>
                      <w:color w:val="auto"/>
                      <w:sz w:val="21"/>
                      <w:szCs w:val="21"/>
                      <w:highlight w:val="none"/>
                      <w:lang w:val="en-US" w:eastAsia="zh-CN"/>
                    </w:rPr>
                    <w:t>的要求</w:t>
                  </w:r>
                  <w:r>
                    <w:rPr>
                      <w:rFonts w:hint="default" w:ascii="Times New Roman" w:hAnsi="Times New Roman" w:eastAsia="宋体" w:cs="Times New Roman"/>
                      <w:color w:val="auto"/>
                      <w:sz w:val="21"/>
                      <w:szCs w:val="21"/>
                      <w:highlight w:val="none"/>
                    </w:rPr>
                    <w:t>。</w:t>
                  </w:r>
                </w:p>
                <w:p w14:paraId="45B333B2">
                  <w:pPr>
                    <w:pStyle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4.本项目</w:t>
                  </w:r>
                  <w:r>
                    <w:rPr>
                      <w:rFonts w:hint="eastAsia" w:ascii="Times New Roman" w:hAnsi="Times New Roman" w:eastAsia="宋体" w:cs="Times New Roman"/>
                      <w:color w:val="auto"/>
                      <w:sz w:val="21"/>
                      <w:szCs w:val="21"/>
                      <w:highlight w:val="none"/>
                    </w:rPr>
                    <w:t>严格执行《北京市水污染防治条例》</w:t>
                  </w:r>
                  <w:r>
                    <w:rPr>
                      <w:rFonts w:hint="eastAsia" w:ascii="Times New Roman" w:hAnsi="Times New Roman" w:cs="Times New Roman"/>
                      <w:color w:val="auto"/>
                      <w:sz w:val="21"/>
                      <w:szCs w:val="21"/>
                      <w:highlight w:val="none"/>
                      <w:lang w:val="en-US" w:eastAsia="zh-CN"/>
                    </w:rPr>
                    <w:t>的要求</w:t>
                  </w:r>
                  <w:r>
                    <w:rPr>
                      <w:rFonts w:hint="default" w:ascii="Times New Roman" w:hAnsi="Times New Roman" w:eastAsia="宋体" w:cs="Times New Roman"/>
                      <w:color w:val="auto"/>
                      <w:sz w:val="21"/>
                      <w:szCs w:val="21"/>
                      <w:highlight w:val="none"/>
                    </w:rPr>
                    <w:t>。</w:t>
                  </w:r>
                </w:p>
                <w:p w14:paraId="06D304D1">
                  <w:pPr>
                    <w:pStyle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w:t>
                  </w:r>
                  <w:r>
                    <w:rPr>
                      <w:rFonts w:hint="eastAsia" w:cs="Times New Roman"/>
                      <w:color w:val="auto"/>
                      <w:sz w:val="21"/>
                      <w:szCs w:val="21"/>
                      <w:highlight w:val="none"/>
                      <w:lang w:val="en-US" w:eastAsia="zh-CN"/>
                    </w:rPr>
                    <w:t>本项目</w:t>
                  </w:r>
                  <w:r>
                    <w:rPr>
                      <w:rFonts w:hint="eastAsia" w:ascii="Times New Roman" w:hAnsi="Times New Roman" w:eastAsia="宋体" w:cs="Times New Roman"/>
                      <w:color w:val="auto"/>
                      <w:sz w:val="21"/>
                      <w:szCs w:val="21"/>
                      <w:highlight w:val="none"/>
                    </w:rPr>
                    <w:t>严格执行《中华人民共和国清洁生产促进法》《中华人民共和国循环经济促进法》</w:t>
                  </w:r>
                  <w:r>
                    <w:rPr>
                      <w:rFonts w:hint="default" w:ascii="Times New Roman" w:hAnsi="Times New Roman" w:eastAsia="宋体" w:cs="Times New Roman"/>
                      <w:color w:val="auto"/>
                      <w:sz w:val="21"/>
                      <w:szCs w:val="21"/>
                      <w:highlight w:val="none"/>
                    </w:rPr>
                    <w:t>。</w:t>
                  </w:r>
                </w:p>
                <w:p w14:paraId="686C6E89">
                  <w:pPr>
                    <w:pStyle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6.项目</w:t>
                  </w:r>
                  <w:r>
                    <w:rPr>
                      <w:rFonts w:hint="eastAsia" w:cs="Times New Roman"/>
                      <w:color w:val="auto"/>
                      <w:sz w:val="21"/>
                      <w:szCs w:val="21"/>
                      <w:highlight w:val="none"/>
                      <w:lang w:val="en-US" w:eastAsia="zh-CN"/>
                    </w:rPr>
                    <w:t>按要求进行总量申请，运行过程严格控制总量</w:t>
                  </w:r>
                  <w:r>
                    <w:rPr>
                      <w:rFonts w:hint="default" w:ascii="Times New Roman" w:hAnsi="Times New Roman" w:eastAsia="宋体" w:cs="Times New Roman"/>
                      <w:color w:val="auto"/>
                      <w:sz w:val="21"/>
                      <w:szCs w:val="21"/>
                      <w:highlight w:val="none"/>
                    </w:rPr>
                    <w:t>。</w:t>
                  </w:r>
                </w:p>
                <w:p w14:paraId="22D968D8">
                  <w:pPr>
                    <w:pStyle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w:t>
                  </w:r>
                  <w:r>
                    <w:rPr>
                      <w:rFonts w:hint="eastAsia" w:cs="Times New Roman"/>
                      <w:color w:val="auto"/>
                      <w:sz w:val="21"/>
                      <w:szCs w:val="21"/>
                      <w:highlight w:val="none"/>
                      <w:lang w:val="en-US" w:eastAsia="zh-CN"/>
                    </w:rPr>
                    <w:t>项目</w:t>
                  </w:r>
                  <w:r>
                    <w:rPr>
                      <w:rFonts w:hint="eastAsia" w:ascii="Times New Roman" w:hAnsi="Times New Roman" w:eastAsia="宋体" w:cs="Times New Roman"/>
                      <w:color w:val="auto"/>
                      <w:sz w:val="21"/>
                      <w:szCs w:val="21"/>
                      <w:highlight w:val="none"/>
                    </w:rPr>
                    <w:t>严格执行废气、废水、噪声、固体废物等国家、地方污染物排放标准</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确保达标排放</w:t>
                  </w:r>
                  <w:r>
                    <w:rPr>
                      <w:rFonts w:hint="default" w:ascii="Times New Roman" w:hAnsi="Times New Roman" w:eastAsia="宋体" w:cs="Times New Roman"/>
                      <w:color w:val="auto"/>
                      <w:sz w:val="21"/>
                      <w:szCs w:val="21"/>
                      <w:highlight w:val="none"/>
                    </w:rPr>
                    <w:t>。</w:t>
                  </w:r>
                </w:p>
                <w:p w14:paraId="0997EF9A">
                  <w:pPr>
                    <w:pStyle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8.项目</w:t>
                  </w:r>
                  <w:r>
                    <w:rPr>
                      <w:rFonts w:hint="eastAsia" w:cs="Times New Roman"/>
                      <w:color w:val="auto"/>
                      <w:sz w:val="21"/>
                      <w:szCs w:val="21"/>
                      <w:highlight w:val="none"/>
                      <w:lang w:val="en-US" w:eastAsia="zh-CN"/>
                    </w:rPr>
                    <w:t>不涉及污染地块</w:t>
                  </w:r>
                  <w:r>
                    <w:rPr>
                      <w:rFonts w:hint="default" w:ascii="Times New Roman" w:hAnsi="Times New Roman" w:eastAsia="宋体" w:cs="Times New Roman"/>
                      <w:color w:val="auto"/>
                      <w:sz w:val="21"/>
                      <w:szCs w:val="21"/>
                      <w:highlight w:val="none"/>
                    </w:rPr>
                    <w:t>。</w:t>
                  </w:r>
                </w:p>
                <w:p w14:paraId="33FD9A5D">
                  <w:pPr>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9..项目不涉及。</w:t>
                  </w:r>
                </w:p>
                <w:p w14:paraId="59E68BC4">
                  <w:pP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10.项目</w:t>
                  </w:r>
                  <w:r>
                    <w:rPr>
                      <w:rFonts w:hint="eastAsia" w:ascii="Times New Roman" w:hAnsi="Times New Roman" w:eastAsia="宋体" w:cs="Times New Roman"/>
                      <w:color w:val="auto"/>
                      <w:sz w:val="21"/>
                      <w:szCs w:val="21"/>
                      <w:highlight w:val="none"/>
                    </w:rPr>
                    <w:t>严格执行《中共中央国务院关于深入打好污染防治攻坚战的意见》《中共北京市委 北京市人民政府关于深入打好北京市污染防治攻坚战的实施意见》</w:t>
                  </w:r>
                  <w:r>
                    <w:rPr>
                      <w:rFonts w:hint="eastAsia" w:ascii="Times New Roman" w:hAnsi="Times New Roman" w:cs="Times New Roman"/>
                      <w:color w:val="auto"/>
                      <w:sz w:val="21"/>
                      <w:szCs w:val="21"/>
                      <w:highlight w:val="none"/>
                      <w:lang w:val="en-US" w:eastAsia="zh-CN"/>
                    </w:rPr>
                    <w:t>要求，项目不涉及面源。</w:t>
                  </w:r>
                </w:p>
                <w:p w14:paraId="44D586A9">
                  <w:pP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11.项目</w:t>
                  </w:r>
                  <w:r>
                    <w:rPr>
                      <w:rFonts w:hint="eastAsia" w:ascii="Times New Roman" w:hAnsi="Times New Roman" w:eastAsia="宋体" w:cs="Times New Roman"/>
                      <w:color w:val="auto"/>
                      <w:sz w:val="21"/>
                      <w:szCs w:val="21"/>
                      <w:highlight w:val="none"/>
                    </w:rPr>
                    <w:t>严格执行《北京市“十四五”时期生态环境保护规划》《北京市“十四五”时期土壤污染防治规划》</w:t>
                  </w:r>
                  <w:r>
                    <w:rPr>
                      <w:rFonts w:hint="eastAsia" w:ascii="Times New Roman" w:hAnsi="Times New Roman" w:cs="Times New Roman"/>
                      <w:color w:val="auto"/>
                      <w:sz w:val="21"/>
                      <w:szCs w:val="21"/>
                      <w:highlight w:val="none"/>
                      <w:lang w:val="en-US" w:eastAsia="zh-CN"/>
                    </w:rPr>
                    <w:t>的要求。</w:t>
                  </w:r>
                </w:p>
                <w:p w14:paraId="0A015A73">
                  <w:pP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12.项目</w:t>
                  </w:r>
                  <w:r>
                    <w:rPr>
                      <w:rFonts w:hint="eastAsia" w:ascii="Times New Roman" w:hAnsi="Times New Roman" w:eastAsia="宋体" w:cs="Times New Roman"/>
                      <w:color w:val="auto"/>
                      <w:sz w:val="21"/>
                      <w:szCs w:val="21"/>
                      <w:highlight w:val="none"/>
                    </w:rPr>
                    <w:t>严格执行《北京市“十四五”时期应对气候变化和节能规划》《北京市“十四五”时期能源发展规划》《北京市碳达峰实施方案》《北京市“十四五”时期制造业绿色低碳发展行动方案》</w:t>
                  </w:r>
                  <w:r>
                    <w:rPr>
                      <w:rFonts w:hint="eastAsia" w:ascii="Times New Roman" w:hAnsi="Times New Roman" w:cs="Times New Roman"/>
                      <w:color w:val="auto"/>
                      <w:sz w:val="21"/>
                      <w:szCs w:val="21"/>
                      <w:highlight w:val="none"/>
                      <w:lang w:val="en-US" w:eastAsia="zh-CN"/>
                    </w:rPr>
                    <w:t>的要求，制定节能措施，降低能源消耗。</w:t>
                  </w:r>
                </w:p>
                <w:p w14:paraId="186C62F8">
                  <w:pP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13.本项目不涉及。</w:t>
                  </w:r>
                </w:p>
              </w:tc>
              <w:tc>
                <w:tcPr>
                  <w:tcW w:w="746" w:type="dxa"/>
                  <w:tcBorders>
                    <w:tl2br w:val="nil"/>
                    <w:tr2bl w:val="nil"/>
                  </w:tcBorders>
                  <w:shd w:val="clear" w:color="auto" w:fill="auto"/>
                  <w:vAlign w:val="center"/>
                </w:tcPr>
                <w:p w14:paraId="24CFA536">
                  <w:pPr>
                    <w:pStyle w:val="9"/>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7D37755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38" w:type="dxa"/>
                  <w:tcBorders>
                    <w:tl2br w:val="nil"/>
                    <w:tr2bl w:val="nil"/>
                  </w:tcBorders>
                  <w:shd w:val="clear" w:color="auto" w:fill="auto"/>
                  <w:vAlign w:val="center"/>
                </w:tcPr>
                <w:p w14:paraId="5C0617ED">
                  <w:pPr>
                    <w:pStyle w:val="9"/>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环境风险防控</w:t>
                  </w:r>
                </w:p>
              </w:tc>
              <w:tc>
                <w:tcPr>
                  <w:tcW w:w="6495" w:type="dxa"/>
                  <w:tcBorders>
                    <w:tl2br w:val="nil"/>
                    <w:tr2bl w:val="nil"/>
                  </w:tcBorders>
                  <w:shd w:val="clear" w:color="auto" w:fill="auto"/>
                </w:tcPr>
                <w:p w14:paraId="01E2DD98">
                  <w:pPr>
                    <w:pStyle w:val="9"/>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1.严格执行《中华人民共和国环境保护法》《中华人民共和国大气污染防治法》《中华人民共和国水污染防治法》《中华人民共和国土壤污染防治法》《中华人民共和国固体废物污染环境防治法》《北京市大气污染防治条例》《北京市水污染防治条例》《中华人民共和国水土保持法》《国家突发环境事件应急预案》《企业事业单位突发环境事件应急预案备案管理办法（试行）》《北京市突发环境事件应急预案》《北京市空气重污染应急预案（2023年修订）》等法律法规文件要求，完善环境风险防控体系，提高区域环境风险防范能力。</w:t>
                  </w:r>
                  <w:r>
                    <w:rPr>
                      <w:rFonts w:hint="eastAsia" w:ascii="Times New Roman" w:hAnsi="Times New Roman" w:eastAsia="宋体" w:cs="Times New Roman"/>
                      <w:color w:val="auto"/>
                      <w:sz w:val="21"/>
                      <w:szCs w:val="21"/>
                      <w:highlight w:val="none"/>
                    </w:rPr>
                    <w:br w:type="textWrapping"/>
                  </w:r>
                  <w:r>
                    <w:rPr>
                      <w:rFonts w:hint="eastAsia" w:ascii="Times New Roman" w:hAnsi="Times New Roman" w:eastAsia="宋体" w:cs="Times New Roman"/>
                      <w:color w:val="auto"/>
                      <w:sz w:val="21"/>
                      <w:szCs w:val="21"/>
                      <w:highlight w:val="none"/>
                    </w:rPr>
                    <w:t>2.落实《北京城市总体规划(2016年-2035年)》要求，强化土壤污染源头管控，加强污染地块再开发利用的联动监管。</w:t>
                  </w:r>
                </w:p>
              </w:tc>
              <w:tc>
                <w:tcPr>
                  <w:tcW w:w="4980" w:type="dxa"/>
                  <w:tcBorders>
                    <w:tl2br w:val="nil"/>
                    <w:tr2bl w:val="nil"/>
                  </w:tcBorders>
                  <w:shd w:val="clear" w:color="auto" w:fill="auto"/>
                </w:tcPr>
                <w:p w14:paraId="775BD2E7">
                  <w:pPr>
                    <w:pStyle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本项目严格执行《中华人民共和国环境保护法》《中华人民共和国大气污染防治法》《中华人民共和国水污染防治法》《中华人民共和国土壤污染防治法》《中华人民共和国固体废物污染环境防治法》《北京市大气污染防治条例》《北京市水污染防治条例》《中华人民共和国水土保持法》《国家突发环境事件应急预案》、《企业事业单位突发环境事件应急预案备案管理办法（试行）》等法律法规文件要求。本项目针对风险物质使用储存等风险环节，提出风险防范措施。</w:t>
                  </w:r>
                </w:p>
                <w:p w14:paraId="39FFAC71">
                  <w:pPr>
                    <w:pStyle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2.本项目废气、废水能达标排放，固体废物能得到安全贮存和处置，且采取了满足标准要求的防渗措施，对地下水和土壤环境影响可控。</w:t>
                  </w:r>
                </w:p>
              </w:tc>
              <w:tc>
                <w:tcPr>
                  <w:tcW w:w="746" w:type="dxa"/>
                  <w:tcBorders>
                    <w:tl2br w:val="nil"/>
                    <w:tr2bl w:val="nil"/>
                  </w:tcBorders>
                  <w:shd w:val="clear" w:color="auto" w:fill="auto"/>
                  <w:vAlign w:val="center"/>
                </w:tcPr>
                <w:p w14:paraId="20872F8A">
                  <w:pPr>
                    <w:pStyle w:val="9"/>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711E07E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9" w:hRule="atLeast"/>
                <w:jc w:val="center"/>
              </w:trPr>
              <w:tc>
                <w:tcPr>
                  <w:tcW w:w="838" w:type="dxa"/>
                  <w:tcBorders>
                    <w:tl2br w:val="nil"/>
                    <w:tr2bl w:val="nil"/>
                  </w:tcBorders>
                  <w:shd w:val="clear" w:color="auto" w:fill="auto"/>
                  <w:vAlign w:val="center"/>
                </w:tcPr>
                <w:p w14:paraId="539E150D">
                  <w:pPr>
                    <w:pStyle w:val="9"/>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bCs/>
                      <w:color w:val="auto"/>
                      <w:sz w:val="21"/>
                      <w:szCs w:val="21"/>
                      <w:highlight w:val="none"/>
                    </w:rPr>
                    <w:t>资源利用效率</w:t>
                  </w:r>
                </w:p>
              </w:tc>
              <w:tc>
                <w:tcPr>
                  <w:tcW w:w="6495" w:type="dxa"/>
                  <w:tcBorders>
                    <w:tl2br w:val="nil"/>
                    <w:tr2bl w:val="nil"/>
                  </w:tcBorders>
                  <w:shd w:val="clear" w:color="auto" w:fill="auto"/>
                </w:tcPr>
                <w:p w14:paraId="6E4DAFE5">
                  <w:pPr>
                    <w:pStyle w:val="9"/>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1.严格执行《中华人民共和国水法》《北京市节水条例》《北京市人民政府关于实行最严格水资源管理制度的意见》《北京市“十四五”时期污水处理及资源化利用发展规划》《北京市“十四五”节水型社会建设规划》《关于北京市加强水生态空间管控工作的意见》，加强用水管控。</w:t>
                  </w:r>
                  <w:r>
                    <w:rPr>
                      <w:rFonts w:hint="eastAsia" w:ascii="Times New Roman" w:hAnsi="Times New Roman" w:eastAsia="宋体" w:cs="Times New Roman"/>
                      <w:color w:val="auto"/>
                      <w:sz w:val="21"/>
                      <w:szCs w:val="21"/>
                      <w:highlight w:val="none"/>
                    </w:rPr>
                    <w:br w:type="textWrapping"/>
                  </w:r>
                  <w:r>
                    <w:rPr>
                      <w:rFonts w:hint="eastAsia" w:ascii="Times New Roman" w:hAnsi="Times New Roman" w:eastAsia="宋体" w:cs="Times New Roman"/>
                      <w:color w:val="auto"/>
                      <w:sz w:val="21"/>
                      <w:szCs w:val="21"/>
                      <w:highlight w:val="none"/>
                    </w:rPr>
                    <w:t>2.落实《北京城市总体规划(2016年-2035年)》要求，坚守建设用地规模底线，严格落实土地用途管制制度，腾退低效集体产业用地，实现城乡建设用地规模减量。</w:t>
                  </w:r>
                  <w:r>
                    <w:rPr>
                      <w:rFonts w:hint="eastAsia" w:ascii="Times New Roman" w:hAnsi="Times New Roman" w:eastAsia="宋体" w:cs="Times New Roman"/>
                      <w:color w:val="auto"/>
                      <w:sz w:val="21"/>
                      <w:szCs w:val="21"/>
                      <w:highlight w:val="none"/>
                    </w:rPr>
                    <w:br w:type="textWrapping"/>
                  </w:r>
                  <w:r>
                    <w:rPr>
                      <w:rFonts w:hint="eastAsia" w:ascii="Times New Roman" w:hAnsi="Times New Roman" w:eastAsia="宋体" w:cs="Times New Roman"/>
                      <w:color w:val="auto"/>
                      <w:sz w:val="21"/>
                      <w:szCs w:val="21"/>
                      <w:highlight w:val="none"/>
                    </w:rPr>
                    <w:t>3.执行《中华人民共和国节约能源法》《大型公共建筑制冷能耗限额》《供热锅炉综合能源消耗限额》《供暖系统运行能源消耗限额》《民用建筑能耗指标》《商场、超市能源消耗限额》《北京市碳达峰碳中和工作领导小组办公室关于印发北京市民用建筑节能降碳工作方案暨“十四五”时期民用建筑绿色发展规划的通知》《北京市发展和改革委员会 北京市住房和城乡建设委员会关于印发建立健全北京市公共建筑能效评估方法和制度的工作方案的通知》以及北京市单位产品能源消耗限额系列标准，强化建筑、交通、工业等领域的节能减排和需求管理。</w:t>
                  </w:r>
                </w:p>
              </w:tc>
              <w:tc>
                <w:tcPr>
                  <w:tcW w:w="4980" w:type="dxa"/>
                  <w:tcBorders>
                    <w:tl2br w:val="nil"/>
                    <w:tr2bl w:val="nil"/>
                  </w:tcBorders>
                  <w:shd w:val="clear" w:color="auto" w:fill="auto"/>
                </w:tcPr>
                <w:p w14:paraId="3561D63C">
                  <w:pPr>
                    <w:pStyle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1.本项目用水由市政给水管网提供，严格执行《中华人民共和国水法》《北京市节水条例》《北京市人民政府关于实行最严格水资源管理制度的意见》《北京市</w:t>
                  </w:r>
                  <w:r>
                    <w:rPr>
                      <w:rFonts w:hint="eastAsia"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十四五</w:t>
                  </w:r>
                  <w:r>
                    <w:rPr>
                      <w:rFonts w:hint="eastAsia"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节水型社会建设规划》《关于北京市加强水生态空间管控工作的意见》，加强用水管控。</w:t>
                  </w:r>
                </w:p>
                <w:p w14:paraId="056480F6">
                  <w:pPr>
                    <w:pStyle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2.本项目</w:t>
                  </w:r>
                  <w:r>
                    <w:rPr>
                      <w:rFonts w:hint="eastAsia" w:ascii="Times New Roman" w:hAnsi="Times New Roman" w:cs="Times New Roman"/>
                      <w:color w:val="auto"/>
                      <w:sz w:val="21"/>
                      <w:szCs w:val="21"/>
                      <w:highlight w:val="none"/>
                      <w:lang w:val="en-US" w:eastAsia="zh-CN"/>
                    </w:rPr>
                    <w:t>利</w:t>
                  </w:r>
                  <w:r>
                    <w:rPr>
                      <w:rFonts w:hint="default" w:ascii="Times New Roman" w:hAnsi="Times New Roman" w:eastAsia="宋体" w:cs="Times New Roman"/>
                      <w:color w:val="auto"/>
                      <w:sz w:val="21"/>
                      <w:szCs w:val="21"/>
                      <w:highlight w:val="none"/>
                    </w:rPr>
                    <w:t>用现有建筑物，不新增用地，符合《北京城市总体规划(2016年-2035年)》要求。</w:t>
                  </w:r>
                </w:p>
                <w:p w14:paraId="7BB40394">
                  <w:pPr>
                    <w:pStyle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3.项目不属于高耗能行业，且项目不涉及锅炉，项目能耗和碳排放满足要求。项目严格执行《中华人民共和国节约能源法》以及《北京市</w:t>
                  </w:r>
                  <w:r>
                    <w:rPr>
                      <w:rFonts w:hint="eastAsia"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十四五</w:t>
                  </w:r>
                  <w:r>
                    <w:rPr>
                      <w:rFonts w:hint="eastAsia"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时期能源发展规划》《北京市</w:t>
                  </w:r>
                  <w:r>
                    <w:rPr>
                      <w:rFonts w:hint="eastAsia"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十四五</w:t>
                  </w:r>
                  <w:r>
                    <w:rPr>
                      <w:rFonts w:hint="eastAsia"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时期应对气候变化和节能规划》。</w:t>
                  </w:r>
                </w:p>
              </w:tc>
              <w:tc>
                <w:tcPr>
                  <w:tcW w:w="746" w:type="dxa"/>
                  <w:tcBorders>
                    <w:tl2br w:val="nil"/>
                    <w:tr2bl w:val="nil"/>
                  </w:tcBorders>
                  <w:shd w:val="clear" w:color="auto" w:fill="auto"/>
                  <w:vAlign w:val="center"/>
                </w:tcPr>
                <w:p w14:paraId="43FA3708">
                  <w:pPr>
                    <w:pStyle w:val="9"/>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bl>
          <w:p w14:paraId="507EA482">
            <w:pPr>
              <w:rPr>
                <w:rFonts w:hint="default" w:ascii="Times New Roman" w:hAnsi="Times New Roman" w:eastAsia="宋体" w:cs="Times New Roman"/>
                <w:b/>
                <w:bCs/>
                <w:color w:val="auto"/>
                <w:kern w:val="0"/>
                <w:sz w:val="24"/>
                <w:highlight w:val="none"/>
                <w:lang w:bidi="ar"/>
              </w:rPr>
            </w:pPr>
          </w:p>
          <w:p w14:paraId="312E789F">
            <w:pPr>
              <w:pStyle w:val="9"/>
              <w:numPr>
                <w:ilvl w:val="0"/>
                <w:numId w:val="5"/>
              </w:numPr>
              <w:spacing w:line="360" w:lineRule="auto"/>
              <w:ind w:firstLine="482" w:firstLineChars="200"/>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五大功能区生态环境准入清单</w:t>
            </w:r>
          </w:p>
          <w:p w14:paraId="5ED63ABC">
            <w:pPr>
              <w:pStyle w:val="9"/>
              <w:spacing w:line="360" w:lineRule="auto"/>
              <w:ind w:firstLine="480" w:firstLineChars="200"/>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rPr>
              <w:t>本项目</w:t>
            </w:r>
            <w:r>
              <w:rPr>
                <w:rFonts w:hint="eastAsia" w:cs="Times New Roman"/>
                <w:color w:val="auto"/>
                <w:sz w:val="24"/>
                <w:highlight w:val="none"/>
                <w:lang w:val="en-US" w:eastAsia="zh-CN"/>
              </w:rPr>
              <w:t>所在区域</w:t>
            </w:r>
            <w:r>
              <w:rPr>
                <w:rFonts w:hint="eastAsia" w:ascii="Times New Roman" w:hAnsi="Times New Roman" w:eastAsia="宋体" w:cs="Times New Roman"/>
                <w:color w:val="auto"/>
                <w:sz w:val="24"/>
                <w:highlight w:val="none"/>
                <w:lang w:val="en-US" w:eastAsia="zh-CN"/>
              </w:rPr>
              <w:t>属于</w:t>
            </w:r>
            <w:r>
              <w:rPr>
                <w:rFonts w:hint="default" w:ascii="Times New Roman" w:hAnsi="Times New Roman" w:eastAsia="宋体" w:cs="Times New Roman"/>
                <w:color w:val="auto"/>
                <w:sz w:val="24"/>
                <w:highlight w:val="none"/>
              </w:rPr>
              <w:t>中心城区（首都功能核心区除外）</w:t>
            </w:r>
            <w:r>
              <w:rPr>
                <w:rFonts w:hint="eastAsia" w:ascii="Times New Roman" w:hAnsi="Times New Roman" w:cs="Times New Roman"/>
                <w:color w:val="auto"/>
                <w:sz w:val="24"/>
                <w:highlight w:val="none"/>
                <w:lang w:val="en-US" w:eastAsia="zh-CN"/>
              </w:rPr>
              <w:t>区域，项目</w:t>
            </w:r>
            <w:r>
              <w:rPr>
                <w:rFonts w:hint="default" w:ascii="Times New Roman" w:hAnsi="Times New Roman" w:eastAsia="宋体" w:cs="Times New Roman"/>
                <w:color w:val="auto"/>
                <w:sz w:val="24"/>
                <w:highlight w:val="none"/>
              </w:rPr>
              <w:t>与中心城区（首都功能核心区除外）生态环境准入清单的符合性分析见下表。</w:t>
            </w:r>
          </w:p>
          <w:p w14:paraId="5B98295E">
            <w:pPr>
              <w:widowControl/>
              <w:numPr>
                <w:ilvl w:val="0"/>
                <w:numId w:val="4"/>
              </w:numPr>
              <w:spacing w:line="360" w:lineRule="auto"/>
              <w:ind w:left="425" w:leftChars="0" w:hanging="425" w:firstLineChars="0"/>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中心城区（首都功能核心区除外）生态环境准入清单</w:t>
            </w:r>
          </w:p>
          <w:tbl>
            <w:tblPr>
              <w:tblStyle w:val="24"/>
              <w:tblW w:w="12819"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22"/>
              <w:gridCol w:w="5875"/>
              <w:gridCol w:w="5225"/>
              <w:gridCol w:w="697"/>
            </w:tblGrid>
            <w:tr w14:paraId="1FD487E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22" w:type="dxa"/>
                  <w:tcBorders>
                    <w:tl2br w:val="nil"/>
                    <w:tr2bl w:val="nil"/>
                  </w:tcBorders>
                  <w:shd w:val="clear" w:color="auto" w:fill="auto"/>
                  <w:vAlign w:val="center"/>
                </w:tcPr>
                <w:p w14:paraId="7777EAA4">
                  <w:pPr>
                    <w:pStyle w:val="9"/>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管控类别</w:t>
                  </w:r>
                </w:p>
              </w:tc>
              <w:tc>
                <w:tcPr>
                  <w:tcW w:w="5875" w:type="dxa"/>
                  <w:tcBorders>
                    <w:tl2br w:val="nil"/>
                    <w:tr2bl w:val="nil"/>
                  </w:tcBorders>
                  <w:shd w:val="clear" w:color="auto" w:fill="auto"/>
                  <w:vAlign w:val="center"/>
                </w:tcPr>
                <w:p w14:paraId="4E717A35">
                  <w:pPr>
                    <w:pStyle w:val="9"/>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重点管控要求</w:t>
                  </w:r>
                </w:p>
              </w:tc>
              <w:tc>
                <w:tcPr>
                  <w:tcW w:w="5225" w:type="dxa"/>
                  <w:tcBorders>
                    <w:tl2br w:val="nil"/>
                    <w:tr2bl w:val="nil"/>
                  </w:tcBorders>
                  <w:shd w:val="clear" w:color="auto" w:fill="auto"/>
                  <w:vAlign w:val="center"/>
                </w:tcPr>
                <w:p w14:paraId="726A1AFE">
                  <w:pPr>
                    <w:pStyle w:val="9"/>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本项目符合性</w:t>
                  </w:r>
                </w:p>
              </w:tc>
              <w:tc>
                <w:tcPr>
                  <w:tcW w:w="697" w:type="dxa"/>
                  <w:tcBorders>
                    <w:tl2br w:val="nil"/>
                    <w:tr2bl w:val="nil"/>
                  </w:tcBorders>
                  <w:shd w:val="clear" w:color="auto" w:fill="auto"/>
                  <w:vAlign w:val="center"/>
                </w:tcPr>
                <w:p w14:paraId="6B9A7702">
                  <w:pPr>
                    <w:pStyle w:val="9"/>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是否符合</w:t>
                  </w:r>
                </w:p>
              </w:tc>
            </w:tr>
            <w:tr w14:paraId="417AC7F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22" w:type="dxa"/>
                  <w:tcBorders>
                    <w:tl2br w:val="nil"/>
                    <w:tr2bl w:val="nil"/>
                  </w:tcBorders>
                  <w:shd w:val="clear" w:color="auto" w:fill="auto"/>
                  <w:vAlign w:val="center"/>
                </w:tcPr>
                <w:p w14:paraId="376F8735">
                  <w:pPr>
                    <w:pStyle w:val="9"/>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空间布局约束</w:t>
                  </w:r>
                </w:p>
              </w:tc>
              <w:tc>
                <w:tcPr>
                  <w:tcW w:w="5875" w:type="dxa"/>
                  <w:tcBorders>
                    <w:tl2br w:val="nil"/>
                    <w:tr2bl w:val="nil"/>
                  </w:tcBorders>
                  <w:shd w:val="clear" w:color="auto" w:fill="auto"/>
                </w:tcPr>
                <w:p w14:paraId="06FCE9AD">
                  <w:pPr>
                    <w:pStyle w:val="9"/>
                    <w:jc w:val="left"/>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1.</w:t>
                  </w:r>
                  <w:r>
                    <w:rPr>
                      <w:rFonts w:hint="eastAsia" w:ascii="Times New Roman" w:hAnsi="Times New Roman" w:eastAsia="宋体" w:cs="Times New Roman"/>
                      <w:color w:val="auto"/>
                      <w:sz w:val="21"/>
                      <w:szCs w:val="21"/>
                      <w:highlight w:val="none"/>
                    </w:rPr>
                    <w:t>执行《北京市新增产业的禁止和限制目录（2022年版）》适用于中心城区的管控要求。</w:t>
                  </w:r>
                </w:p>
                <w:p w14:paraId="6C023354">
                  <w:pPr>
                    <w:pStyle w:val="9"/>
                    <w:jc w:val="left"/>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2.执行《建设项目规划使用性质正面和负面清单》适用于中心城区的管控要求。</w:t>
                  </w:r>
                </w:p>
                <w:p w14:paraId="41556BB6">
                  <w:pPr>
                    <w:pStyle w:val="9"/>
                    <w:jc w:val="left"/>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3.涉及生态保护红线及相关法定保护空间的应执行优先保护类总体准入清单。</w:t>
                  </w:r>
                </w:p>
              </w:tc>
              <w:tc>
                <w:tcPr>
                  <w:tcW w:w="5225" w:type="dxa"/>
                  <w:tcBorders>
                    <w:tl2br w:val="nil"/>
                    <w:tr2bl w:val="nil"/>
                  </w:tcBorders>
                  <w:shd w:val="clear" w:color="auto" w:fill="auto"/>
                  <w:vAlign w:val="center"/>
                </w:tcPr>
                <w:p w14:paraId="0511F166">
                  <w:pPr>
                    <w:pStyle w:val="9"/>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1.对照《北京市新增产业的禁止和限制目录（2022年版）》中适用于中心城区</w:t>
                  </w:r>
                  <w:r>
                    <w:rPr>
                      <w:rFonts w:hint="eastAsia" w:cs="Times New Roman"/>
                      <w:color w:val="auto"/>
                      <w:sz w:val="21"/>
                      <w:szCs w:val="21"/>
                      <w:highlight w:val="none"/>
                      <w:lang w:val="en-US" w:eastAsia="zh-CN"/>
                    </w:rPr>
                    <w:t>要求</w:t>
                  </w:r>
                  <w:r>
                    <w:rPr>
                      <w:rFonts w:hint="default" w:ascii="Times New Roman" w:hAnsi="Times New Roman" w:eastAsia="宋体" w:cs="Times New Roman"/>
                      <w:color w:val="auto"/>
                      <w:sz w:val="21"/>
                      <w:szCs w:val="21"/>
                      <w:highlight w:val="none"/>
                    </w:rPr>
                    <w:t>，本项目不属于禁止和限制项目。</w:t>
                  </w:r>
                </w:p>
                <w:p w14:paraId="1C668616">
                  <w:pPr>
                    <w:pStyle w:val="9"/>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2.本项目</w:t>
                  </w:r>
                  <w:r>
                    <w:rPr>
                      <w:rFonts w:hint="eastAsia" w:cs="Times New Roman"/>
                      <w:color w:val="auto"/>
                      <w:sz w:val="21"/>
                      <w:szCs w:val="21"/>
                      <w:highlight w:val="none"/>
                      <w:lang w:val="en-US" w:eastAsia="zh-CN"/>
                    </w:rPr>
                    <w:t>不在</w:t>
                  </w:r>
                  <w:r>
                    <w:rPr>
                      <w:rFonts w:hint="default" w:ascii="Times New Roman" w:hAnsi="Times New Roman" w:eastAsia="宋体" w:cs="Times New Roman"/>
                      <w:color w:val="auto"/>
                      <w:sz w:val="21"/>
                      <w:szCs w:val="21"/>
                      <w:highlight w:val="none"/>
                    </w:rPr>
                    <w:t>北京市《建设项目规划使用性质正面和负面清单》</w:t>
                  </w:r>
                  <w:r>
                    <w:rPr>
                      <w:rFonts w:hint="eastAsia" w:cs="Times New Roman"/>
                      <w:color w:val="auto"/>
                      <w:sz w:val="21"/>
                      <w:szCs w:val="21"/>
                      <w:highlight w:val="none"/>
                      <w:lang w:val="en-US" w:eastAsia="zh-CN"/>
                    </w:rPr>
                    <w:t>中</w:t>
                  </w:r>
                  <w:r>
                    <w:rPr>
                      <w:rFonts w:hint="default" w:ascii="Times New Roman" w:hAnsi="Times New Roman" w:eastAsia="宋体" w:cs="Times New Roman"/>
                      <w:color w:val="auto"/>
                      <w:sz w:val="21"/>
                      <w:szCs w:val="21"/>
                      <w:highlight w:val="none"/>
                    </w:rPr>
                    <w:t>。</w:t>
                  </w:r>
                </w:p>
                <w:p w14:paraId="49B0E9AF">
                  <w:pPr>
                    <w:pStyle w:val="9"/>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3.项目位于</w:t>
                  </w:r>
                  <w:r>
                    <w:rPr>
                      <w:rFonts w:hint="eastAsia" w:cs="Times New Roman"/>
                      <w:color w:val="auto"/>
                      <w:sz w:val="21"/>
                      <w:szCs w:val="21"/>
                      <w:highlight w:val="none"/>
                      <w:lang w:val="en-US" w:eastAsia="zh-CN"/>
                    </w:rPr>
                    <w:t>北京市朝阳区和平里青年沟东路5号45号楼</w:t>
                  </w:r>
                  <w:r>
                    <w:rPr>
                      <w:rFonts w:hint="default"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rPr>
                    <w:t>项目不涉及生态保护红线及相关法定保护空间。</w:t>
                  </w:r>
                </w:p>
              </w:tc>
              <w:tc>
                <w:tcPr>
                  <w:tcW w:w="697" w:type="dxa"/>
                  <w:tcBorders>
                    <w:tl2br w:val="nil"/>
                    <w:tr2bl w:val="nil"/>
                  </w:tcBorders>
                  <w:shd w:val="clear" w:color="auto" w:fill="auto"/>
                  <w:vAlign w:val="center"/>
                </w:tcPr>
                <w:p w14:paraId="2301C1EE">
                  <w:pPr>
                    <w:pStyle w:val="9"/>
                    <w:jc w:val="center"/>
                    <w:rPr>
                      <w:rFonts w:hint="default" w:ascii="Times New Roman" w:hAnsi="Times New Roman" w:eastAsia="宋体" w:cs="Times New Roman"/>
                      <w:color w:val="auto"/>
                      <w:sz w:val="21"/>
                      <w:szCs w:val="21"/>
                      <w:highlight w:val="none"/>
                    </w:rPr>
                  </w:pPr>
                </w:p>
                <w:p w14:paraId="15799BC2">
                  <w:pPr>
                    <w:pStyle w:val="9"/>
                    <w:jc w:val="center"/>
                    <w:rPr>
                      <w:rFonts w:hint="default" w:ascii="Times New Roman" w:hAnsi="Times New Roman" w:eastAsia="宋体" w:cs="Times New Roman"/>
                      <w:color w:val="auto"/>
                      <w:sz w:val="21"/>
                      <w:szCs w:val="21"/>
                      <w:highlight w:val="none"/>
                    </w:rPr>
                  </w:pPr>
                </w:p>
                <w:p w14:paraId="75592236">
                  <w:pPr>
                    <w:pStyle w:val="9"/>
                    <w:jc w:val="center"/>
                    <w:rPr>
                      <w:rFonts w:hint="default" w:ascii="Times New Roman" w:hAnsi="Times New Roman" w:eastAsia="宋体" w:cs="Times New Roman"/>
                      <w:color w:val="auto"/>
                      <w:sz w:val="21"/>
                      <w:szCs w:val="21"/>
                      <w:highlight w:val="none"/>
                    </w:rPr>
                  </w:pPr>
                </w:p>
                <w:p w14:paraId="77826F6B">
                  <w:pPr>
                    <w:pStyle w:val="9"/>
                    <w:jc w:val="center"/>
                    <w:rPr>
                      <w:rFonts w:hint="default" w:ascii="Times New Roman" w:hAnsi="Times New Roman" w:eastAsia="宋体" w:cs="Times New Roman"/>
                      <w:color w:val="auto"/>
                      <w:sz w:val="21"/>
                      <w:szCs w:val="21"/>
                      <w:highlight w:val="none"/>
                    </w:rPr>
                  </w:pPr>
                </w:p>
                <w:p w14:paraId="61F95B2C">
                  <w:pPr>
                    <w:pStyle w:val="9"/>
                    <w:jc w:val="center"/>
                    <w:rPr>
                      <w:rFonts w:hint="default" w:ascii="Times New Roman" w:hAnsi="Times New Roman" w:eastAsia="宋体" w:cs="Times New Roman"/>
                      <w:color w:val="auto"/>
                      <w:sz w:val="21"/>
                      <w:szCs w:val="21"/>
                      <w:highlight w:val="none"/>
                    </w:rPr>
                  </w:pPr>
                </w:p>
                <w:p w14:paraId="362B9834">
                  <w:pPr>
                    <w:pStyle w:val="9"/>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57E4DF8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22" w:type="dxa"/>
                  <w:tcBorders>
                    <w:tl2br w:val="nil"/>
                    <w:tr2bl w:val="nil"/>
                  </w:tcBorders>
                  <w:shd w:val="clear" w:color="auto" w:fill="auto"/>
                  <w:vAlign w:val="center"/>
                </w:tcPr>
                <w:p w14:paraId="1E56876E">
                  <w:pPr>
                    <w:pStyle w:val="9"/>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污染物排放管控</w:t>
                  </w:r>
                </w:p>
              </w:tc>
              <w:tc>
                <w:tcPr>
                  <w:tcW w:w="5875" w:type="dxa"/>
                  <w:tcBorders>
                    <w:tl2br w:val="nil"/>
                    <w:tr2bl w:val="nil"/>
                  </w:tcBorders>
                  <w:shd w:val="clear" w:color="auto" w:fill="auto"/>
                </w:tcPr>
                <w:p w14:paraId="7548DA45">
                  <w:pPr>
                    <w:pStyle w:val="9"/>
                    <w:numPr>
                      <w:ilvl w:val="0"/>
                      <w:numId w:val="0"/>
                    </w:numPr>
                    <w:jc w:val="left"/>
                    <w:rPr>
                      <w:rFonts w:hint="eastAsia"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1.</w:t>
                  </w:r>
                  <w:r>
                    <w:rPr>
                      <w:rFonts w:hint="eastAsia" w:ascii="Times New Roman" w:hAnsi="Times New Roman" w:eastAsia="宋体" w:cs="Times New Roman"/>
                      <w:color w:val="auto"/>
                      <w:sz w:val="21"/>
                      <w:szCs w:val="21"/>
                      <w:highlight w:val="none"/>
                    </w:rPr>
                    <w:t>全域禁止使用高排放非道路移动机械。</w:t>
                  </w:r>
                </w:p>
                <w:p w14:paraId="4088E0EF">
                  <w:pPr>
                    <w:pStyle w:val="9"/>
                    <w:numPr>
                      <w:ilvl w:val="0"/>
                      <w:numId w:val="0"/>
                    </w:numPr>
                    <w:jc w:val="left"/>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2.必须遵守污染物排放的国家标准和地方标准；在实施重点污染物排放总量控制的区域内，还必须符合重点污染物排放总量控制的要求。</w:t>
                  </w:r>
                </w:p>
                <w:p w14:paraId="6C3B2D1A">
                  <w:pPr>
                    <w:pStyle w:val="9"/>
                    <w:numPr>
                      <w:ilvl w:val="0"/>
                      <w:numId w:val="0"/>
                    </w:numPr>
                    <w:jc w:val="left"/>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3.严格控制开发强度与建设规模，有序疏解人口和功能。严格限制新建和扩建医疗、行政办公、商业等大型服务设施。</w:t>
                  </w:r>
                </w:p>
                <w:p w14:paraId="268E948A">
                  <w:pPr>
                    <w:pStyle w:val="9"/>
                    <w:numPr>
                      <w:ilvl w:val="0"/>
                      <w:numId w:val="0"/>
                    </w:numPr>
                    <w:jc w:val="left"/>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4.工业园区配套建设废水集中处理设施。</w:t>
                  </w:r>
                </w:p>
                <w:p w14:paraId="0B69E771">
                  <w:pPr>
                    <w:pStyle w:val="9"/>
                    <w:numPr>
                      <w:ilvl w:val="0"/>
                      <w:numId w:val="0"/>
                    </w:numPr>
                    <w:jc w:val="left"/>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 xml:space="preserve">5.依法关闭或搬迁禁养区内的畜禽养殖场（小区）和养殖专业户。新建、改建、扩建规模化畜禽养殖场（小区）要实施雨污分流、粪便污水资源化利用。 </w:t>
                  </w:r>
                </w:p>
                <w:p w14:paraId="7923A681">
                  <w:pPr>
                    <w:pStyle w:val="9"/>
                    <w:numPr>
                      <w:ilvl w:val="0"/>
                      <w:numId w:val="0"/>
                    </w:numPr>
                    <w:jc w:val="left"/>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6.禁止在居民住宅楼、未配套设立专用烟道的商住综合楼、商住综合楼内与居住层相邻的商业楼层内，新建、改建、扩建产生油烟、异味、废气、噪声污染的饮食服务、服装干洗、机动车维修。</w:t>
                  </w:r>
                </w:p>
                <w:p w14:paraId="241AC5FE">
                  <w:pPr>
                    <w:pStyle w:val="9"/>
                    <w:numPr>
                      <w:ilvl w:val="0"/>
                      <w:numId w:val="0"/>
                    </w:numPr>
                    <w:jc w:val="left"/>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7.朝阳区开展大气污染精细化治理,组织空气质量排名靠后的街道(乡镇)进行综合整治；朝阳区、海淀区、石景山区组织对来广营汽修集群、绿谷汽修集群、古城汽修集群开展VOCs高值区域溯源精细化管理；石景山区开展区级强制性清洁生产审核试点。</w:t>
                  </w:r>
                </w:p>
              </w:tc>
              <w:tc>
                <w:tcPr>
                  <w:tcW w:w="5225" w:type="dxa"/>
                  <w:tcBorders>
                    <w:tl2br w:val="nil"/>
                    <w:tr2bl w:val="nil"/>
                  </w:tcBorders>
                  <w:shd w:val="clear" w:color="auto" w:fill="auto"/>
                  <w:vAlign w:val="center"/>
                </w:tcPr>
                <w:p w14:paraId="322A5B6B">
                  <w:pPr>
                    <w:pStyle w:val="9"/>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1.项目不涉及高排放非道路移动机械。</w:t>
                  </w:r>
                </w:p>
                <w:p w14:paraId="4B5DA7E4">
                  <w:pPr>
                    <w:pStyle w:val="9"/>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2.本项目废气、废水、噪声均满足国家地方污染物排放标准，固体废物合理处置，满足国家、地方相关要求。</w:t>
                  </w:r>
                </w:p>
                <w:p w14:paraId="62FEC565">
                  <w:pPr>
                    <w:pStyle w:val="9"/>
                    <w:jc w:val="left"/>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rPr>
                    <w:t>.项目</w:t>
                  </w:r>
                  <w:r>
                    <w:rPr>
                      <w:rFonts w:hint="eastAsia" w:cs="Times New Roman"/>
                      <w:color w:val="auto"/>
                      <w:sz w:val="21"/>
                      <w:szCs w:val="21"/>
                      <w:highlight w:val="none"/>
                      <w:lang w:val="en-US" w:eastAsia="zh-CN"/>
                    </w:rPr>
                    <w:t>为研发项目，工作人员较少，项目不属于</w:t>
                  </w:r>
                  <w:r>
                    <w:rPr>
                      <w:rFonts w:hint="eastAsia" w:ascii="Times New Roman" w:hAnsi="Times New Roman" w:eastAsia="宋体" w:cs="Times New Roman"/>
                      <w:color w:val="auto"/>
                      <w:sz w:val="21"/>
                      <w:szCs w:val="21"/>
                      <w:highlight w:val="none"/>
                    </w:rPr>
                    <w:t>医疗、行政办公、商业等大型服务设施</w:t>
                  </w:r>
                  <w:r>
                    <w:rPr>
                      <w:rFonts w:hint="default" w:ascii="Times New Roman" w:hAnsi="Times New Roman" w:eastAsia="宋体" w:cs="Times New Roman"/>
                      <w:color w:val="auto"/>
                      <w:sz w:val="21"/>
                      <w:szCs w:val="21"/>
                      <w:highlight w:val="none"/>
                    </w:rPr>
                    <w:t>。</w:t>
                  </w:r>
                </w:p>
                <w:p w14:paraId="62E79F49">
                  <w:pPr>
                    <w:pStyle w:val="9"/>
                    <w:jc w:val="left"/>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4</w:t>
                  </w:r>
                  <w:r>
                    <w:rPr>
                      <w:rFonts w:hint="default" w:ascii="Times New Roman" w:hAnsi="Times New Roman" w:eastAsia="宋体" w:cs="Times New Roman"/>
                      <w:color w:val="auto"/>
                      <w:sz w:val="21"/>
                      <w:szCs w:val="21"/>
                      <w:highlight w:val="none"/>
                    </w:rPr>
                    <w:t>.项目</w:t>
                  </w:r>
                  <w:r>
                    <w:rPr>
                      <w:rFonts w:hint="eastAsia" w:cs="Times New Roman"/>
                      <w:color w:val="auto"/>
                      <w:sz w:val="21"/>
                      <w:szCs w:val="21"/>
                      <w:highlight w:val="none"/>
                      <w:lang w:val="en-US" w:eastAsia="zh-CN"/>
                    </w:rPr>
                    <w:t>不属于工业园区项目，项目废水进化粪池处理后进市政管网</w:t>
                  </w:r>
                  <w:r>
                    <w:rPr>
                      <w:rFonts w:hint="default" w:ascii="Times New Roman" w:hAnsi="Times New Roman" w:eastAsia="宋体" w:cs="Times New Roman"/>
                      <w:color w:val="auto"/>
                      <w:sz w:val="21"/>
                      <w:szCs w:val="21"/>
                      <w:highlight w:val="none"/>
                    </w:rPr>
                    <w:t>。</w:t>
                  </w:r>
                </w:p>
                <w:p w14:paraId="6D9FB5E9">
                  <w:pPr>
                    <w:rPr>
                      <w:rFonts w:hint="default" w:eastAsia="宋体"/>
                      <w:lang w:val="en-US" w:eastAsia="zh-CN"/>
                    </w:rPr>
                  </w:pPr>
                  <w:r>
                    <w:rPr>
                      <w:rFonts w:hint="eastAsia" w:cs="Times New Roman"/>
                      <w:color w:val="auto"/>
                      <w:sz w:val="21"/>
                      <w:szCs w:val="21"/>
                      <w:highlight w:val="none"/>
                      <w:lang w:val="en-US" w:eastAsia="zh-CN"/>
                    </w:rPr>
                    <w:t>5.本项目不涉及。</w:t>
                  </w:r>
                </w:p>
                <w:p w14:paraId="6AD6AD6D">
                  <w:pPr>
                    <w:pStyle w:val="9"/>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6.项目不</w:t>
                  </w:r>
                  <w:r>
                    <w:rPr>
                      <w:rFonts w:hint="eastAsia" w:cs="Times New Roman"/>
                      <w:color w:val="auto"/>
                      <w:sz w:val="21"/>
                      <w:szCs w:val="21"/>
                      <w:highlight w:val="none"/>
                      <w:lang w:val="en-US" w:eastAsia="zh-CN"/>
                    </w:rPr>
                    <w:t>不涉及</w:t>
                  </w:r>
                  <w:r>
                    <w:rPr>
                      <w:rFonts w:hint="default" w:ascii="Times New Roman" w:hAnsi="Times New Roman" w:eastAsia="宋体" w:cs="Times New Roman"/>
                      <w:color w:val="auto"/>
                      <w:sz w:val="21"/>
                      <w:szCs w:val="21"/>
                      <w:highlight w:val="none"/>
                    </w:rPr>
                    <w:t>。</w:t>
                  </w:r>
                </w:p>
                <w:p w14:paraId="613DB4EC">
                  <w:pPr>
                    <w:pStyle w:val="9"/>
                    <w:jc w:val="left"/>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7.</w:t>
                  </w:r>
                  <w:r>
                    <w:rPr>
                      <w:rFonts w:hint="eastAsia" w:cs="Times New Roman"/>
                      <w:color w:val="auto"/>
                      <w:sz w:val="21"/>
                      <w:szCs w:val="21"/>
                      <w:highlight w:val="none"/>
                      <w:lang w:val="en-US" w:eastAsia="zh-CN"/>
                    </w:rPr>
                    <w:t>本项目为研发项目，项目采取严格的管控措施，废气经统一收集处理后排放，废气排放满足标准要求。</w:t>
                  </w:r>
                </w:p>
              </w:tc>
              <w:tc>
                <w:tcPr>
                  <w:tcW w:w="697" w:type="dxa"/>
                  <w:tcBorders>
                    <w:tl2br w:val="nil"/>
                    <w:tr2bl w:val="nil"/>
                  </w:tcBorders>
                  <w:shd w:val="clear" w:color="auto" w:fill="auto"/>
                  <w:vAlign w:val="center"/>
                </w:tcPr>
                <w:p w14:paraId="1752A085">
                  <w:pPr>
                    <w:pStyle w:val="9"/>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3958D1E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22" w:type="dxa"/>
                  <w:tcBorders>
                    <w:tl2br w:val="nil"/>
                    <w:tr2bl w:val="nil"/>
                  </w:tcBorders>
                  <w:shd w:val="clear" w:color="auto" w:fill="auto"/>
                  <w:vAlign w:val="center"/>
                </w:tcPr>
                <w:p w14:paraId="02608714">
                  <w:pPr>
                    <w:pStyle w:val="9"/>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环境风险防控</w:t>
                  </w:r>
                </w:p>
              </w:tc>
              <w:tc>
                <w:tcPr>
                  <w:tcW w:w="5875" w:type="dxa"/>
                  <w:tcBorders>
                    <w:tl2br w:val="nil"/>
                    <w:tr2bl w:val="nil"/>
                  </w:tcBorders>
                  <w:shd w:val="clear" w:color="auto" w:fill="auto"/>
                </w:tcPr>
                <w:p w14:paraId="50EA5030">
                  <w:pPr>
                    <w:pStyle w:val="9"/>
                    <w:numPr>
                      <w:ilvl w:val="0"/>
                      <w:numId w:val="0"/>
                    </w:numPr>
                    <w:jc w:val="left"/>
                    <w:rPr>
                      <w:rFonts w:hint="eastAsia"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1.</w:t>
                  </w:r>
                  <w:r>
                    <w:rPr>
                      <w:rFonts w:hint="eastAsia" w:ascii="Times New Roman" w:hAnsi="Times New Roman" w:eastAsia="宋体" w:cs="Times New Roman"/>
                      <w:color w:val="auto"/>
                      <w:sz w:val="21"/>
                      <w:szCs w:val="21"/>
                      <w:highlight w:val="none"/>
                    </w:rPr>
                    <w:t>禁止新设立带有储存设施的危险化学品经营企业（涉及国计民生和城市运行的除外）。</w:t>
                  </w:r>
                </w:p>
                <w:p w14:paraId="7108FA15">
                  <w:pPr>
                    <w:pStyle w:val="9"/>
                    <w:numPr>
                      <w:ilvl w:val="0"/>
                      <w:numId w:val="0"/>
                    </w:numPr>
                    <w:jc w:val="left"/>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2.禁止新设立或迁入危险货物道路运输业户（含车辆）（使用清洁能源车辆的道路货物运输业户除外）。</w:t>
                  </w:r>
                </w:p>
                <w:p w14:paraId="7D9C7098">
                  <w:pPr>
                    <w:pStyle w:val="9"/>
                    <w:numPr>
                      <w:ilvl w:val="0"/>
                      <w:numId w:val="0"/>
                    </w:numPr>
                    <w:jc w:val="left"/>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3.应充分考虑污染地块的环境风险，合理确定土地用途。</w:t>
                  </w:r>
                </w:p>
                <w:p w14:paraId="5A5D46EC">
                  <w:pPr>
                    <w:pStyle w:val="9"/>
                    <w:numPr>
                      <w:ilvl w:val="0"/>
                      <w:numId w:val="0"/>
                    </w:numPr>
                    <w:jc w:val="left"/>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4.有效落实空气重污染各项应急减排措施，引导提高施工工地和应急减排清单企业的绩效等级，引导使用纯电动、氢燃料电池的车辆和非道路移动机械.</w:t>
                  </w:r>
                </w:p>
              </w:tc>
              <w:tc>
                <w:tcPr>
                  <w:tcW w:w="5225" w:type="dxa"/>
                  <w:tcBorders>
                    <w:tl2br w:val="nil"/>
                    <w:tr2bl w:val="nil"/>
                  </w:tcBorders>
                  <w:shd w:val="clear" w:color="auto" w:fill="auto"/>
                  <w:vAlign w:val="center"/>
                </w:tcPr>
                <w:p w14:paraId="4776AC18">
                  <w:pPr>
                    <w:pStyle w:val="9"/>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r>
                    <w:rPr>
                      <w:rFonts w:hint="eastAsia" w:cs="Times New Roman"/>
                      <w:color w:val="auto"/>
                      <w:sz w:val="21"/>
                      <w:szCs w:val="21"/>
                      <w:highlight w:val="none"/>
                      <w:lang w:val="en-US" w:eastAsia="zh-CN"/>
                    </w:rPr>
                    <w:t>本项目不涉及</w:t>
                  </w:r>
                  <w:r>
                    <w:rPr>
                      <w:rFonts w:hint="default" w:ascii="Times New Roman" w:hAnsi="Times New Roman" w:eastAsia="宋体" w:cs="Times New Roman"/>
                      <w:color w:val="auto"/>
                      <w:sz w:val="21"/>
                      <w:szCs w:val="21"/>
                      <w:highlight w:val="none"/>
                    </w:rPr>
                    <w:t>。</w:t>
                  </w:r>
                </w:p>
                <w:p w14:paraId="2EB4DED3">
                  <w:pPr>
                    <w:pStyle w:val="9"/>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w:t>
                  </w:r>
                  <w:r>
                    <w:rPr>
                      <w:rFonts w:hint="eastAsia" w:cs="Times New Roman"/>
                      <w:color w:val="auto"/>
                      <w:sz w:val="21"/>
                      <w:szCs w:val="21"/>
                      <w:highlight w:val="none"/>
                      <w:lang w:val="en-US" w:eastAsia="zh-CN"/>
                    </w:rPr>
                    <w:t>本项目不涉及</w:t>
                  </w:r>
                  <w:r>
                    <w:rPr>
                      <w:rFonts w:hint="default" w:ascii="Times New Roman" w:hAnsi="Times New Roman" w:eastAsia="宋体" w:cs="Times New Roman"/>
                      <w:color w:val="auto"/>
                      <w:sz w:val="21"/>
                      <w:szCs w:val="21"/>
                      <w:highlight w:val="none"/>
                    </w:rPr>
                    <w:t>。</w:t>
                  </w:r>
                </w:p>
                <w:p w14:paraId="6BD510C7">
                  <w:pPr>
                    <w:pStyle w:val="9"/>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w:t>
                  </w:r>
                  <w:r>
                    <w:rPr>
                      <w:rFonts w:hint="eastAsia" w:cs="Times New Roman"/>
                      <w:color w:val="auto"/>
                      <w:sz w:val="21"/>
                      <w:szCs w:val="21"/>
                      <w:highlight w:val="none"/>
                      <w:lang w:val="en-US" w:eastAsia="zh-CN"/>
                    </w:rPr>
                    <w:t>本项目不涉及</w:t>
                  </w:r>
                  <w:r>
                    <w:rPr>
                      <w:rFonts w:hint="default" w:ascii="Times New Roman" w:hAnsi="Times New Roman" w:eastAsia="宋体" w:cs="Times New Roman"/>
                      <w:color w:val="auto"/>
                      <w:sz w:val="21"/>
                      <w:szCs w:val="21"/>
                      <w:highlight w:val="none"/>
                    </w:rPr>
                    <w:t>。</w:t>
                  </w:r>
                </w:p>
                <w:p w14:paraId="442A699E">
                  <w:pPr>
                    <w:rPr>
                      <w:rFonts w:hint="default" w:eastAsia="宋体"/>
                      <w:lang w:val="en-US" w:eastAsia="zh-CN"/>
                    </w:rPr>
                  </w:pPr>
                  <w:r>
                    <w:rPr>
                      <w:rFonts w:hint="eastAsia" w:cs="Times New Roman"/>
                      <w:color w:val="auto"/>
                      <w:sz w:val="21"/>
                      <w:szCs w:val="21"/>
                      <w:highlight w:val="none"/>
                      <w:lang w:val="en-US" w:eastAsia="zh-CN"/>
                    </w:rPr>
                    <w:t>4.本项目严格</w:t>
                  </w:r>
                  <w:r>
                    <w:rPr>
                      <w:rFonts w:hint="eastAsia" w:ascii="Times New Roman" w:hAnsi="Times New Roman" w:eastAsia="宋体" w:cs="Times New Roman"/>
                      <w:color w:val="auto"/>
                      <w:sz w:val="21"/>
                      <w:szCs w:val="21"/>
                      <w:highlight w:val="none"/>
                    </w:rPr>
                    <w:t>落实空气重污染各项应急减排措施</w:t>
                  </w:r>
                  <w:r>
                    <w:rPr>
                      <w:rFonts w:hint="eastAsia" w:ascii="Times New Roman" w:hAnsi="Times New Roman" w:cs="Times New Roman"/>
                      <w:color w:val="auto"/>
                      <w:sz w:val="21"/>
                      <w:szCs w:val="21"/>
                      <w:highlight w:val="none"/>
                      <w:lang w:val="en-US" w:eastAsia="zh-CN"/>
                    </w:rPr>
                    <w:t>的相关要求。</w:t>
                  </w:r>
                </w:p>
              </w:tc>
              <w:tc>
                <w:tcPr>
                  <w:tcW w:w="697" w:type="dxa"/>
                  <w:tcBorders>
                    <w:tl2br w:val="nil"/>
                    <w:tr2bl w:val="nil"/>
                  </w:tcBorders>
                  <w:shd w:val="clear" w:color="auto" w:fill="auto"/>
                  <w:vAlign w:val="center"/>
                </w:tcPr>
                <w:p w14:paraId="67F1911C">
                  <w:pPr>
                    <w:pStyle w:val="9"/>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3DB8A0F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22" w:type="dxa"/>
                  <w:tcBorders>
                    <w:tl2br w:val="nil"/>
                    <w:tr2bl w:val="nil"/>
                  </w:tcBorders>
                  <w:shd w:val="clear" w:color="auto" w:fill="auto"/>
                  <w:vAlign w:val="center"/>
                </w:tcPr>
                <w:p w14:paraId="1F78CED4">
                  <w:pPr>
                    <w:pStyle w:val="9"/>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资源利用效率</w:t>
                  </w:r>
                </w:p>
              </w:tc>
              <w:tc>
                <w:tcPr>
                  <w:tcW w:w="5875" w:type="dxa"/>
                  <w:tcBorders>
                    <w:tl2br w:val="nil"/>
                    <w:tr2bl w:val="nil"/>
                  </w:tcBorders>
                  <w:shd w:val="clear" w:color="auto" w:fill="auto"/>
                </w:tcPr>
                <w:p w14:paraId="26AADDA8">
                  <w:pPr>
                    <w:pStyle w:val="9"/>
                    <w:jc w:val="left"/>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1.坚持疏解整治促提升，坚持“留白增绿”，创造优良人居环境。</w:t>
                  </w:r>
                </w:p>
              </w:tc>
              <w:tc>
                <w:tcPr>
                  <w:tcW w:w="5225" w:type="dxa"/>
                  <w:tcBorders>
                    <w:tl2br w:val="nil"/>
                    <w:tr2bl w:val="nil"/>
                  </w:tcBorders>
                  <w:shd w:val="clear" w:color="auto" w:fill="auto"/>
                  <w:vAlign w:val="center"/>
                </w:tcPr>
                <w:p w14:paraId="44238A1F">
                  <w:pPr>
                    <w:pStyle w:val="9"/>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1.本项目</w:t>
                  </w:r>
                  <w:r>
                    <w:rPr>
                      <w:rFonts w:hint="eastAsia" w:cs="Times New Roman"/>
                      <w:color w:val="auto"/>
                      <w:sz w:val="21"/>
                      <w:szCs w:val="21"/>
                      <w:highlight w:val="none"/>
                      <w:lang w:val="en-US" w:eastAsia="zh-CN"/>
                    </w:rPr>
                    <w:t>为电池材料研发项目，研发人员较少，符合以上要求</w:t>
                  </w:r>
                  <w:r>
                    <w:rPr>
                      <w:rFonts w:hint="default" w:ascii="Times New Roman" w:hAnsi="Times New Roman" w:eastAsia="宋体" w:cs="Times New Roman"/>
                      <w:color w:val="auto"/>
                      <w:sz w:val="21"/>
                      <w:szCs w:val="21"/>
                      <w:highlight w:val="none"/>
                    </w:rPr>
                    <w:t>。</w:t>
                  </w:r>
                </w:p>
              </w:tc>
              <w:tc>
                <w:tcPr>
                  <w:tcW w:w="697" w:type="dxa"/>
                  <w:tcBorders>
                    <w:tl2br w:val="nil"/>
                    <w:tr2bl w:val="nil"/>
                  </w:tcBorders>
                  <w:shd w:val="clear" w:color="auto" w:fill="auto"/>
                  <w:vAlign w:val="center"/>
                </w:tcPr>
                <w:p w14:paraId="2276AC31">
                  <w:pPr>
                    <w:pStyle w:val="9"/>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bl>
          <w:p w14:paraId="6F04741A">
            <w:pPr>
              <w:rPr>
                <w:rFonts w:hint="default" w:ascii="Times New Roman" w:hAnsi="Times New Roman" w:eastAsia="宋体" w:cs="Times New Roman"/>
                <w:b/>
                <w:bCs/>
                <w:color w:val="auto"/>
                <w:sz w:val="24"/>
                <w:highlight w:val="none"/>
              </w:rPr>
            </w:pPr>
          </w:p>
          <w:p w14:paraId="18E70F1F">
            <w:pPr>
              <w:pStyle w:val="9"/>
              <w:numPr>
                <w:ilvl w:val="0"/>
                <w:numId w:val="5"/>
              </w:numPr>
              <w:spacing w:line="360" w:lineRule="auto"/>
              <w:ind w:firstLine="482" w:firstLineChars="200"/>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环境管控单元生态环境准入清单</w:t>
            </w:r>
          </w:p>
          <w:p w14:paraId="540ACAD8">
            <w:pPr>
              <w:spacing w:line="360" w:lineRule="auto"/>
              <w:ind w:firstLine="480" w:firstLineChars="20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本项目与</w:t>
            </w:r>
            <w:r>
              <w:rPr>
                <w:rFonts w:hint="eastAsia" w:ascii="Times New Roman" w:hAnsi="Times New Roman" w:eastAsia="宋体" w:cs="Times New Roman"/>
                <w:color w:val="auto"/>
                <w:kern w:val="0"/>
                <w:sz w:val="24"/>
                <w:highlight w:val="none"/>
                <w:lang w:bidi="ar"/>
              </w:rPr>
              <w:t>街道（乡镇）重点管控单元</w:t>
            </w:r>
            <w:r>
              <w:rPr>
                <w:rFonts w:hint="default" w:ascii="Times New Roman" w:hAnsi="Times New Roman" w:eastAsia="宋体" w:cs="Times New Roman"/>
                <w:color w:val="auto"/>
                <w:kern w:val="2"/>
                <w:sz w:val="24"/>
                <w:szCs w:val="24"/>
                <w:highlight w:val="none"/>
                <w:lang w:val="en-US" w:eastAsia="zh-CN" w:bidi="ar-SA"/>
              </w:rPr>
              <w:t>准入清单的符合性分析见下表</w:t>
            </w:r>
          </w:p>
          <w:p w14:paraId="733BCD88">
            <w:pPr>
              <w:widowControl/>
              <w:numPr>
                <w:ilvl w:val="0"/>
                <w:numId w:val="4"/>
              </w:numPr>
              <w:spacing w:line="360" w:lineRule="auto"/>
              <w:ind w:left="425" w:leftChars="0" w:hanging="425" w:firstLineChars="0"/>
              <w:jc w:val="center"/>
              <w:rPr>
                <w:rFonts w:hint="default" w:ascii="Times New Roman" w:hAnsi="Times New Roman" w:eastAsia="宋体" w:cs="Times New Roman"/>
                <w:b/>
                <w:bCs/>
                <w:color w:val="auto"/>
                <w:sz w:val="24"/>
                <w:highlight w:val="none"/>
              </w:rPr>
            </w:pPr>
            <w:r>
              <w:rPr>
                <w:rFonts w:hint="eastAsia" w:ascii="Times New Roman" w:hAnsi="Times New Roman" w:eastAsia="宋体" w:cs="Times New Roman"/>
                <w:b/>
                <w:bCs/>
                <w:color w:val="auto"/>
                <w:sz w:val="24"/>
                <w:highlight w:val="none"/>
              </w:rPr>
              <w:t>街道（乡镇）重点管控单元</w:t>
            </w:r>
            <w:r>
              <w:rPr>
                <w:rFonts w:hint="default" w:ascii="Times New Roman" w:hAnsi="Times New Roman" w:eastAsia="宋体" w:cs="Times New Roman"/>
                <w:b/>
                <w:bCs/>
                <w:color w:val="auto"/>
                <w:sz w:val="24"/>
                <w:highlight w:val="none"/>
              </w:rPr>
              <w:t>生态环境准入清单</w:t>
            </w:r>
          </w:p>
          <w:tbl>
            <w:tblPr>
              <w:tblStyle w:val="24"/>
              <w:tblW w:w="12979" w:type="dxa"/>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516"/>
              <w:gridCol w:w="4008"/>
              <w:gridCol w:w="677"/>
            </w:tblGrid>
            <w:tr w14:paraId="6B2503E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8" w:type="dxa"/>
                  <w:tcBorders>
                    <w:tl2br w:val="nil"/>
                    <w:tr2bl w:val="nil"/>
                  </w:tcBorders>
                  <w:shd w:val="clear" w:color="auto" w:fill="auto"/>
                  <w:vAlign w:val="center"/>
                </w:tcPr>
                <w:p w14:paraId="5848E03A">
                  <w:pPr>
                    <w:pStyle w:val="9"/>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管控类别</w:t>
                  </w:r>
                </w:p>
              </w:tc>
              <w:tc>
                <w:tcPr>
                  <w:tcW w:w="7516" w:type="dxa"/>
                  <w:tcBorders>
                    <w:tl2br w:val="nil"/>
                    <w:tr2bl w:val="nil"/>
                  </w:tcBorders>
                  <w:shd w:val="clear" w:color="auto" w:fill="auto"/>
                  <w:vAlign w:val="center"/>
                </w:tcPr>
                <w:p w14:paraId="7ECEFACA">
                  <w:pPr>
                    <w:pStyle w:val="9"/>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重点管控要求</w:t>
                  </w:r>
                </w:p>
              </w:tc>
              <w:tc>
                <w:tcPr>
                  <w:tcW w:w="4008" w:type="dxa"/>
                  <w:tcBorders>
                    <w:tl2br w:val="nil"/>
                    <w:tr2bl w:val="nil"/>
                  </w:tcBorders>
                  <w:shd w:val="clear" w:color="auto" w:fill="auto"/>
                  <w:vAlign w:val="center"/>
                </w:tcPr>
                <w:p w14:paraId="657822E6">
                  <w:pPr>
                    <w:pStyle w:val="9"/>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本项目符合性</w:t>
                  </w:r>
                </w:p>
              </w:tc>
              <w:tc>
                <w:tcPr>
                  <w:tcW w:w="677" w:type="dxa"/>
                  <w:tcBorders>
                    <w:tl2br w:val="nil"/>
                    <w:tr2bl w:val="nil"/>
                  </w:tcBorders>
                  <w:shd w:val="clear" w:color="auto" w:fill="auto"/>
                  <w:vAlign w:val="center"/>
                </w:tcPr>
                <w:p w14:paraId="4CDFB3C9">
                  <w:pPr>
                    <w:pStyle w:val="9"/>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是否</w:t>
                  </w:r>
                </w:p>
                <w:p w14:paraId="3D0104E1">
                  <w:pPr>
                    <w:pStyle w:val="9"/>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符合</w:t>
                  </w:r>
                </w:p>
              </w:tc>
            </w:tr>
            <w:tr w14:paraId="1B59723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8" w:type="dxa"/>
                  <w:tcBorders>
                    <w:tl2br w:val="nil"/>
                    <w:tr2bl w:val="nil"/>
                  </w:tcBorders>
                  <w:shd w:val="clear" w:color="auto" w:fill="auto"/>
                  <w:vAlign w:val="center"/>
                </w:tcPr>
                <w:p w14:paraId="06149349">
                  <w:pPr>
                    <w:pStyle w:val="9"/>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空间布局约束</w:t>
                  </w:r>
                </w:p>
              </w:tc>
              <w:tc>
                <w:tcPr>
                  <w:tcW w:w="7516" w:type="dxa"/>
                  <w:tcBorders>
                    <w:tl2br w:val="nil"/>
                    <w:tr2bl w:val="nil"/>
                  </w:tcBorders>
                  <w:shd w:val="clear" w:color="auto" w:fill="auto"/>
                  <w:vAlign w:val="center"/>
                </w:tcPr>
                <w:p w14:paraId="773C60E2">
                  <w:pPr>
                    <w:pStyle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1.执行重点管控类[街道（乡镇）]生态环境总体准入清单和中心城区（首都功能核心区除外）生态环境准入清单的空间布局约束准入要求。</w:t>
                  </w:r>
                </w:p>
              </w:tc>
              <w:tc>
                <w:tcPr>
                  <w:tcW w:w="4008" w:type="dxa"/>
                  <w:tcBorders>
                    <w:tl2br w:val="nil"/>
                    <w:tr2bl w:val="nil"/>
                  </w:tcBorders>
                  <w:shd w:val="clear" w:color="auto" w:fill="auto"/>
                  <w:vAlign w:val="center"/>
                </w:tcPr>
                <w:p w14:paraId="6B73E9E6">
                  <w:pPr>
                    <w:pStyle w:val="9"/>
                    <w:rPr>
                      <w:rFonts w:hint="eastAsia" w:ascii="Times New Roman" w:hAnsi="Times New Roman" w:eastAsia="宋体" w:cs="Times New Roman"/>
                      <w:color w:val="auto"/>
                      <w:sz w:val="21"/>
                      <w:szCs w:val="21"/>
                      <w:highlight w:val="none"/>
                      <w:lang w:eastAsia="zh-CN"/>
                    </w:rPr>
                  </w:pPr>
                  <w:r>
                    <w:rPr>
                      <w:rFonts w:hint="eastAsia" w:ascii="Times New Roman" w:hAnsi="Times New Roman"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rPr>
                    <w:t>重点管控类[街道（乡镇）]生态环境总体准入清单和中心城区（首都功能核心区除外）生态环境准入清单的空间布局约束准入要求</w:t>
                  </w:r>
                  <w:r>
                    <w:rPr>
                      <w:rFonts w:hint="eastAsia" w:ascii="Times New Roman" w:hAnsi="Times New Roman" w:cs="Times New Roman"/>
                      <w:color w:val="auto"/>
                      <w:sz w:val="21"/>
                      <w:szCs w:val="21"/>
                      <w:highlight w:val="none"/>
                      <w:lang w:eastAsia="zh-CN"/>
                    </w:rPr>
                    <w:t>。</w:t>
                  </w:r>
                </w:p>
              </w:tc>
              <w:tc>
                <w:tcPr>
                  <w:tcW w:w="677" w:type="dxa"/>
                  <w:tcBorders>
                    <w:tl2br w:val="nil"/>
                    <w:tr2bl w:val="nil"/>
                  </w:tcBorders>
                  <w:shd w:val="clear" w:color="auto" w:fill="auto"/>
                  <w:vAlign w:val="center"/>
                </w:tcPr>
                <w:p w14:paraId="7914504C">
                  <w:pPr>
                    <w:pStyle w:val="9"/>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014386F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8" w:type="dxa"/>
                  <w:tcBorders>
                    <w:tl2br w:val="nil"/>
                    <w:tr2bl w:val="nil"/>
                  </w:tcBorders>
                  <w:shd w:val="clear" w:color="auto" w:fill="auto"/>
                  <w:vAlign w:val="center"/>
                </w:tcPr>
                <w:p w14:paraId="51806719">
                  <w:pPr>
                    <w:pStyle w:val="9"/>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污染物排放管控</w:t>
                  </w:r>
                </w:p>
              </w:tc>
              <w:tc>
                <w:tcPr>
                  <w:tcW w:w="7516" w:type="dxa"/>
                  <w:tcBorders>
                    <w:tl2br w:val="nil"/>
                    <w:tr2bl w:val="nil"/>
                  </w:tcBorders>
                  <w:shd w:val="clear" w:color="auto" w:fill="auto"/>
                  <w:vAlign w:val="center"/>
                </w:tcPr>
                <w:p w14:paraId="18B3E3AA">
                  <w:pPr>
                    <w:pStyle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1.执行重点管控类[街道（乡镇）]生态环境总体准入清单和中心城区（首都功能核心区除外）生态环境准入清单的污染物排放管控准入要求。</w:t>
                  </w:r>
                </w:p>
                <w:p w14:paraId="41D425D8">
                  <w:pPr>
                    <w:pStyle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2.严格高污染燃料禁燃区管控，禁燃区内任何单位不得新建、扩建高污染燃料燃用设施，不得将其他燃料燃用设施改造为高污染燃料燃用设施。</w:t>
                  </w:r>
                </w:p>
              </w:tc>
              <w:tc>
                <w:tcPr>
                  <w:tcW w:w="4008" w:type="dxa"/>
                  <w:tcBorders>
                    <w:tl2br w:val="nil"/>
                    <w:tr2bl w:val="nil"/>
                  </w:tcBorders>
                  <w:shd w:val="clear" w:color="auto" w:fill="auto"/>
                  <w:vAlign w:val="center"/>
                </w:tcPr>
                <w:p w14:paraId="4E7D5A5D">
                  <w:pPr>
                    <w:pStyle w:val="9"/>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1．重点管控类[街道（乡镇）]生态环境总体准入清单和中心城区（首都功能核心区除外）生态环境准入清单的空间布局约束准入要求</w:t>
                  </w:r>
                  <w:r>
                    <w:rPr>
                      <w:rFonts w:hint="eastAsia" w:ascii="Times New Roman" w:hAnsi="Times New Roman" w:cs="Times New Roman"/>
                      <w:color w:val="auto"/>
                      <w:sz w:val="21"/>
                      <w:szCs w:val="21"/>
                      <w:highlight w:val="none"/>
                      <w:lang w:eastAsia="zh-CN"/>
                    </w:rPr>
                    <w:t>。</w:t>
                  </w:r>
                </w:p>
                <w:p w14:paraId="451557DD">
                  <w:pPr>
                    <w:pStyle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2．本项目不涉及。</w:t>
                  </w:r>
                </w:p>
              </w:tc>
              <w:tc>
                <w:tcPr>
                  <w:tcW w:w="677" w:type="dxa"/>
                  <w:tcBorders>
                    <w:tl2br w:val="nil"/>
                    <w:tr2bl w:val="nil"/>
                  </w:tcBorders>
                  <w:shd w:val="clear" w:color="auto" w:fill="auto"/>
                  <w:vAlign w:val="center"/>
                </w:tcPr>
                <w:p w14:paraId="0B3166DB">
                  <w:pPr>
                    <w:pStyle w:val="9"/>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10DBC77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8" w:type="dxa"/>
                  <w:tcBorders>
                    <w:tl2br w:val="nil"/>
                    <w:tr2bl w:val="nil"/>
                  </w:tcBorders>
                  <w:shd w:val="clear" w:color="auto" w:fill="auto"/>
                  <w:vAlign w:val="center"/>
                </w:tcPr>
                <w:p w14:paraId="169DC6C4">
                  <w:pPr>
                    <w:pStyle w:val="9"/>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环境</w:t>
                  </w:r>
                </w:p>
                <w:p w14:paraId="3DDF0B8C">
                  <w:pPr>
                    <w:pStyle w:val="9"/>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风险</w:t>
                  </w:r>
                </w:p>
                <w:p w14:paraId="30CABDA2">
                  <w:pPr>
                    <w:pStyle w:val="9"/>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防控</w:t>
                  </w:r>
                </w:p>
              </w:tc>
              <w:tc>
                <w:tcPr>
                  <w:tcW w:w="7516" w:type="dxa"/>
                  <w:tcBorders>
                    <w:tl2br w:val="nil"/>
                    <w:tr2bl w:val="nil"/>
                  </w:tcBorders>
                  <w:shd w:val="clear" w:color="auto" w:fill="auto"/>
                  <w:vAlign w:val="center"/>
                </w:tcPr>
                <w:p w14:paraId="4A996EB6">
                  <w:pPr>
                    <w:rPr>
                      <w:rFonts w:hint="default" w:ascii="Times New Roman" w:hAnsi="Times New Roman" w:eastAsia="宋体" w:cs="Times New Roman"/>
                      <w:color w:val="auto"/>
                      <w:sz w:val="21"/>
                      <w:szCs w:val="21"/>
                      <w:highlight w:val="none"/>
                    </w:rPr>
                  </w:pPr>
                  <w:r>
                    <w:rPr>
                      <w:rFonts w:hint="eastAsia"/>
                    </w:rPr>
                    <w:t>1.执行重点管控类[街道（乡镇）]生态环境总体准入清单和中心城区（首都功能核心区除外）生态环境准入清单的空间布局约束准入要求。</w:t>
                  </w:r>
                </w:p>
              </w:tc>
              <w:tc>
                <w:tcPr>
                  <w:tcW w:w="4008" w:type="dxa"/>
                  <w:tcBorders>
                    <w:tl2br w:val="nil"/>
                    <w:tr2bl w:val="nil"/>
                  </w:tcBorders>
                  <w:shd w:val="clear" w:color="auto" w:fill="auto"/>
                  <w:vAlign w:val="center"/>
                </w:tcPr>
                <w:p w14:paraId="34276526">
                  <w:pPr>
                    <w:rPr>
                      <w:rFonts w:hint="eastAsia" w:ascii="Times New Roman" w:hAnsi="Times New Roman" w:eastAsia="宋体" w:cs="Times New Roman"/>
                      <w:color w:val="auto"/>
                      <w:sz w:val="21"/>
                      <w:szCs w:val="21"/>
                      <w:highlight w:val="none"/>
                      <w:lang w:eastAsia="zh-CN"/>
                    </w:rPr>
                  </w:pPr>
                  <w:r>
                    <w:rPr>
                      <w:rFonts w:hint="eastAsia" w:ascii="Times New Roman" w:hAnsi="Times New Roman"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rPr>
                    <w:t>重点管控类[街道（乡镇）]生态环境总体准入清单和中心城区（首都功能核心区除外）生态环境准入清单的空间布局约束准入要求</w:t>
                  </w:r>
                  <w:r>
                    <w:rPr>
                      <w:rFonts w:hint="eastAsia" w:ascii="Times New Roman" w:hAnsi="Times New Roman" w:cs="Times New Roman"/>
                      <w:color w:val="auto"/>
                      <w:sz w:val="21"/>
                      <w:szCs w:val="21"/>
                      <w:highlight w:val="none"/>
                      <w:lang w:eastAsia="zh-CN"/>
                    </w:rPr>
                    <w:t>。</w:t>
                  </w:r>
                </w:p>
              </w:tc>
              <w:tc>
                <w:tcPr>
                  <w:tcW w:w="677" w:type="dxa"/>
                  <w:tcBorders>
                    <w:tl2br w:val="nil"/>
                    <w:tr2bl w:val="nil"/>
                  </w:tcBorders>
                  <w:shd w:val="clear" w:color="auto" w:fill="auto"/>
                  <w:vAlign w:val="center"/>
                </w:tcPr>
                <w:p w14:paraId="666020EB">
                  <w:pPr>
                    <w:pStyle w:val="9"/>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72AFDF2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8" w:type="dxa"/>
                  <w:tcBorders>
                    <w:tl2br w:val="nil"/>
                    <w:tr2bl w:val="nil"/>
                  </w:tcBorders>
                  <w:shd w:val="clear" w:color="auto" w:fill="auto"/>
                  <w:vAlign w:val="center"/>
                </w:tcPr>
                <w:p w14:paraId="5A7FEFE1">
                  <w:pPr>
                    <w:pStyle w:val="9"/>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资源</w:t>
                  </w:r>
                </w:p>
                <w:p w14:paraId="792267CC">
                  <w:pPr>
                    <w:pStyle w:val="9"/>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利用</w:t>
                  </w:r>
                </w:p>
                <w:p w14:paraId="37F4EDE1">
                  <w:pPr>
                    <w:pStyle w:val="9"/>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效率</w:t>
                  </w:r>
                </w:p>
              </w:tc>
              <w:tc>
                <w:tcPr>
                  <w:tcW w:w="7516" w:type="dxa"/>
                  <w:tcBorders>
                    <w:tl2br w:val="nil"/>
                    <w:tr2bl w:val="nil"/>
                  </w:tcBorders>
                  <w:shd w:val="clear" w:color="auto" w:fill="auto"/>
                  <w:vAlign w:val="center"/>
                </w:tcPr>
                <w:p w14:paraId="4D3787F7">
                  <w:pPr>
                    <w:rPr>
                      <w:rFonts w:hint="default" w:ascii="Times New Roman" w:hAnsi="Times New Roman" w:eastAsia="宋体" w:cs="Times New Roman"/>
                      <w:color w:val="auto"/>
                      <w:sz w:val="21"/>
                      <w:szCs w:val="21"/>
                      <w:highlight w:val="none"/>
                    </w:rPr>
                  </w:pPr>
                  <w:r>
                    <w:rPr>
                      <w:rFonts w:hint="eastAsia"/>
                    </w:rPr>
                    <w:t>1.执行重点管控类[街道（乡镇）]生态环境总体准入清单和中心城区（首都功能核心区除外）生态环境准入清单的空间布局约束准入要求。</w:t>
                  </w:r>
                </w:p>
              </w:tc>
              <w:tc>
                <w:tcPr>
                  <w:tcW w:w="4008" w:type="dxa"/>
                  <w:tcBorders>
                    <w:tl2br w:val="nil"/>
                    <w:tr2bl w:val="nil"/>
                  </w:tcBorders>
                  <w:shd w:val="clear" w:color="auto" w:fill="auto"/>
                  <w:vAlign w:val="center"/>
                </w:tcPr>
                <w:p w14:paraId="1CAB0482">
                  <w:pPr>
                    <w:rPr>
                      <w:rFonts w:hint="eastAsia" w:ascii="Times New Roman" w:hAnsi="Times New Roman" w:eastAsia="宋体" w:cs="Times New Roman"/>
                      <w:color w:val="auto"/>
                      <w:sz w:val="21"/>
                      <w:szCs w:val="21"/>
                      <w:highlight w:val="none"/>
                      <w:lang w:eastAsia="zh-CN"/>
                    </w:rPr>
                  </w:pPr>
                  <w:r>
                    <w:rPr>
                      <w:rFonts w:hint="eastAsia" w:ascii="Times New Roman" w:hAnsi="Times New Roman"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rPr>
                    <w:t>重点管控类[街道（乡镇）]生态环境总体准入清单和中心城区（首都功能核心区除外）生态环境准入清单的空间布局约束准入要求</w:t>
                  </w:r>
                  <w:r>
                    <w:rPr>
                      <w:rFonts w:hint="eastAsia" w:ascii="Times New Roman" w:hAnsi="Times New Roman" w:cs="Times New Roman"/>
                      <w:color w:val="auto"/>
                      <w:sz w:val="21"/>
                      <w:szCs w:val="21"/>
                      <w:highlight w:val="none"/>
                      <w:lang w:eastAsia="zh-CN"/>
                    </w:rPr>
                    <w:t>。</w:t>
                  </w:r>
                </w:p>
              </w:tc>
              <w:tc>
                <w:tcPr>
                  <w:tcW w:w="677" w:type="dxa"/>
                  <w:tcBorders>
                    <w:tl2br w:val="nil"/>
                    <w:tr2bl w:val="nil"/>
                  </w:tcBorders>
                  <w:shd w:val="clear" w:color="auto" w:fill="auto"/>
                  <w:vAlign w:val="center"/>
                </w:tcPr>
                <w:p w14:paraId="61D2E534">
                  <w:pPr>
                    <w:pStyle w:val="9"/>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bl>
          <w:p w14:paraId="547F2456">
            <w:pPr>
              <w:rPr>
                <w:rFonts w:hint="default" w:ascii="Times New Roman" w:hAnsi="Times New Roman" w:eastAsia="宋体" w:cs="Times New Roman"/>
                <w:b/>
                <w:bCs/>
                <w:color w:val="auto"/>
                <w:sz w:val="24"/>
                <w:highlight w:val="none"/>
              </w:rPr>
            </w:pPr>
          </w:p>
          <w:p w14:paraId="60EA09DC">
            <w:pPr>
              <w:pStyle w:val="9"/>
              <w:spacing w:line="360" w:lineRule="auto"/>
              <w:ind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sz w:val="24"/>
                <w:highlight w:val="none"/>
              </w:rPr>
              <w:t>综上所述，本项目符合</w:t>
            </w:r>
            <w:r>
              <w:rPr>
                <w:rFonts w:hint="eastAsia" w:cs="Times New Roman"/>
                <w:color w:val="auto"/>
                <w:sz w:val="24"/>
                <w:highlight w:val="none"/>
                <w:lang w:eastAsia="zh-CN"/>
              </w:rPr>
              <w:t>“</w:t>
            </w:r>
            <w:r>
              <w:rPr>
                <w:rFonts w:hint="default" w:ascii="Times New Roman" w:hAnsi="Times New Roman" w:eastAsia="宋体" w:cs="Times New Roman"/>
                <w:color w:val="auto"/>
                <w:sz w:val="24"/>
                <w:highlight w:val="none"/>
              </w:rPr>
              <w:t>三线一单</w:t>
            </w:r>
            <w:r>
              <w:rPr>
                <w:rFonts w:hint="eastAsia" w:cs="Times New Roman"/>
                <w:color w:val="auto"/>
                <w:sz w:val="24"/>
                <w:highlight w:val="none"/>
                <w:lang w:eastAsia="zh-CN"/>
              </w:rPr>
              <w:t>”</w:t>
            </w:r>
            <w:r>
              <w:rPr>
                <w:rFonts w:hint="default" w:ascii="Times New Roman" w:hAnsi="Times New Roman" w:eastAsia="宋体" w:cs="Times New Roman"/>
                <w:color w:val="auto"/>
                <w:sz w:val="24"/>
                <w:highlight w:val="none"/>
              </w:rPr>
              <w:t>的准入</w:t>
            </w:r>
            <w:r>
              <w:rPr>
                <w:rFonts w:hint="default" w:ascii="Times New Roman" w:hAnsi="Times New Roman" w:eastAsia="宋体" w:cs="Times New Roman"/>
                <w:color w:val="auto"/>
                <w:sz w:val="24"/>
                <w:highlight w:val="none"/>
                <w:lang w:val="en-US" w:eastAsia="zh-CN"/>
              </w:rPr>
              <w:t>要求</w:t>
            </w:r>
            <w:r>
              <w:rPr>
                <w:rFonts w:hint="default" w:ascii="Times New Roman" w:hAnsi="Times New Roman" w:eastAsia="宋体" w:cs="Times New Roman"/>
                <w:color w:val="auto"/>
                <w:sz w:val="24"/>
                <w:highlight w:val="none"/>
              </w:rPr>
              <w:t>。</w:t>
            </w:r>
          </w:p>
        </w:tc>
      </w:tr>
    </w:tbl>
    <w:p w14:paraId="5F074AD7">
      <w:pPr>
        <w:pStyle w:val="9"/>
        <w:rPr>
          <w:rFonts w:hint="default" w:ascii="Times New Roman" w:hAnsi="Times New Roman" w:eastAsia="宋体" w:cs="Times New Roman"/>
          <w:color w:val="auto"/>
          <w:highlight w:val="none"/>
        </w:rPr>
        <w:sectPr>
          <w:pgSz w:w="16838" w:h="11906" w:orient="landscape"/>
          <w:pgMar w:top="1531" w:right="1701" w:bottom="1531" w:left="1701" w:header="851" w:footer="851" w:gutter="0"/>
          <w:pgBorders>
            <w:top w:val="none" w:sz="0" w:space="0"/>
            <w:left w:val="none" w:sz="0" w:space="0"/>
            <w:bottom w:val="none" w:sz="0" w:space="0"/>
            <w:right w:val="none" w:sz="0" w:space="0"/>
          </w:pgBorders>
          <w:pgNumType w:fmt="decimal"/>
          <w:cols w:space="720" w:num="1"/>
          <w:docGrid w:linePitch="312" w:charSpace="0"/>
        </w:sectPr>
      </w:pPr>
    </w:p>
    <w:p w14:paraId="35CEF0F3">
      <w:pPr>
        <w:pStyle w:val="20"/>
        <w:adjustRightInd w:val="0"/>
        <w:snapToGrid w:val="0"/>
        <w:spacing w:before="0" w:beforeAutospacing="0" w:after="0" w:afterAutospacing="0" w:line="14" w:lineRule="auto"/>
        <w:jc w:val="center"/>
        <w:rPr>
          <w:rFonts w:hint="default" w:ascii="Times New Roman" w:hAnsi="Times New Roman" w:eastAsia="宋体" w:cs="Times New Roman"/>
          <w:snapToGrid w:val="0"/>
          <w:color w:val="auto"/>
          <w:sz w:val="36"/>
          <w:szCs w:val="36"/>
          <w:highlight w:val="none"/>
        </w:rPr>
      </w:pPr>
    </w:p>
    <w:p w14:paraId="5EFE61C2">
      <w:pPr>
        <w:pStyle w:val="20"/>
        <w:jc w:val="center"/>
        <w:outlineLvl w:val="0"/>
        <w:rPr>
          <w:rFonts w:hint="default" w:ascii="Times New Roman" w:hAnsi="Times New Roman" w:eastAsia="宋体" w:cs="Times New Roman"/>
          <w:snapToGrid w:val="0"/>
          <w:color w:val="auto"/>
          <w:sz w:val="36"/>
          <w:szCs w:val="36"/>
          <w:highlight w:val="none"/>
        </w:rPr>
      </w:pPr>
      <w:r>
        <w:rPr>
          <w:rFonts w:hint="default" w:ascii="Times New Roman" w:hAnsi="Times New Roman" w:eastAsia="宋体" w:cs="Times New Roman"/>
          <w:snapToGrid w:val="0"/>
          <w:color w:val="auto"/>
          <w:sz w:val="36"/>
          <w:szCs w:val="36"/>
          <w:highlight w:val="none"/>
        </w:rPr>
        <w:t>二、建设项目工程分析</w:t>
      </w:r>
    </w:p>
    <w:tbl>
      <w:tblPr>
        <w:tblStyle w:val="23"/>
        <w:tblW w:w="900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18"/>
        <w:gridCol w:w="8189"/>
      </w:tblGrid>
      <w:tr w14:paraId="1DBCD0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95" w:hRule="atLeast"/>
          <w:jc w:val="center"/>
        </w:trPr>
        <w:tc>
          <w:tcPr>
            <w:tcW w:w="818" w:type="dxa"/>
            <w:vAlign w:val="center"/>
          </w:tcPr>
          <w:p w14:paraId="5FF93441">
            <w:pPr>
              <w:pStyle w:val="20"/>
              <w:adjustRightInd w:val="0"/>
              <w:snapToGrid w:val="0"/>
              <w:spacing w:before="0" w:beforeAutospacing="0" w:after="0" w:afterAutospacing="0"/>
              <w:jc w:val="center"/>
              <w:rPr>
                <w:rFonts w:hint="default" w:ascii="Times New Roman" w:hAnsi="Times New Roman" w:eastAsia="宋体" w:cs="Times New Roman"/>
                <w:color w:val="auto"/>
                <w:szCs w:val="24"/>
                <w:highlight w:val="none"/>
              </w:rPr>
            </w:pPr>
            <w:r>
              <w:rPr>
                <w:rFonts w:hint="default" w:ascii="Times New Roman" w:hAnsi="Times New Roman" w:eastAsia="宋体" w:cs="Times New Roman"/>
                <w:color w:val="auto"/>
                <w:szCs w:val="24"/>
                <w:highlight w:val="none"/>
              </w:rPr>
              <w:t>建设内容</w:t>
            </w:r>
          </w:p>
        </w:tc>
        <w:tc>
          <w:tcPr>
            <w:tcW w:w="8189" w:type="dxa"/>
          </w:tcPr>
          <w:p w14:paraId="76568737">
            <w:pPr>
              <w:numPr>
                <w:ilvl w:val="0"/>
                <w:numId w:val="6"/>
              </w:numPr>
              <w:tabs>
                <w:tab w:val="left" w:pos="0"/>
              </w:tabs>
              <w:adjustRightInd w:val="0"/>
              <w:snapToGrid w:val="0"/>
              <w:spacing w:line="360" w:lineRule="auto"/>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项目由来</w:t>
            </w:r>
          </w:p>
          <w:p w14:paraId="4849D97D">
            <w:pPr>
              <w:spacing w:line="360" w:lineRule="auto"/>
              <w:ind w:firstLine="480" w:firstLineChars="200"/>
              <w:rPr>
                <w:rFonts w:hint="eastAsia"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天地科技股份有限公司北京技术研究分公司成立于20</w:t>
            </w:r>
            <w:r>
              <w:rPr>
                <w:rFonts w:hint="eastAsia" w:cs="Times New Roman"/>
                <w:color w:val="auto"/>
                <w:sz w:val="24"/>
                <w:highlight w:val="none"/>
                <w:lang w:val="en-US" w:eastAsia="zh-CN"/>
              </w:rPr>
              <w:t>21</w:t>
            </w:r>
            <w:r>
              <w:rPr>
                <w:rFonts w:hint="eastAsia" w:ascii="Times New Roman" w:hAnsi="Times New Roman" w:eastAsia="宋体" w:cs="Times New Roman"/>
                <w:color w:val="auto"/>
                <w:sz w:val="24"/>
                <w:highlight w:val="none"/>
                <w:lang w:val="en-US" w:eastAsia="zh-CN"/>
              </w:rPr>
              <w:t>年</w:t>
            </w:r>
            <w:r>
              <w:rPr>
                <w:rFonts w:hint="eastAsia" w:cs="Times New Roman"/>
                <w:color w:val="auto"/>
                <w:sz w:val="24"/>
                <w:highlight w:val="none"/>
                <w:lang w:val="en-US" w:eastAsia="zh-CN"/>
              </w:rPr>
              <w:t>5</w:t>
            </w:r>
            <w:r>
              <w:rPr>
                <w:rFonts w:hint="eastAsia" w:ascii="Times New Roman" w:hAnsi="Times New Roman" w:eastAsia="宋体" w:cs="Times New Roman"/>
                <w:color w:val="auto"/>
                <w:sz w:val="24"/>
                <w:highlight w:val="none"/>
                <w:lang w:val="en-US" w:eastAsia="zh-CN"/>
              </w:rPr>
              <w:t>月，注册地址：北京市朝阳区青年沟(天地科技股份有限公司)1幢平房104</w:t>
            </w:r>
            <w:r>
              <w:rPr>
                <w:rFonts w:hint="eastAsia" w:cs="Times New Roman"/>
                <w:color w:val="auto"/>
                <w:sz w:val="24"/>
                <w:highlight w:val="none"/>
                <w:lang w:val="en-US" w:eastAsia="zh-CN"/>
              </w:rPr>
              <w:t>。</w:t>
            </w:r>
            <w:r>
              <w:rPr>
                <w:rFonts w:hint="eastAsia" w:ascii="Times New Roman" w:hAnsi="Times New Roman" w:eastAsia="宋体" w:cs="Times New Roman"/>
                <w:color w:val="auto"/>
                <w:sz w:val="24"/>
                <w:highlight w:val="none"/>
                <w:lang w:val="en-US" w:eastAsia="zh-CN"/>
              </w:rPr>
              <w:t>2026年2月，公司</w:t>
            </w:r>
            <w:r>
              <w:rPr>
                <w:rFonts w:hint="eastAsia" w:cs="Times New Roman"/>
                <w:color w:val="auto"/>
                <w:sz w:val="24"/>
                <w:highlight w:val="none"/>
                <w:lang w:val="en-US" w:eastAsia="zh-CN"/>
              </w:rPr>
              <w:t>租赁煤炭科学研究总院有限公司</w:t>
            </w:r>
            <w:r>
              <w:rPr>
                <w:rFonts w:hint="eastAsia" w:ascii="Times New Roman" w:hAnsi="Times New Roman" w:eastAsia="宋体" w:cs="Times New Roman"/>
                <w:color w:val="auto"/>
                <w:sz w:val="24"/>
                <w:highlight w:val="none"/>
                <w:lang w:val="en-US" w:eastAsia="zh-CN"/>
              </w:rPr>
              <w:t>闲置房屋</w:t>
            </w:r>
            <w:r>
              <w:rPr>
                <w:rFonts w:hint="eastAsia" w:cs="Times New Roman"/>
                <w:color w:val="auto"/>
                <w:sz w:val="24"/>
                <w:highlight w:val="none"/>
                <w:lang w:val="en-US" w:eastAsia="zh-CN"/>
              </w:rPr>
              <w:t>（气化小院（实验室））</w:t>
            </w:r>
            <w:r>
              <w:rPr>
                <w:rFonts w:hint="eastAsia" w:ascii="Times New Roman" w:hAnsi="Times New Roman" w:eastAsia="宋体" w:cs="Times New Roman"/>
                <w:color w:val="auto"/>
                <w:sz w:val="24"/>
                <w:highlight w:val="none"/>
                <w:lang w:val="en-US" w:eastAsia="zh-CN"/>
              </w:rPr>
              <w:t>建设</w:t>
            </w:r>
            <w:r>
              <w:rPr>
                <w:rFonts w:hint="eastAsia" w:cs="Times New Roman"/>
                <w:color w:val="auto"/>
                <w:sz w:val="24"/>
                <w:highlight w:val="none"/>
                <w:lang w:val="en-US" w:eastAsia="zh-CN"/>
              </w:rPr>
              <w:t>矿用新能源</w:t>
            </w:r>
            <w:r>
              <w:rPr>
                <w:rFonts w:hint="eastAsia" w:ascii="Times New Roman" w:hAnsi="Times New Roman" w:eastAsia="宋体" w:cs="Times New Roman"/>
                <w:color w:val="auto"/>
                <w:sz w:val="24"/>
                <w:highlight w:val="none"/>
                <w:lang w:val="en-US" w:eastAsia="zh-CN"/>
              </w:rPr>
              <w:t>研发实验室项目，项目建成后</w:t>
            </w:r>
            <w:r>
              <w:rPr>
                <w:rFonts w:hint="eastAsia" w:cs="Times New Roman"/>
                <w:color w:val="auto"/>
                <w:sz w:val="24"/>
                <w:highlight w:val="none"/>
                <w:lang w:val="en-US" w:eastAsia="zh-CN"/>
              </w:rPr>
              <w:t>分别进行</w:t>
            </w:r>
            <w:r>
              <w:rPr>
                <w:rFonts w:hint="eastAsia" w:ascii="Times New Roman" w:hAnsi="Times New Roman" w:eastAsia="宋体" w:cs="Times New Roman"/>
                <w:color w:val="auto"/>
                <w:sz w:val="24"/>
                <w:highlight w:val="none"/>
                <w:lang w:val="en-US" w:eastAsia="zh-CN"/>
              </w:rPr>
              <w:t>电池材料</w:t>
            </w:r>
            <w:r>
              <w:rPr>
                <w:rFonts w:hint="eastAsia" w:cs="Times New Roman"/>
                <w:color w:val="auto"/>
                <w:sz w:val="24"/>
                <w:highlight w:val="none"/>
                <w:lang w:val="en-US" w:eastAsia="zh-CN"/>
              </w:rPr>
              <w:t>研发实验40批次/a、</w:t>
            </w:r>
            <w:r>
              <w:rPr>
                <w:rFonts w:hint="eastAsia" w:ascii="Times New Roman" w:hAnsi="Times New Roman" w:eastAsia="宋体" w:cs="Times New Roman"/>
                <w:color w:val="auto"/>
                <w:sz w:val="24"/>
                <w:highlight w:val="none"/>
                <w:lang w:val="en-US" w:eastAsia="zh-CN"/>
              </w:rPr>
              <w:t>软包电芯</w:t>
            </w:r>
            <w:r>
              <w:rPr>
                <w:rFonts w:hint="eastAsia" w:cs="Times New Roman"/>
                <w:color w:val="auto"/>
                <w:sz w:val="24"/>
                <w:highlight w:val="none"/>
                <w:lang w:val="en-US" w:eastAsia="zh-CN"/>
              </w:rPr>
              <w:t>实验20批次/a</w:t>
            </w:r>
            <w:r>
              <w:rPr>
                <w:rFonts w:hint="eastAsia" w:ascii="Times New Roman" w:hAnsi="Times New Roman" w:eastAsia="宋体" w:cs="Times New Roman"/>
                <w:color w:val="auto"/>
                <w:sz w:val="24"/>
                <w:highlight w:val="none"/>
                <w:lang w:val="en-US" w:eastAsia="zh-CN"/>
              </w:rPr>
              <w:t>。</w:t>
            </w:r>
          </w:p>
          <w:p w14:paraId="37400B16">
            <w:pPr>
              <w:numPr>
                <w:ilvl w:val="0"/>
                <w:numId w:val="6"/>
              </w:numPr>
              <w:tabs>
                <w:tab w:val="left" w:pos="0"/>
              </w:tabs>
              <w:adjustRightInd w:val="0"/>
              <w:snapToGrid w:val="0"/>
              <w:spacing w:line="360" w:lineRule="auto"/>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lang w:val="en-US" w:eastAsia="zh-CN"/>
              </w:rPr>
              <w:t>项目概况</w:t>
            </w:r>
          </w:p>
          <w:p w14:paraId="175CC02F">
            <w:pPr>
              <w:widowControl/>
              <w:spacing w:line="360" w:lineRule="auto"/>
              <w:ind w:firstLine="480" w:firstLineChars="200"/>
              <w:jc w:val="left"/>
              <w:rPr>
                <w:rFonts w:hint="default" w:ascii="Times New Roman" w:hAnsi="Times New Roman" w:eastAsia="宋体" w:cs="Times New Roman"/>
                <w:bCs/>
                <w:color w:val="auto"/>
                <w:sz w:val="24"/>
                <w:highlight w:val="none"/>
              </w:rPr>
            </w:pPr>
            <w:r>
              <w:rPr>
                <w:rFonts w:hint="default" w:ascii="Times New Roman" w:hAnsi="Times New Roman" w:eastAsia="宋体" w:cs="Times New Roman"/>
                <w:bCs/>
                <w:color w:val="auto"/>
                <w:sz w:val="24"/>
                <w:highlight w:val="none"/>
              </w:rPr>
              <w:t>1、项目名称</w:t>
            </w:r>
            <w:r>
              <w:rPr>
                <w:rFonts w:hint="default" w:ascii="Times New Roman" w:hAnsi="Times New Roman" w:eastAsia="宋体" w:cs="Times New Roman"/>
                <w:bCs/>
                <w:color w:val="auto"/>
                <w:sz w:val="24"/>
                <w:highlight w:val="none"/>
                <w:lang w:eastAsia="zh-CN"/>
              </w:rPr>
              <w:t>：</w:t>
            </w:r>
            <w:r>
              <w:rPr>
                <w:rFonts w:hint="eastAsia" w:hAnsi="宋体"/>
                <w:bCs/>
                <w:color w:val="auto"/>
                <w:kern w:val="0"/>
                <w:sz w:val="24"/>
                <w:highlight w:val="none"/>
                <w:lang w:val="en-US" w:eastAsia="zh-CN"/>
              </w:rPr>
              <w:t>矿用新能源研发实验室</w:t>
            </w:r>
          </w:p>
          <w:p w14:paraId="26AC3150">
            <w:pPr>
              <w:widowControl/>
              <w:spacing w:line="360" w:lineRule="auto"/>
              <w:ind w:firstLine="480" w:firstLineChars="200"/>
              <w:jc w:val="left"/>
              <w:rPr>
                <w:rFonts w:hint="default" w:ascii="Times New Roman" w:hAnsi="Times New Roman" w:eastAsia="宋体" w:cs="Times New Roman"/>
                <w:bCs/>
                <w:color w:val="auto"/>
                <w:sz w:val="24"/>
                <w:highlight w:val="none"/>
                <w:lang w:val="en-US"/>
              </w:rPr>
            </w:pPr>
            <w:r>
              <w:rPr>
                <w:rFonts w:hint="default" w:ascii="Times New Roman" w:hAnsi="Times New Roman" w:eastAsia="宋体" w:cs="Times New Roman"/>
                <w:bCs/>
                <w:color w:val="auto"/>
                <w:sz w:val="24"/>
                <w:highlight w:val="none"/>
              </w:rPr>
              <w:t>2、建设单位</w:t>
            </w:r>
            <w:r>
              <w:rPr>
                <w:rFonts w:hint="default" w:ascii="Times New Roman" w:hAnsi="Times New Roman" w:eastAsia="宋体" w:cs="Times New Roman"/>
                <w:bCs/>
                <w:color w:val="auto"/>
                <w:sz w:val="24"/>
                <w:highlight w:val="none"/>
                <w:lang w:eastAsia="zh-CN"/>
              </w:rPr>
              <w:t>：</w:t>
            </w:r>
            <w:r>
              <w:rPr>
                <w:rFonts w:hint="eastAsia" w:hAnsi="宋体"/>
                <w:bCs/>
                <w:color w:val="auto"/>
                <w:kern w:val="0"/>
                <w:sz w:val="24"/>
                <w:highlight w:val="none"/>
                <w:lang w:val="en-US" w:eastAsia="zh-CN"/>
              </w:rPr>
              <w:t>天地科技股份有限公司北京技术研究分公司</w:t>
            </w:r>
          </w:p>
          <w:p w14:paraId="36F643E9">
            <w:pPr>
              <w:widowControl/>
              <w:spacing w:line="360" w:lineRule="auto"/>
              <w:ind w:firstLine="480" w:firstLineChars="200"/>
              <w:jc w:val="left"/>
              <w:rPr>
                <w:rFonts w:hint="default" w:ascii="Times New Roman" w:hAnsi="Times New Roman" w:eastAsia="宋体" w:cs="Times New Roman"/>
                <w:bCs/>
                <w:color w:val="auto"/>
                <w:sz w:val="24"/>
                <w:highlight w:val="none"/>
              </w:rPr>
            </w:pPr>
            <w:r>
              <w:rPr>
                <w:rFonts w:hint="default" w:ascii="Times New Roman" w:hAnsi="Times New Roman" w:eastAsia="宋体" w:cs="Times New Roman"/>
                <w:bCs/>
                <w:color w:val="auto"/>
                <w:sz w:val="24"/>
                <w:highlight w:val="none"/>
              </w:rPr>
              <w:t>3、建设地点</w:t>
            </w:r>
            <w:r>
              <w:rPr>
                <w:rFonts w:hint="default" w:ascii="Times New Roman" w:hAnsi="Times New Roman" w:eastAsia="宋体" w:cs="Times New Roman"/>
                <w:bCs/>
                <w:color w:val="auto"/>
                <w:sz w:val="24"/>
                <w:highlight w:val="none"/>
                <w:lang w:eastAsia="zh-CN"/>
              </w:rPr>
              <w:t>：</w:t>
            </w:r>
            <w:r>
              <w:rPr>
                <w:rFonts w:hint="eastAsia" w:cs="Times New Roman"/>
                <w:color w:val="auto"/>
                <w:sz w:val="24"/>
                <w:highlight w:val="none"/>
                <w:lang w:val="en-US" w:eastAsia="zh-CN"/>
              </w:rPr>
              <w:t>北京市朝阳区和平里青年沟东路5号45号楼</w:t>
            </w:r>
            <w:r>
              <w:rPr>
                <w:rFonts w:hint="default" w:ascii="Times New Roman" w:hAnsi="Times New Roman" w:eastAsia="宋体" w:cs="Times New Roman"/>
                <w:bCs/>
                <w:color w:val="auto"/>
                <w:sz w:val="24"/>
                <w:highlight w:val="none"/>
              </w:rPr>
              <w:t>。</w:t>
            </w:r>
          </w:p>
          <w:p w14:paraId="743DF986">
            <w:pPr>
              <w:widowControl/>
              <w:spacing w:line="360" w:lineRule="auto"/>
              <w:ind w:firstLine="480" w:firstLineChars="200"/>
              <w:jc w:val="left"/>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4、建筑面积：</w:t>
            </w:r>
            <w:r>
              <w:rPr>
                <w:rFonts w:hint="eastAsia" w:cs="Times New Roman"/>
                <w:color w:val="auto"/>
                <w:sz w:val="24"/>
                <w:highlight w:val="none"/>
                <w:lang w:val="en-US" w:eastAsia="zh-CN"/>
              </w:rPr>
              <w:t>527.3m</w:t>
            </w:r>
            <w:r>
              <w:rPr>
                <w:rFonts w:hint="eastAsia" w:cs="Times New Roman"/>
                <w:color w:val="auto"/>
                <w:sz w:val="24"/>
                <w:highlight w:val="none"/>
                <w:vertAlign w:val="superscript"/>
                <w:lang w:val="en-US" w:eastAsia="zh-CN"/>
              </w:rPr>
              <w:t>2</w:t>
            </w:r>
            <w:bookmarkStart w:id="5" w:name="_GoBack"/>
            <w:bookmarkEnd w:id="5"/>
          </w:p>
          <w:p w14:paraId="6CBC54A5">
            <w:pPr>
              <w:numPr>
                <w:ilvl w:val="0"/>
                <w:numId w:val="6"/>
              </w:numPr>
              <w:tabs>
                <w:tab w:val="left" w:pos="0"/>
              </w:tabs>
              <w:adjustRightInd w:val="0"/>
              <w:snapToGrid w:val="0"/>
              <w:spacing w:line="360" w:lineRule="auto"/>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编制依据</w:t>
            </w:r>
          </w:p>
          <w:p w14:paraId="747B48F6">
            <w:pPr>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据《〈建设项目环境影响评价分类管理名录〉北京市实施细化规定（2022年本）》，</w:t>
            </w:r>
            <w:r>
              <w:rPr>
                <w:rFonts w:hint="eastAsia"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四十五、研究和实验发展</w:t>
            </w:r>
            <w:r>
              <w:rPr>
                <w:rFonts w:hint="eastAsia"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中</w:t>
            </w:r>
            <w:r>
              <w:rPr>
                <w:rFonts w:hint="eastAsia"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98专业实验室、研发（实验）基地</w:t>
            </w:r>
            <w:r>
              <w:rPr>
                <w:rFonts w:hint="eastAsia"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，其中：</w:t>
            </w:r>
            <w:r>
              <w:rPr>
                <w:rFonts w:hint="eastAsia"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P3、P4生物安全实验室、转基因实验室</w:t>
            </w:r>
            <w:r>
              <w:rPr>
                <w:rFonts w:hint="eastAsia"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应编制环境影响报告书，</w:t>
            </w:r>
            <w:r>
              <w:rPr>
                <w:rFonts w:hint="eastAsia"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其他（不产生实验废气、废水、危险废物的除外）</w:t>
            </w:r>
            <w:r>
              <w:rPr>
                <w:rFonts w:hint="eastAsia"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应编制环境影响报告表。本项目为</w:t>
            </w:r>
            <w:r>
              <w:rPr>
                <w:rFonts w:hint="eastAsia" w:cs="Times New Roman"/>
                <w:color w:val="auto"/>
                <w:sz w:val="24"/>
                <w:highlight w:val="none"/>
                <w:lang w:val="en-US" w:eastAsia="zh-CN"/>
              </w:rPr>
              <w:t>研发实验室</w:t>
            </w:r>
            <w:r>
              <w:rPr>
                <w:rFonts w:hint="default" w:ascii="Times New Roman" w:hAnsi="Times New Roman" w:eastAsia="宋体" w:cs="Times New Roman"/>
                <w:color w:val="auto"/>
                <w:sz w:val="24"/>
                <w:highlight w:val="none"/>
                <w:lang w:val="en-US" w:eastAsia="zh-CN"/>
              </w:rPr>
              <w:t>项目，不涉及中试及以上规模的研发实验，不涉及P3、P4生物安全实验室、转基因实验室，但实验过程会产生废气</w:t>
            </w:r>
            <w:r>
              <w:rPr>
                <w:rFonts w:hint="eastAsia" w:cs="Times New Roman"/>
                <w:color w:val="auto"/>
                <w:sz w:val="24"/>
                <w:highlight w:val="none"/>
                <w:lang w:val="en-US" w:eastAsia="zh-CN"/>
              </w:rPr>
              <w:t>、废水</w:t>
            </w:r>
            <w:r>
              <w:rPr>
                <w:rFonts w:hint="default" w:ascii="Times New Roman" w:hAnsi="Times New Roman" w:eastAsia="宋体" w:cs="Times New Roman"/>
                <w:color w:val="auto"/>
                <w:sz w:val="24"/>
                <w:highlight w:val="none"/>
                <w:lang w:val="en-US" w:eastAsia="zh-CN"/>
              </w:rPr>
              <w:t>及危险废物，因此属于</w:t>
            </w:r>
            <w:r>
              <w:rPr>
                <w:rFonts w:hint="eastAsia"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其他（不产生实验废气、废水、危险废物的除外）</w:t>
            </w:r>
            <w:r>
              <w:rPr>
                <w:rFonts w:hint="eastAsia"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，应编制环境影响报告表。</w:t>
            </w:r>
          </w:p>
          <w:p w14:paraId="28616CA0">
            <w:pPr>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eastAsia" w:cs="Times New Roman" w:eastAsiaTheme="minorEastAsia"/>
                <w:b w:val="0"/>
                <w:bCs w:val="0"/>
                <w:color w:val="auto"/>
                <w:sz w:val="24"/>
                <w:highlight w:val="none"/>
                <w:lang w:val="en-US" w:eastAsia="zh-CN"/>
              </w:rPr>
              <w:t>项目涉及辐射装置使用的，应另行申报相关审批手续</w:t>
            </w:r>
            <w:r>
              <w:rPr>
                <w:rFonts w:hint="eastAsia" w:cs="Times New Roman"/>
                <w:color w:val="auto"/>
                <w:sz w:val="24"/>
                <w:highlight w:val="none"/>
                <w:lang w:val="en-US" w:eastAsia="zh-CN"/>
              </w:rPr>
              <w:t>。</w:t>
            </w:r>
          </w:p>
          <w:p w14:paraId="3597A069">
            <w:pPr>
              <w:numPr>
                <w:ilvl w:val="0"/>
                <w:numId w:val="6"/>
              </w:numPr>
              <w:tabs>
                <w:tab w:val="left" w:pos="0"/>
              </w:tabs>
              <w:adjustRightInd w:val="0"/>
              <w:snapToGrid w:val="0"/>
              <w:spacing w:line="360" w:lineRule="auto"/>
              <w:rPr>
                <w:rFonts w:hint="default"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建设内容</w:t>
            </w:r>
          </w:p>
          <w:p w14:paraId="04F8DA1B">
            <w:pPr>
              <w:adjustRightInd w:val="0"/>
              <w:snapToGrid w:val="0"/>
              <w:spacing w:line="360" w:lineRule="auto"/>
              <w:ind w:firstLine="360" w:firstLineChars="150"/>
              <w:rPr>
                <w:rFonts w:hint="default" w:ascii="Times New Roman" w:hAnsi="Times New Roman" w:eastAsia="宋体" w:cs="Times New Roman"/>
                <w:bCs/>
                <w:color w:val="auto"/>
                <w:sz w:val="24"/>
                <w:highlight w:val="none"/>
              </w:rPr>
            </w:pPr>
            <w:r>
              <w:rPr>
                <w:rFonts w:hint="default" w:ascii="Times New Roman" w:hAnsi="Times New Roman" w:eastAsia="宋体" w:cs="Times New Roman"/>
                <w:bCs/>
                <w:color w:val="auto"/>
                <w:sz w:val="24"/>
                <w:highlight w:val="none"/>
              </w:rPr>
              <w:t>本项目建设内容详见下表。</w:t>
            </w:r>
          </w:p>
          <w:p w14:paraId="59D3FEC5">
            <w:pPr>
              <w:numPr>
                <w:ilvl w:val="0"/>
                <w:numId w:val="7"/>
              </w:numPr>
              <w:spacing w:line="360" w:lineRule="auto"/>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项目建设内容一览表</w:t>
            </w:r>
          </w:p>
          <w:tbl>
            <w:tblPr>
              <w:tblStyle w:val="23"/>
              <w:tblW w:w="4900" w:type="pct"/>
              <w:jc w:val="center"/>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51" w:type="dxa"/>
                <w:bottom w:w="0" w:type="dxa"/>
                <w:right w:w="51" w:type="dxa"/>
              </w:tblCellMar>
            </w:tblPr>
            <w:tblGrid>
              <w:gridCol w:w="746"/>
              <w:gridCol w:w="1508"/>
              <w:gridCol w:w="4712"/>
              <w:gridCol w:w="848"/>
            </w:tblGrid>
            <w:tr w14:paraId="6A412D96">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51" w:type="dxa"/>
                  <w:bottom w:w="0" w:type="dxa"/>
                  <w:right w:w="51" w:type="dxa"/>
                </w:tblCellMar>
              </w:tblPrEx>
              <w:trPr>
                <w:trHeight w:val="397" w:hRule="atLeast"/>
                <w:tblHeader/>
                <w:jc w:val="center"/>
              </w:trPr>
              <w:tc>
                <w:tcPr>
                  <w:tcW w:w="746" w:type="dxa"/>
                  <w:tcBorders>
                    <w:tl2br w:val="nil"/>
                    <w:tr2bl w:val="nil"/>
                  </w:tcBorders>
                  <w:shd w:val="clear" w:color="auto" w:fill="FFFFFF"/>
                  <w:noWrap w:val="0"/>
                  <w:vAlign w:val="center"/>
                </w:tcPr>
                <w:p w14:paraId="7C0B992C">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textAlignment w:val="auto"/>
                    <w:rPr>
                      <w:b/>
                      <w:bCs w:val="0"/>
                      <w:color w:val="auto"/>
                      <w:highlight w:val="none"/>
                    </w:rPr>
                  </w:pPr>
                  <w:r>
                    <w:rPr>
                      <w:b/>
                      <w:bCs w:val="0"/>
                      <w:color w:val="auto"/>
                      <w:highlight w:val="none"/>
                    </w:rPr>
                    <w:t>工程</w:t>
                  </w:r>
                </w:p>
                <w:p w14:paraId="426031A2">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textAlignment w:val="auto"/>
                    <w:rPr>
                      <w:rFonts w:hint="eastAsia"/>
                      <w:b/>
                      <w:bCs w:val="0"/>
                      <w:color w:val="auto"/>
                      <w:highlight w:val="none"/>
                      <w:lang w:eastAsia="zh-CN"/>
                    </w:rPr>
                  </w:pPr>
                  <w:r>
                    <w:rPr>
                      <w:rFonts w:hint="eastAsia"/>
                      <w:b/>
                      <w:bCs w:val="0"/>
                      <w:color w:val="auto"/>
                      <w:highlight w:val="none"/>
                      <w:lang w:eastAsia="zh-CN"/>
                    </w:rPr>
                    <w:t>类别</w:t>
                  </w:r>
                </w:p>
              </w:tc>
              <w:tc>
                <w:tcPr>
                  <w:tcW w:w="1508" w:type="dxa"/>
                  <w:tcBorders>
                    <w:tl2br w:val="nil"/>
                    <w:tr2bl w:val="nil"/>
                  </w:tcBorders>
                  <w:shd w:val="clear" w:color="auto" w:fill="FFFFFF"/>
                  <w:noWrap w:val="0"/>
                  <w:vAlign w:val="center"/>
                </w:tcPr>
                <w:p w14:paraId="4DEC8444">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textAlignment w:val="auto"/>
                    <w:rPr>
                      <w:b/>
                      <w:bCs w:val="0"/>
                      <w:color w:val="auto"/>
                      <w:highlight w:val="none"/>
                    </w:rPr>
                  </w:pPr>
                  <w:r>
                    <w:rPr>
                      <w:b/>
                      <w:bCs w:val="0"/>
                      <w:color w:val="auto"/>
                      <w:highlight w:val="none"/>
                    </w:rPr>
                    <w:t>工程名称</w:t>
                  </w:r>
                </w:p>
              </w:tc>
              <w:tc>
                <w:tcPr>
                  <w:tcW w:w="4712" w:type="dxa"/>
                  <w:tcBorders>
                    <w:tl2br w:val="nil"/>
                    <w:tr2bl w:val="nil"/>
                  </w:tcBorders>
                  <w:shd w:val="clear" w:color="auto" w:fill="FFFFFF"/>
                  <w:noWrap w:val="0"/>
                  <w:vAlign w:val="center"/>
                </w:tcPr>
                <w:p w14:paraId="0C07BED3">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textAlignment w:val="auto"/>
                    <w:rPr>
                      <w:b/>
                      <w:bCs w:val="0"/>
                      <w:color w:val="auto"/>
                      <w:highlight w:val="none"/>
                    </w:rPr>
                  </w:pPr>
                  <w:r>
                    <w:rPr>
                      <w:b/>
                      <w:bCs w:val="0"/>
                      <w:color w:val="auto"/>
                      <w:highlight w:val="none"/>
                    </w:rPr>
                    <w:t>工程内容</w:t>
                  </w:r>
                  <w:r>
                    <w:rPr>
                      <w:rFonts w:hint="eastAsia"/>
                      <w:b/>
                      <w:bCs w:val="0"/>
                      <w:color w:val="auto"/>
                      <w:highlight w:val="none"/>
                      <w:lang w:eastAsia="zh-CN"/>
                    </w:rPr>
                    <w:t>及</w:t>
                  </w:r>
                  <w:r>
                    <w:rPr>
                      <w:b/>
                      <w:bCs w:val="0"/>
                      <w:color w:val="auto"/>
                      <w:highlight w:val="none"/>
                    </w:rPr>
                    <w:t>规模</w:t>
                  </w:r>
                </w:p>
              </w:tc>
              <w:tc>
                <w:tcPr>
                  <w:tcW w:w="848" w:type="dxa"/>
                  <w:tcBorders>
                    <w:tl2br w:val="nil"/>
                    <w:tr2bl w:val="nil"/>
                  </w:tcBorders>
                  <w:shd w:val="clear" w:color="auto" w:fill="FFFFFF"/>
                  <w:noWrap w:val="0"/>
                  <w:vAlign w:val="center"/>
                </w:tcPr>
                <w:p w14:paraId="48DFCD8B">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textAlignment w:val="auto"/>
                    <w:rPr>
                      <w:rFonts w:hint="eastAsia"/>
                      <w:b/>
                      <w:bCs w:val="0"/>
                      <w:color w:val="auto"/>
                      <w:highlight w:val="none"/>
                      <w:lang w:val="en-US" w:eastAsia="zh-CN"/>
                    </w:rPr>
                  </w:pPr>
                  <w:r>
                    <w:rPr>
                      <w:rFonts w:hint="eastAsia"/>
                      <w:b/>
                      <w:bCs w:val="0"/>
                      <w:color w:val="auto"/>
                      <w:highlight w:val="none"/>
                      <w:lang w:val="en-US" w:eastAsia="zh-CN"/>
                    </w:rPr>
                    <w:t>依托</w:t>
                  </w:r>
                </w:p>
                <w:p w14:paraId="13FC523D">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textAlignment w:val="auto"/>
                    <w:rPr>
                      <w:rFonts w:hint="eastAsia"/>
                      <w:b/>
                      <w:bCs w:val="0"/>
                      <w:color w:val="auto"/>
                      <w:highlight w:val="none"/>
                      <w:lang w:eastAsia="zh-CN"/>
                    </w:rPr>
                  </w:pPr>
                  <w:r>
                    <w:rPr>
                      <w:rFonts w:hint="eastAsia"/>
                      <w:b/>
                      <w:bCs w:val="0"/>
                      <w:color w:val="auto"/>
                      <w:highlight w:val="none"/>
                      <w:lang w:val="en-US" w:eastAsia="zh-CN"/>
                    </w:rPr>
                    <w:t>关系</w:t>
                  </w:r>
                </w:p>
              </w:tc>
            </w:tr>
            <w:tr w14:paraId="0DA9515A">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51" w:type="dxa"/>
                  <w:bottom w:w="0" w:type="dxa"/>
                  <w:right w:w="51" w:type="dxa"/>
                </w:tblCellMar>
              </w:tblPrEx>
              <w:trPr>
                <w:cantSplit/>
                <w:trHeight w:val="397" w:hRule="atLeast"/>
                <w:jc w:val="center"/>
              </w:trPr>
              <w:tc>
                <w:tcPr>
                  <w:tcW w:w="746" w:type="dxa"/>
                  <w:tcBorders>
                    <w:tl2br w:val="nil"/>
                    <w:tr2bl w:val="nil"/>
                  </w:tcBorders>
                  <w:shd w:val="clear" w:color="auto" w:fill="FFFFFF"/>
                  <w:noWrap w:val="0"/>
                  <w:vAlign w:val="center"/>
                </w:tcPr>
                <w:p w14:paraId="1AC6F36A">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textAlignment w:val="auto"/>
                    <w:rPr>
                      <w:rFonts w:hint="eastAsia"/>
                      <w:color w:val="auto"/>
                      <w:highlight w:val="none"/>
                      <w:lang w:val="en-US" w:eastAsia="zh-CN"/>
                    </w:rPr>
                  </w:pPr>
                  <w:r>
                    <w:rPr>
                      <w:rFonts w:hint="eastAsia"/>
                      <w:color w:val="auto"/>
                      <w:highlight w:val="none"/>
                      <w:lang w:val="en-US" w:eastAsia="zh-CN"/>
                    </w:rPr>
                    <w:t>主体</w:t>
                  </w:r>
                </w:p>
                <w:p w14:paraId="1FB66F30">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textAlignment w:val="auto"/>
                    <w:rPr>
                      <w:rFonts w:hint="default" w:eastAsia="宋体"/>
                      <w:color w:val="auto"/>
                      <w:highlight w:val="none"/>
                      <w:lang w:val="en-US" w:eastAsia="zh-CN"/>
                    </w:rPr>
                  </w:pPr>
                  <w:r>
                    <w:rPr>
                      <w:rFonts w:hint="eastAsia"/>
                      <w:color w:val="auto"/>
                      <w:highlight w:val="none"/>
                      <w:lang w:val="en-US" w:eastAsia="zh-CN"/>
                    </w:rPr>
                    <w:t>工程</w:t>
                  </w:r>
                </w:p>
              </w:tc>
              <w:tc>
                <w:tcPr>
                  <w:tcW w:w="1508" w:type="dxa"/>
                  <w:tcBorders>
                    <w:tl2br w:val="nil"/>
                    <w:tr2bl w:val="nil"/>
                  </w:tcBorders>
                  <w:shd w:val="clear" w:color="auto" w:fill="FFFFFF"/>
                  <w:noWrap w:val="0"/>
                  <w:vAlign w:val="center"/>
                </w:tcPr>
                <w:p w14:paraId="0C2725F9">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color w:val="auto"/>
                      <w:highlight w:val="none"/>
                      <w:lang w:val="en-US" w:eastAsia="zh-CN"/>
                    </w:rPr>
                  </w:pPr>
                  <w:r>
                    <w:rPr>
                      <w:rFonts w:hint="eastAsia"/>
                      <w:color w:val="auto"/>
                      <w:highlight w:val="none"/>
                      <w:lang w:val="en-US" w:eastAsia="zh-CN"/>
                    </w:rPr>
                    <w:t>实验室</w:t>
                  </w:r>
                </w:p>
              </w:tc>
              <w:tc>
                <w:tcPr>
                  <w:tcW w:w="4712" w:type="dxa"/>
                  <w:tcBorders>
                    <w:tl2br w:val="nil"/>
                    <w:tr2bl w:val="nil"/>
                  </w:tcBorders>
                  <w:shd w:val="clear" w:color="auto" w:fill="FFFFFF"/>
                  <w:noWrap w:val="0"/>
                  <w:vAlign w:val="center"/>
                </w:tcPr>
                <w:p w14:paraId="3ED61854">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color w:val="auto"/>
                      <w:highlight w:val="none"/>
                      <w:lang w:val="en-US" w:eastAsia="zh-CN"/>
                    </w:rPr>
                  </w:pPr>
                  <w:r>
                    <w:rPr>
                      <w:rFonts w:hint="eastAsia"/>
                      <w:color w:val="auto"/>
                      <w:highlight w:val="none"/>
                      <w:lang w:val="en-US" w:eastAsia="zh-CN"/>
                    </w:rPr>
                    <w:t>烧结间15m</w:t>
                  </w:r>
                  <w:r>
                    <w:rPr>
                      <w:rFonts w:hint="eastAsia"/>
                      <w:color w:val="auto"/>
                      <w:highlight w:val="none"/>
                      <w:vertAlign w:val="superscript"/>
                      <w:lang w:val="en-US" w:eastAsia="zh-CN"/>
                    </w:rPr>
                    <w:t>2</w:t>
                  </w:r>
                  <w:r>
                    <w:rPr>
                      <w:rFonts w:hint="eastAsia"/>
                      <w:color w:val="auto"/>
                      <w:highlight w:val="none"/>
                      <w:lang w:val="en-US" w:eastAsia="zh-CN"/>
                    </w:rPr>
                    <w:t>、配料间26m</w:t>
                  </w:r>
                  <w:r>
                    <w:rPr>
                      <w:rFonts w:hint="eastAsia"/>
                      <w:color w:val="auto"/>
                      <w:highlight w:val="none"/>
                      <w:vertAlign w:val="superscript"/>
                      <w:lang w:val="en-US" w:eastAsia="zh-CN"/>
                    </w:rPr>
                    <w:t>2</w:t>
                  </w:r>
                  <w:r>
                    <w:rPr>
                      <w:rFonts w:hint="eastAsia"/>
                      <w:color w:val="auto"/>
                      <w:highlight w:val="none"/>
                      <w:lang w:val="en-US" w:eastAsia="zh-CN"/>
                    </w:rPr>
                    <w:t>、负极制浆间16m</w:t>
                  </w:r>
                  <w:r>
                    <w:rPr>
                      <w:rFonts w:hint="eastAsia"/>
                      <w:color w:val="auto"/>
                      <w:highlight w:val="none"/>
                      <w:vertAlign w:val="superscript"/>
                      <w:lang w:val="en-US" w:eastAsia="zh-CN"/>
                    </w:rPr>
                    <w:t>2</w:t>
                  </w:r>
                  <w:r>
                    <w:rPr>
                      <w:rFonts w:hint="eastAsia"/>
                      <w:color w:val="auto"/>
                      <w:highlight w:val="none"/>
                      <w:lang w:val="en-US" w:eastAsia="zh-CN"/>
                    </w:rPr>
                    <w:t>、正极制浆间16m</w:t>
                  </w:r>
                  <w:r>
                    <w:rPr>
                      <w:rFonts w:hint="eastAsia"/>
                      <w:color w:val="auto"/>
                      <w:highlight w:val="none"/>
                      <w:vertAlign w:val="superscript"/>
                      <w:lang w:val="en-US" w:eastAsia="zh-CN"/>
                    </w:rPr>
                    <w:t>2</w:t>
                  </w:r>
                  <w:r>
                    <w:rPr>
                      <w:rFonts w:hint="eastAsia"/>
                      <w:color w:val="auto"/>
                      <w:highlight w:val="none"/>
                      <w:lang w:val="en-US" w:eastAsia="zh-CN"/>
                    </w:rPr>
                    <w:t>、涂布间48m</w:t>
                  </w:r>
                  <w:r>
                    <w:rPr>
                      <w:rFonts w:hint="eastAsia"/>
                      <w:color w:val="auto"/>
                      <w:highlight w:val="none"/>
                      <w:vertAlign w:val="superscript"/>
                      <w:lang w:val="en-US" w:eastAsia="zh-CN"/>
                    </w:rPr>
                    <w:t>2</w:t>
                  </w:r>
                  <w:r>
                    <w:rPr>
                      <w:rFonts w:hint="eastAsia"/>
                      <w:color w:val="auto"/>
                      <w:highlight w:val="none"/>
                      <w:lang w:val="en-US" w:eastAsia="zh-CN"/>
                    </w:rPr>
                    <w:t>、模切间21m</w:t>
                  </w:r>
                  <w:r>
                    <w:rPr>
                      <w:rFonts w:hint="eastAsia"/>
                      <w:color w:val="auto"/>
                      <w:highlight w:val="none"/>
                      <w:vertAlign w:val="superscript"/>
                      <w:lang w:val="en-US" w:eastAsia="zh-CN"/>
                    </w:rPr>
                    <w:t>2</w:t>
                  </w:r>
                  <w:r>
                    <w:rPr>
                      <w:rFonts w:hint="eastAsia"/>
                      <w:color w:val="auto"/>
                      <w:highlight w:val="none"/>
                      <w:lang w:val="en-US" w:eastAsia="zh-CN"/>
                    </w:rPr>
                    <w:t>、电芯封装间16.8m</w:t>
                  </w:r>
                  <w:r>
                    <w:rPr>
                      <w:rFonts w:hint="eastAsia"/>
                      <w:color w:val="auto"/>
                      <w:highlight w:val="none"/>
                      <w:vertAlign w:val="superscript"/>
                      <w:lang w:val="en-US" w:eastAsia="zh-CN"/>
                    </w:rPr>
                    <w:t>2</w:t>
                  </w:r>
                  <w:r>
                    <w:rPr>
                      <w:rFonts w:hint="eastAsia"/>
                      <w:color w:val="auto"/>
                      <w:highlight w:val="none"/>
                      <w:lang w:val="en-US" w:eastAsia="zh-CN"/>
                    </w:rPr>
                    <w:t>、电池测试间40.7m</w:t>
                  </w:r>
                  <w:r>
                    <w:rPr>
                      <w:rFonts w:hint="eastAsia"/>
                      <w:color w:val="auto"/>
                      <w:highlight w:val="none"/>
                      <w:vertAlign w:val="superscript"/>
                      <w:lang w:val="en-US" w:eastAsia="zh-CN"/>
                    </w:rPr>
                    <w:t>2</w:t>
                  </w:r>
                  <w:r>
                    <w:rPr>
                      <w:rFonts w:hint="eastAsia"/>
                      <w:color w:val="auto"/>
                      <w:highlight w:val="none"/>
                      <w:lang w:val="en-US" w:eastAsia="zh-CN"/>
                    </w:rPr>
                    <w:t>、扣电制备间26m</w:t>
                  </w:r>
                  <w:r>
                    <w:rPr>
                      <w:rFonts w:hint="eastAsia"/>
                      <w:color w:val="auto"/>
                      <w:highlight w:val="none"/>
                      <w:vertAlign w:val="superscript"/>
                      <w:lang w:val="en-US" w:eastAsia="zh-CN"/>
                    </w:rPr>
                    <w:t>2</w:t>
                  </w:r>
                  <w:r>
                    <w:rPr>
                      <w:rFonts w:hint="eastAsia"/>
                      <w:color w:val="auto"/>
                      <w:highlight w:val="none"/>
                      <w:lang w:val="en-US" w:eastAsia="zh-CN"/>
                    </w:rPr>
                    <w:t>、材料表征间一24m</w:t>
                  </w:r>
                  <w:r>
                    <w:rPr>
                      <w:rFonts w:hint="eastAsia"/>
                      <w:color w:val="auto"/>
                      <w:highlight w:val="none"/>
                      <w:vertAlign w:val="superscript"/>
                      <w:lang w:val="en-US" w:eastAsia="zh-CN"/>
                    </w:rPr>
                    <w:t>2</w:t>
                  </w:r>
                  <w:r>
                    <w:rPr>
                      <w:rFonts w:hint="eastAsia"/>
                      <w:color w:val="auto"/>
                      <w:highlight w:val="none"/>
                      <w:lang w:val="en-US" w:eastAsia="zh-CN"/>
                    </w:rPr>
                    <w:t>、材料制备间8m</w:t>
                  </w:r>
                  <w:r>
                    <w:rPr>
                      <w:rFonts w:hint="eastAsia"/>
                      <w:color w:val="auto"/>
                      <w:highlight w:val="none"/>
                      <w:vertAlign w:val="superscript"/>
                      <w:lang w:val="en-US" w:eastAsia="zh-CN"/>
                    </w:rPr>
                    <w:t>2</w:t>
                  </w:r>
                  <w:r>
                    <w:rPr>
                      <w:rFonts w:hint="eastAsia"/>
                      <w:color w:val="auto"/>
                      <w:highlight w:val="none"/>
                      <w:lang w:val="en-US" w:eastAsia="zh-CN"/>
                    </w:rPr>
                    <w:t>、材料表征间二7.6m</w:t>
                  </w:r>
                  <w:r>
                    <w:rPr>
                      <w:rFonts w:hint="eastAsia"/>
                      <w:color w:val="auto"/>
                      <w:highlight w:val="none"/>
                      <w:vertAlign w:val="superscript"/>
                      <w:lang w:val="en-US" w:eastAsia="zh-CN"/>
                    </w:rPr>
                    <w:t>2</w:t>
                  </w:r>
                  <w:r>
                    <w:rPr>
                      <w:rFonts w:hint="eastAsia"/>
                      <w:color w:val="auto"/>
                      <w:highlight w:val="none"/>
                      <w:lang w:val="en-US" w:eastAsia="zh-CN"/>
                    </w:rPr>
                    <w:t>、破碎间9.7m</w:t>
                  </w:r>
                  <w:r>
                    <w:rPr>
                      <w:rFonts w:hint="eastAsia"/>
                      <w:color w:val="auto"/>
                      <w:highlight w:val="none"/>
                      <w:vertAlign w:val="superscript"/>
                      <w:lang w:val="en-US" w:eastAsia="zh-CN"/>
                    </w:rPr>
                    <w:t>2</w:t>
                  </w:r>
                  <w:r>
                    <w:rPr>
                      <w:rFonts w:hint="eastAsia"/>
                      <w:color w:val="auto"/>
                      <w:highlight w:val="none"/>
                      <w:lang w:val="en-US" w:eastAsia="zh-CN"/>
                    </w:rPr>
                    <w:t>、</w:t>
                  </w:r>
                </w:p>
              </w:tc>
              <w:tc>
                <w:tcPr>
                  <w:tcW w:w="848" w:type="dxa"/>
                  <w:tcBorders>
                    <w:tl2br w:val="nil"/>
                    <w:tr2bl w:val="nil"/>
                  </w:tcBorders>
                  <w:shd w:val="clear" w:color="auto" w:fill="FFFFFF"/>
                  <w:noWrap w:val="0"/>
                  <w:vAlign w:val="center"/>
                </w:tcPr>
                <w:p w14:paraId="55C46F26">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color w:val="auto"/>
                      <w:highlight w:val="none"/>
                      <w:lang w:val="en-US" w:eastAsia="zh-CN"/>
                    </w:rPr>
                  </w:pPr>
                  <w:r>
                    <w:rPr>
                      <w:rFonts w:hint="eastAsia"/>
                      <w:color w:val="auto"/>
                      <w:highlight w:val="none"/>
                      <w:lang w:val="en-US" w:eastAsia="zh-CN"/>
                    </w:rPr>
                    <w:t>新建</w:t>
                  </w:r>
                </w:p>
              </w:tc>
            </w:tr>
            <w:tr w14:paraId="59437788">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51" w:type="dxa"/>
                  <w:bottom w:w="0" w:type="dxa"/>
                  <w:right w:w="51" w:type="dxa"/>
                </w:tblCellMar>
              </w:tblPrEx>
              <w:trPr>
                <w:cantSplit/>
                <w:trHeight w:val="397" w:hRule="atLeast"/>
                <w:jc w:val="center"/>
              </w:trPr>
              <w:tc>
                <w:tcPr>
                  <w:tcW w:w="746" w:type="dxa"/>
                  <w:vMerge w:val="restart"/>
                  <w:tcBorders>
                    <w:tl2br w:val="nil"/>
                    <w:tr2bl w:val="nil"/>
                  </w:tcBorders>
                  <w:shd w:val="clear" w:color="auto" w:fill="FFFFFF"/>
                  <w:noWrap w:val="0"/>
                  <w:vAlign w:val="center"/>
                </w:tcPr>
                <w:p w14:paraId="46CD570D">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eastAsia="宋体"/>
                      <w:color w:val="auto"/>
                      <w:highlight w:val="none"/>
                      <w:lang w:val="en-US" w:eastAsia="zh-CN"/>
                    </w:rPr>
                  </w:pPr>
                  <w:r>
                    <w:rPr>
                      <w:rFonts w:hint="eastAsia" w:eastAsia="宋体"/>
                      <w:color w:val="auto"/>
                      <w:highlight w:val="none"/>
                      <w:lang w:val="en-US" w:eastAsia="zh-CN"/>
                    </w:rPr>
                    <w:t>公用</w:t>
                  </w:r>
                </w:p>
                <w:p w14:paraId="3E46F4F4">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eastAsia="宋体"/>
                      <w:color w:val="auto"/>
                      <w:highlight w:val="none"/>
                      <w:lang w:val="en-US" w:eastAsia="zh-CN"/>
                    </w:rPr>
                  </w:pPr>
                  <w:r>
                    <w:rPr>
                      <w:rFonts w:hint="eastAsia" w:eastAsia="宋体"/>
                      <w:color w:val="auto"/>
                      <w:highlight w:val="none"/>
                      <w:lang w:val="en-US" w:eastAsia="zh-CN"/>
                    </w:rPr>
                    <w:t>工程</w:t>
                  </w:r>
                </w:p>
              </w:tc>
              <w:tc>
                <w:tcPr>
                  <w:tcW w:w="1508" w:type="dxa"/>
                  <w:tcBorders>
                    <w:tl2br w:val="nil"/>
                    <w:tr2bl w:val="nil"/>
                  </w:tcBorders>
                  <w:shd w:val="clear" w:color="auto" w:fill="FFFFFF"/>
                  <w:noWrap w:val="0"/>
                  <w:vAlign w:val="center"/>
                </w:tcPr>
                <w:p w14:paraId="49DCCB04">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eastAsia="宋体"/>
                      <w:color w:val="auto"/>
                      <w:highlight w:val="none"/>
                      <w:lang w:val="en-US" w:eastAsia="zh-CN"/>
                    </w:rPr>
                  </w:pPr>
                  <w:r>
                    <w:rPr>
                      <w:rFonts w:hint="eastAsia" w:eastAsia="宋体"/>
                      <w:color w:val="auto"/>
                      <w:highlight w:val="none"/>
                      <w:lang w:val="en-US" w:eastAsia="zh-CN"/>
                    </w:rPr>
                    <w:t>给水系统</w:t>
                  </w:r>
                </w:p>
              </w:tc>
              <w:tc>
                <w:tcPr>
                  <w:tcW w:w="4712" w:type="dxa"/>
                  <w:tcBorders>
                    <w:tl2br w:val="nil"/>
                    <w:tr2bl w:val="nil"/>
                  </w:tcBorders>
                  <w:shd w:val="clear" w:color="auto" w:fill="FFFFFF"/>
                  <w:noWrap w:val="0"/>
                  <w:vAlign w:val="center"/>
                </w:tcPr>
                <w:p w14:paraId="24B323E7">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eastAsia"/>
                      <w:color w:val="auto"/>
                      <w:highlight w:val="none"/>
                      <w:lang w:val="en-US" w:eastAsia="zh-CN"/>
                    </w:rPr>
                  </w:pPr>
                  <w:r>
                    <w:rPr>
                      <w:rFonts w:hint="eastAsia"/>
                      <w:color w:val="auto"/>
                      <w:highlight w:val="none"/>
                      <w:lang w:val="en-US" w:eastAsia="zh-CN"/>
                    </w:rPr>
                    <w:t>依托市政给水系统。</w:t>
                  </w:r>
                </w:p>
              </w:tc>
              <w:tc>
                <w:tcPr>
                  <w:tcW w:w="848" w:type="dxa"/>
                  <w:tcBorders>
                    <w:tl2br w:val="nil"/>
                    <w:tr2bl w:val="nil"/>
                  </w:tcBorders>
                  <w:shd w:val="clear" w:color="auto" w:fill="FFFFFF"/>
                  <w:noWrap w:val="0"/>
                  <w:vAlign w:val="center"/>
                </w:tcPr>
                <w:p w14:paraId="1A91C6CF">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eastAsia"/>
                      <w:color w:val="auto"/>
                      <w:highlight w:val="none"/>
                      <w:lang w:val="en-US" w:eastAsia="zh-CN"/>
                    </w:rPr>
                  </w:pPr>
                  <w:r>
                    <w:rPr>
                      <w:rFonts w:hint="eastAsia"/>
                      <w:color w:val="auto"/>
                      <w:highlight w:val="none"/>
                      <w:lang w:val="en-US" w:eastAsia="zh-CN"/>
                    </w:rPr>
                    <w:t>依托</w:t>
                  </w:r>
                </w:p>
              </w:tc>
            </w:tr>
            <w:tr w14:paraId="33D88DDC">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51" w:type="dxa"/>
                  <w:bottom w:w="0" w:type="dxa"/>
                  <w:right w:w="51" w:type="dxa"/>
                </w:tblCellMar>
              </w:tblPrEx>
              <w:trPr>
                <w:cantSplit/>
                <w:trHeight w:val="397" w:hRule="atLeast"/>
                <w:jc w:val="center"/>
              </w:trPr>
              <w:tc>
                <w:tcPr>
                  <w:tcW w:w="746" w:type="dxa"/>
                  <w:vMerge w:val="continue"/>
                  <w:tcBorders>
                    <w:tl2br w:val="nil"/>
                    <w:tr2bl w:val="nil"/>
                  </w:tcBorders>
                  <w:shd w:val="clear" w:color="auto" w:fill="FFFFFF"/>
                  <w:noWrap w:val="0"/>
                  <w:vAlign w:val="center"/>
                </w:tcPr>
                <w:p w14:paraId="38A61C80">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eastAsia="宋体"/>
                      <w:color w:val="auto"/>
                      <w:highlight w:val="none"/>
                      <w:lang w:val="en-US" w:eastAsia="zh-CN"/>
                    </w:rPr>
                  </w:pPr>
                </w:p>
              </w:tc>
              <w:tc>
                <w:tcPr>
                  <w:tcW w:w="1508" w:type="dxa"/>
                  <w:tcBorders>
                    <w:tl2br w:val="nil"/>
                    <w:tr2bl w:val="nil"/>
                  </w:tcBorders>
                  <w:shd w:val="clear" w:color="auto" w:fill="FFFFFF"/>
                  <w:noWrap w:val="0"/>
                  <w:vAlign w:val="center"/>
                </w:tcPr>
                <w:p w14:paraId="7E67A716">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eastAsia="宋体"/>
                      <w:color w:val="auto"/>
                      <w:highlight w:val="none"/>
                      <w:lang w:val="en-US" w:eastAsia="zh-CN"/>
                    </w:rPr>
                  </w:pPr>
                  <w:r>
                    <w:rPr>
                      <w:rFonts w:hint="eastAsia" w:eastAsia="宋体"/>
                      <w:color w:val="auto"/>
                      <w:highlight w:val="none"/>
                      <w:lang w:val="en-US" w:eastAsia="zh-CN"/>
                    </w:rPr>
                    <w:t>排水系统</w:t>
                  </w:r>
                </w:p>
              </w:tc>
              <w:tc>
                <w:tcPr>
                  <w:tcW w:w="4712" w:type="dxa"/>
                  <w:tcBorders>
                    <w:tl2br w:val="nil"/>
                    <w:tr2bl w:val="nil"/>
                  </w:tcBorders>
                  <w:shd w:val="clear" w:color="auto" w:fill="FFFFFF"/>
                  <w:noWrap w:val="0"/>
                  <w:vAlign w:val="center"/>
                </w:tcPr>
                <w:p w14:paraId="4F3A2841">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color w:val="auto"/>
                      <w:highlight w:val="none"/>
                    </w:rPr>
                  </w:pPr>
                  <w:r>
                    <w:rPr>
                      <w:rFonts w:hint="eastAsia"/>
                      <w:color w:val="auto"/>
                      <w:highlight w:val="none"/>
                      <w:lang w:val="en-US" w:eastAsia="zh-CN"/>
                    </w:rPr>
                    <w:t>容器前遍清洗废水收集做危废处置，设备容器第二次清洗废水、生活污水一起排入化粪池，经市政管网进高碑店再生水厂进一步处理。</w:t>
                  </w:r>
                </w:p>
              </w:tc>
              <w:tc>
                <w:tcPr>
                  <w:tcW w:w="848" w:type="dxa"/>
                  <w:tcBorders>
                    <w:tl2br w:val="nil"/>
                    <w:tr2bl w:val="nil"/>
                  </w:tcBorders>
                  <w:shd w:val="clear" w:color="auto" w:fill="FFFFFF"/>
                  <w:noWrap w:val="0"/>
                  <w:vAlign w:val="center"/>
                </w:tcPr>
                <w:p w14:paraId="3A05F2B0">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eastAsia"/>
                      <w:color w:val="auto"/>
                      <w:highlight w:val="none"/>
                      <w:lang w:val="en-US" w:eastAsia="zh-CN"/>
                    </w:rPr>
                  </w:pPr>
                  <w:r>
                    <w:rPr>
                      <w:rFonts w:hint="eastAsia"/>
                      <w:color w:val="auto"/>
                      <w:highlight w:val="none"/>
                      <w:lang w:val="en-US" w:eastAsia="zh-CN"/>
                    </w:rPr>
                    <w:t>依托</w:t>
                  </w:r>
                </w:p>
              </w:tc>
            </w:tr>
            <w:tr w14:paraId="1CBE24C0">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51" w:type="dxa"/>
                  <w:bottom w:w="0" w:type="dxa"/>
                  <w:right w:w="51" w:type="dxa"/>
                </w:tblCellMar>
              </w:tblPrEx>
              <w:trPr>
                <w:cantSplit/>
                <w:trHeight w:val="397" w:hRule="atLeast"/>
                <w:jc w:val="center"/>
              </w:trPr>
              <w:tc>
                <w:tcPr>
                  <w:tcW w:w="746" w:type="dxa"/>
                  <w:vMerge w:val="continue"/>
                  <w:tcBorders>
                    <w:tl2br w:val="nil"/>
                    <w:tr2bl w:val="nil"/>
                  </w:tcBorders>
                  <w:shd w:val="clear" w:color="auto" w:fill="FFFFFF"/>
                  <w:noWrap w:val="0"/>
                  <w:vAlign w:val="center"/>
                </w:tcPr>
                <w:p w14:paraId="606D2283">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eastAsia="宋体"/>
                      <w:color w:val="auto"/>
                      <w:highlight w:val="none"/>
                      <w:lang w:val="en-US" w:eastAsia="zh-CN"/>
                    </w:rPr>
                  </w:pPr>
                </w:p>
              </w:tc>
              <w:tc>
                <w:tcPr>
                  <w:tcW w:w="1508" w:type="dxa"/>
                  <w:tcBorders>
                    <w:tl2br w:val="nil"/>
                    <w:tr2bl w:val="nil"/>
                  </w:tcBorders>
                  <w:shd w:val="clear" w:color="auto" w:fill="FFFFFF"/>
                  <w:noWrap w:val="0"/>
                  <w:vAlign w:val="center"/>
                </w:tcPr>
                <w:p w14:paraId="7F71FBB8">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eastAsia="宋体"/>
                      <w:color w:val="auto"/>
                      <w:highlight w:val="none"/>
                      <w:lang w:val="en-US" w:eastAsia="zh-CN"/>
                    </w:rPr>
                  </w:pPr>
                  <w:r>
                    <w:rPr>
                      <w:rFonts w:hint="eastAsia" w:eastAsia="宋体"/>
                      <w:color w:val="auto"/>
                      <w:highlight w:val="none"/>
                      <w:lang w:val="en-US" w:eastAsia="zh-CN"/>
                    </w:rPr>
                    <w:t>供电系统</w:t>
                  </w:r>
                </w:p>
              </w:tc>
              <w:tc>
                <w:tcPr>
                  <w:tcW w:w="4712" w:type="dxa"/>
                  <w:tcBorders>
                    <w:tl2br w:val="nil"/>
                    <w:tr2bl w:val="nil"/>
                  </w:tcBorders>
                  <w:shd w:val="clear" w:color="auto" w:fill="FFFFFF"/>
                  <w:noWrap w:val="0"/>
                  <w:vAlign w:val="center"/>
                </w:tcPr>
                <w:p w14:paraId="376C1250">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eastAsia" w:eastAsia="宋体"/>
                      <w:color w:val="auto"/>
                      <w:highlight w:val="none"/>
                      <w:lang w:eastAsia="zh-CN"/>
                    </w:rPr>
                  </w:pPr>
                  <w:r>
                    <w:rPr>
                      <w:rFonts w:hint="eastAsia"/>
                      <w:color w:val="auto"/>
                      <w:highlight w:val="none"/>
                      <w:lang w:val="en-US" w:eastAsia="zh-CN"/>
                    </w:rPr>
                    <w:t>依托市政</w:t>
                  </w:r>
                  <w:r>
                    <w:rPr>
                      <w:rFonts w:hint="eastAsia"/>
                      <w:color w:val="auto"/>
                      <w:highlight w:val="none"/>
                    </w:rPr>
                    <w:t>电力系统</w:t>
                  </w:r>
                  <w:r>
                    <w:rPr>
                      <w:rFonts w:hint="eastAsia"/>
                      <w:color w:val="auto"/>
                      <w:highlight w:val="none"/>
                      <w:lang w:eastAsia="zh-CN"/>
                    </w:rPr>
                    <w:t>。</w:t>
                  </w:r>
                </w:p>
              </w:tc>
              <w:tc>
                <w:tcPr>
                  <w:tcW w:w="848" w:type="dxa"/>
                  <w:tcBorders>
                    <w:tl2br w:val="nil"/>
                    <w:tr2bl w:val="nil"/>
                  </w:tcBorders>
                  <w:shd w:val="clear" w:color="auto" w:fill="FFFFFF"/>
                  <w:noWrap w:val="0"/>
                  <w:vAlign w:val="center"/>
                </w:tcPr>
                <w:p w14:paraId="12164304">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eastAsia"/>
                      <w:color w:val="auto"/>
                      <w:highlight w:val="none"/>
                      <w:lang w:val="en-US" w:eastAsia="zh-CN"/>
                    </w:rPr>
                  </w:pPr>
                  <w:r>
                    <w:rPr>
                      <w:rFonts w:hint="eastAsia"/>
                      <w:color w:val="auto"/>
                      <w:highlight w:val="none"/>
                      <w:lang w:val="en-US" w:eastAsia="zh-CN"/>
                    </w:rPr>
                    <w:t>依托</w:t>
                  </w:r>
                </w:p>
              </w:tc>
            </w:tr>
            <w:tr w14:paraId="5C749898">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51" w:type="dxa"/>
                  <w:bottom w:w="0" w:type="dxa"/>
                  <w:right w:w="51" w:type="dxa"/>
                </w:tblCellMar>
              </w:tblPrEx>
              <w:trPr>
                <w:cantSplit/>
                <w:trHeight w:val="397" w:hRule="atLeast"/>
                <w:jc w:val="center"/>
              </w:trPr>
              <w:tc>
                <w:tcPr>
                  <w:tcW w:w="746" w:type="dxa"/>
                  <w:vMerge w:val="continue"/>
                  <w:tcBorders>
                    <w:tl2br w:val="nil"/>
                    <w:tr2bl w:val="nil"/>
                  </w:tcBorders>
                  <w:shd w:val="clear" w:color="auto" w:fill="FFFFFF"/>
                  <w:noWrap w:val="0"/>
                  <w:vAlign w:val="center"/>
                </w:tcPr>
                <w:p w14:paraId="576FA056">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eastAsia="宋体"/>
                      <w:color w:val="auto"/>
                      <w:highlight w:val="none"/>
                      <w:lang w:val="en-US" w:eastAsia="zh-CN"/>
                    </w:rPr>
                  </w:pPr>
                </w:p>
              </w:tc>
              <w:tc>
                <w:tcPr>
                  <w:tcW w:w="1508" w:type="dxa"/>
                  <w:tcBorders>
                    <w:tl2br w:val="nil"/>
                    <w:tr2bl w:val="nil"/>
                  </w:tcBorders>
                  <w:shd w:val="clear" w:color="auto" w:fill="FFFFFF"/>
                  <w:noWrap w:val="0"/>
                  <w:vAlign w:val="center"/>
                </w:tcPr>
                <w:p w14:paraId="4D20A761">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eastAsia="宋体"/>
                      <w:color w:val="auto"/>
                      <w:highlight w:val="none"/>
                      <w:lang w:val="en-US" w:eastAsia="zh-CN"/>
                    </w:rPr>
                  </w:pPr>
                  <w:r>
                    <w:rPr>
                      <w:rFonts w:hint="eastAsia" w:eastAsia="宋体"/>
                      <w:color w:val="auto"/>
                      <w:highlight w:val="none"/>
                      <w:lang w:val="en-US" w:eastAsia="zh-CN"/>
                    </w:rPr>
                    <w:t>采暖供冷</w:t>
                  </w:r>
                </w:p>
              </w:tc>
              <w:tc>
                <w:tcPr>
                  <w:tcW w:w="4712" w:type="dxa"/>
                  <w:tcBorders>
                    <w:tl2br w:val="nil"/>
                    <w:tr2bl w:val="nil"/>
                  </w:tcBorders>
                  <w:shd w:val="clear" w:color="auto" w:fill="FFFFFF"/>
                  <w:noWrap w:val="0"/>
                  <w:vAlign w:val="center"/>
                </w:tcPr>
                <w:p w14:paraId="3684FA50">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eastAsia" w:ascii="Times New Roman" w:hAnsi="Times New Roman" w:eastAsia="宋体" w:cs="Times New Roman"/>
                      <w:color w:val="auto"/>
                      <w:kern w:val="2"/>
                      <w:sz w:val="21"/>
                      <w:szCs w:val="24"/>
                      <w:highlight w:val="none"/>
                      <w:lang w:val="en-US" w:eastAsia="zh-CN" w:bidi="ar-SA"/>
                    </w:rPr>
                  </w:pPr>
                  <w:r>
                    <w:rPr>
                      <w:rFonts w:hint="eastAsia"/>
                      <w:color w:val="auto"/>
                      <w:highlight w:val="none"/>
                      <w:lang w:eastAsia="zh-CN"/>
                    </w:rPr>
                    <w:t>供暖</w:t>
                  </w:r>
                  <w:r>
                    <w:rPr>
                      <w:rFonts w:hint="eastAsia"/>
                      <w:color w:val="auto"/>
                      <w:highlight w:val="none"/>
                      <w:lang w:val="en-US" w:eastAsia="zh-CN"/>
                    </w:rPr>
                    <w:t>采用</w:t>
                  </w:r>
                  <w:r>
                    <w:rPr>
                      <w:rFonts w:hint="eastAsia" w:cs="Times New Roman"/>
                      <w:color w:val="auto"/>
                      <w:kern w:val="0"/>
                      <w:szCs w:val="21"/>
                      <w:highlight w:val="none"/>
                      <w:lang w:val="en-US" w:eastAsia="zh-CN" w:bidi="ar"/>
                    </w:rPr>
                    <w:t>市政集中供热</w:t>
                  </w:r>
                  <w:r>
                    <w:rPr>
                      <w:rFonts w:hint="eastAsia"/>
                      <w:color w:val="auto"/>
                      <w:highlight w:val="none"/>
                      <w:lang w:eastAsia="zh-CN"/>
                    </w:rPr>
                    <w:t>、制冷</w:t>
                  </w:r>
                  <w:r>
                    <w:rPr>
                      <w:rFonts w:hint="eastAsia"/>
                      <w:color w:val="auto"/>
                      <w:highlight w:val="none"/>
                      <w:lang w:val="en-US" w:eastAsia="zh-CN"/>
                    </w:rPr>
                    <w:t>使用空调。</w:t>
                  </w:r>
                </w:p>
              </w:tc>
              <w:tc>
                <w:tcPr>
                  <w:tcW w:w="848" w:type="dxa"/>
                  <w:tcBorders>
                    <w:tl2br w:val="nil"/>
                    <w:tr2bl w:val="nil"/>
                  </w:tcBorders>
                  <w:shd w:val="clear" w:color="auto" w:fill="FFFFFF"/>
                  <w:noWrap w:val="0"/>
                  <w:vAlign w:val="center"/>
                </w:tcPr>
                <w:p w14:paraId="07D8F4B6">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eastAsia="宋体" w:cs="Times New Roman"/>
                      <w:color w:val="auto"/>
                      <w:kern w:val="2"/>
                      <w:sz w:val="21"/>
                      <w:szCs w:val="24"/>
                      <w:highlight w:val="none"/>
                      <w:lang w:val="en-US" w:eastAsia="zh-CN" w:bidi="ar-SA"/>
                    </w:rPr>
                  </w:pPr>
                  <w:r>
                    <w:rPr>
                      <w:rFonts w:hint="eastAsia"/>
                      <w:color w:val="auto"/>
                      <w:highlight w:val="none"/>
                      <w:lang w:val="en-US" w:eastAsia="zh-CN"/>
                    </w:rPr>
                    <w:t>新建</w:t>
                  </w:r>
                </w:p>
              </w:tc>
            </w:tr>
            <w:tr w14:paraId="631E013D">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51" w:type="dxa"/>
                  <w:bottom w:w="0" w:type="dxa"/>
                  <w:right w:w="51" w:type="dxa"/>
                </w:tblCellMar>
              </w:tblPrEx>
              <w:trPr>
                <w:cantSplit/>
                <w:trHeight w:val="397" w:hRule="atLeast"/>
                <w:jc w:val="center"/>
              </w:trPr>
              <w:tc>
                <w:tcPr>
                  <w:tcW w:w="746" w:type="dxa"/>
                  <w:vMerge w:val="restart"/>
                  <w:tcBorders>
                    <w:tl2br w:val="nil"/>
                    <w:tr2bl w:val="nil"/>
                  </w:tcBorders>
                  <w:shd w:val="clear" w:color="auto" w:fill="FFFFFF"/>
                  <w:noWrap w:val="0"/>
                  <w:vAlign w:val="center"/>
                </w:tcPr>
                <w:p w14:paraId="37A55718">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eastAsia="宋体"/>
                      <w:color w:val="auto"/>
                      <w:highlight w:val="none"/>
                      <w:lang w:val="en-US" w:eastAsia="zh-CN"/>
                    </w:rPr>
                  </w:pPr>
                  <w:r>
                    <w:rPr>
                      <w:rFonts w:hint="eastAsia" w:eastAsia="宋体"/>
                      <w:color w:val="auto"/>
                      <w:highlight w:val="none"/>
                      <w:lang w:val="en-US" w:eastAsia="zh-CN"/>
                    </w:rPr>
                    <w:t>环保</w:t>
                  </w:r>
                </w:p>
                <w:p w14:paraId="5C327126">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eastAsia="宋体"/>
                      <w:color w:val="auto"/>
                      <w:highlight w:val="none"/>
                      <w:lang w:val="en-US" w:eastAsia="zh-CN"/>
                    </w:rPr>
                  </w:pPr>
                  <w:r>
                    <w:rPr>
                      <w:rFonts w:hint="eastAsia" w:eastAsia="宋体"/>
                      <w:color w:val="auto"/>
                      <w:highlight w:val="none"/>
                      <w:lang w:val="en-US" w:eastAsia="zh-CN"/>
                    </w:rPr>
                    <w:t>工程</w:t>
                  </w:r>
                </w:p>
              </w:tc>
              <w:tc>
                <w:tcPr>
                  <w:tcW w:w="1508" w:type="dxa"/>
                  <w:tcBorders>
                    <w:tl2br w:val="nil"/>
                    <w:tr2bl w:val="nil"/>
                  </w:tcBorders>
                  <w:shd w:val="clear" w:color="auto" w:fill="FFFFFF"/>
                  <w:noWrap w:val="0"/>
                  <w:vAlign w:val="center"/>
                </w:tcPr>
                <w:p w14:paraId="5038DE3D">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eastAsia="宋体"/>
                      <w:color w:val="auto"/>
                      <w:highlight w:val="none"/>
                      <w:lang w:val="en-US" w:eastAsia="zh-CN"/>
                    </w:rPr>
                  </w:pPr>
                  <w:r>
                    <w:rPr>
                      <w:rFonts w:hint="eastAsia" w:eastAsia="宋体"/>
                      <w:color w:val="auto"/>
                      <w:highlight w:val="none"/>
                      <w:lang w:val="en-US" w:eastAsia="zh-CN"/>
                    </w:rPr>
                    <w:t>废气治理</w:t>
                  </w:r>
                </w:p>
              </w:tc>
              <w:tc>
                <w:tcPr>
                  <w:tcW w:w="4712" w:type="dxa"/>
                  <w:tcBorders>
                    <w:tl2br w:val="nil"/>
                    <w:tr2bl w:val="nil"/>
                  </w:tcBorders>
                  <w:shd w:val="clear" w:color="auto" w:fill="FFFFFF"/>
                  <w:noWrap w:val="0"/>
                  <w:vAlign w:val="center"/>
                </w:tcPr>
                <w:p w14:paraId="3C5ECD4F">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jc w:val="both"/>
                    <w:textAlignment w:val="auto"/>
                    <w:rPr>
                      <w:rFonts w:hint="default"/>
                      <w:color w:val="auto"/>
                      <w:highlight w:val="none"/>
                      <w:lang w:val="en-US" w:eastAsia="zh-CN"/>
                    </w:rPr>
                  </w:pPr>
                  <w:r>
                    <w:rPr>
                      <w:rFonts w:hint="eastAsia" w:cs="Times New Roman"/>
                      <w:color w:val="auto"/>
                      <w:kern w:val="0"/>
                      <w:sz w:val="21"/>
                      <w:szCs w:val="21"/>
                      <w:lang w:val="en-US" w:eastAsia="zh-CN" w:bidi="ar"/>
                    </w:rPr>
                    <w:t>本项目废气经通风橱、万向罩</w:t>
                  </w:r>
                  <w:r>
                    <w:rPr>
                      <w:rFonts w:hint="default" w:ascii="Times New Roman" w:hAnsi="Times New Roman" w:eastAsia="宋体" w:cs="Times New Roman"/>
                      <w:color w:val="auto"/>
                      <w:kern w:val="0"/>
                      <w:sz w:val="21"/>
                      <w:szCs w:val="21"/>
                      <w:lang w:val="en-US" w:eastAsia="zh-CN" w:bidi="ar"/>
                    </w:rPr>
                    <w:t>收集后进</w:t>
                  </w:r>
                  <w:r>
                    <w:rPr>
                      <w:rFonts w:hint="eastAsia" w:cs="Times New Roman"/>
                      <w:color w:val="auto"/>
                      <w:kern w:val="0"/>
                      <w:sz w:val="21"/>
                      <w:szCs w:val="21"/>
                      <w:lang w:val="en-US" w:eastAsia="zh-CN" w:bidi="ar"/>
                    </w:rPr>
                    <w:t>活性炭处理装置处理</w:t>
                  </w:r>
                  <w:r>
                    <w:rPr>
                      <w:rFonts w:hint="default" w:ascii="Times New Roman" w:hAnsi="Times New Roman" w:eastAsia="宋体" w:cs="Times New Roman"/>
                      <w:color w:val="auto"/>
                      <w:kern w:val="0"/>
                      <w:sz w:val="21"/>
                      <w:szCs w:val="21"/>
                      <w:lang w:val="en-US" w:eastAsia="zh-CN" w:bidi="ar"/>
                    </w:rPr>
                    <w:t>后经</w:t>
                  </w:r>
                  <w:r>
                    <w:rPr>
                      <w:rFonts w:hint="eastAsia" w:cs="Times New Roman"/>
                      <w:color w:val="auto"/>
                      <w:kern w:val="0"/>
                      <w:sz w:val="21"/>
                      <w:szCs w:val="21"/>
                      <w:lang w:val="en-US" w:eastAsia="zh-CN" w:bidi="ar"/>
                    </w:rPr>
                    <w:t>1根15m高的排气筒</w:t>
                  </w:r>
                  <w:r>
                    <w:rPr>
                      <w:rFonts w:hint="default" w:ascii="Times New Roman" w:hAnsi="Times New Roman" w:eastAsia="宋体" w:cs="Times New Roman"/>
                      <w:color w:val="auto"/>
                      <w:kern w:val="0"/>
                      <w:sz w:val="21"/>
                      <w:szCs w:val="21"/>
                      <w:lang w:val="en-US" w:eastAsia="zh-CN" w:bidi="ar"/>
                    </w:rPr>
                    <w:t>DA001排放</w:t>
                  </w:r>
                  <w:r>
                    <w:rPr>
                      <w:rFonts w:hint="eastAsia" w:cs="Times New Roman"/>
                      <w:color w:val="auto"/>
                      <w:kern w:val="0"/>
                      <w:sz w:val="21"/>
                      <w:szCs w:val="21"/>
                      <w:lang w:val="en-US" w:eastAsia="zh-CN" w:bidi="ar"/>
                    </w:rPr>
                    <w:t>。</w:t>
                  </w:r>
                </w:p>
              </w:tc>
              <w:tc>
                <w:tcPr>
                  <w:tcW w:w="848" w:type="dxa"/>
                  <w:tcBorders>
                    <w:tl2br w:val="nil"/>
                    <w:tr2bl w:val="nil"/>
                  </w:tcBorders>
                  <w:shd w:val="clear" w:color="auto" w:fill="FFFFFF"/>
                  <w:noWrap w:val="0"/>
                  <w:vAlign w:val="center"/>
                </w:tcPr>
                <w:p w14:paraId="07AC82C3">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eastAsia"/>
                      <w:color w:val="auto"/>
                      <w:highlight w:val="none"/>
                      <w:lang w:val="en-US" w:eastAsia="zh-CN"/>
                    </w:rPr>
                  </w:pPr>
                  <w:r>
                    <w:rPr>
                      <w:rFonts w:hint="eastAsia"/>
                      <w:color w:val="auto"/>
                      <w:highlight w:val="none"/>
                      <w:lang w:val="en-US" w:eastAsia="zh-CN"/>
                    </w:rPr>
                    <w:t>新建</w:t>
                  </w:r>
                </w:p>
              </w:tc>
            </w:tr>
            <w:tr w14:paraId="3324307B">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51" w:type="dxa"/>
                  <w:bottom w:w="0" w:type="dxa"/>
                  <w:right w:w="51" w:type="dxa"/>
                </w:tblCellMar>
              </w:tblPrEx>
              <w:trPr>
                <w:cantSplit/>
                <w:trHeight w:val="397" w:hRule="atLeast"/>
                <w:jc w:val="center"/>
              </w:trPr>
              <w:tc>
                <w:tcPr>
                  <w:tcW w:w="746" w:type="dxa"/>
                  <w:vMerge w:val="continue"/>
                  <w:tcBorders>
                    <w:tl2br w:val="nil"/>
                    <w:tr2bl w:val="nil"/>
                  </w:tcBorders>
                  <w:shd w:val="clear" w:color="auto" w:fill="FFFFFF"/>
                  <w:noWrap w:val="0"/>
                  <w:vAlign w:val="center"/>
                </w:tcPr>
                <w:p w14:paraId="14FA7EBF">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eastAsia="宋体"/>
                      <w:color w:val="auto"/>
                      <w:highlight w:val="none"/>
                      <w:lang w:val="en-US" w:eastAsia="zh-CN"/>
                    </w:rPr>
                  </w:pPr>
                </w:p>
              </w:tc>
              <w:tc>
                <w:tcPr>
                  <w:tcW w:w="1508" w:type="dxa"/>
                  <w:tcBorders>
                    <w:tl2br w:val="nil"/>
                    <w:tr2bl w:val="nil"/>
                  </w:tcBorders>
                  <w:shd w:val="clear" w:color="auto" w:fill="FFFFFF"/>
                  <w:noWrap w:val="0"/>
                  <w:vAlign w:val="center"/>
                </w:tcPr>
                <w:p w14:paraId="64C3C08E">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eastAsia="宋体"/>
                      <w:color w:val="auto"/>
                      <w:highlight w:val="none"/>
                      <w:lang w:val="en-US" w:eastAsia="zh-CN"/>
                    </w:rPr>
                  </w:pPr>
                  <w:r>
                    <w:rPr>
                      <w:rFonts w:hint="eastAsia" w:eastAsia="宋体"/>
                      <w:color w:val="auto"/>
                      <w:highlight w:val="none"/>
                      <w:lang w:val="en-US" w:eastAsia="zh-CN"/>
                    </w:rPr>
                    <w:t>废水治理</w:t>
                  </w:r>
                </w:p>
              </w:tc>
              <w:tc>
                <w:tcPr>
                  <w:tcW w:w="4712" w:type="dxa"/>
                  <w:tcBorders>
                    <w:tl2br w:val="nil"/>
                    <w:tr2bl w:val="nil"/>
                  </w:tcBorders>
                  <w:shd w:val="clear" w:color="auto" w:fill="FFFFFF"/>
                  <w:noWrap w:val="0"/>
                  <w:vAlign w:val="center"/>
                </w:tcPr>
                <w:p w14:paraId="3694DE6F">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jc w:val="both"/>
                    <w:textAlignment w:val="auto"/>
                    <w:rPr>
                      <w:rFonts w:hint="default" w:eastAsia="宋体"/>
                      <w:color w:val="auto"/>
                      <w:highlight w:val="none"/>
                      <w:lang w:val="en-US" w:eastAsia="zh-CN"/>
                    </w:rPr>
                  </w:pPr>
                  <w:r>
                    <w:rPr>
                      <w:rFonts w:hint="eastAsia" w:eastAsia="宋体"/>
                      <w:color w:val="auto"/>
                      <w:highlight w:val="none"/>
                      <w:lang w:val="en-US" w:eastAsia="zh-CN"/>
                    </w:rPr>
                    <w:t>容器前两遍清洗废水收集</w:t>
                  </w:r>
                  <w:r>
                    <w:rPr>
                      <w:rFonts w:hint="eastAsia"/>
                      <w:color w:val="auto"/>
                      <w:highlight w:val="none"/>
                      <w:lang w:val="en-US" w:eastAsia="zh-CN"/>
                    </w:rPr>
                    <w:t>做</w:t>
                  </w:r>
                  <w:r>
                    <w:rPr>
                      <w:rFonts w:hint="eastAsia" w:eastAsia="宋体"/>
                      <w:color w:val="auto"/>
                      <w:highlight w:val="none"/>
                      <w:lang w:val="en-US" w:eastAsia="zh-CN"/>
                    </w:rPr>
                    <w:t>危废处置，</w:t>
                  </w:r>
                  <w:r>
                    <w:rPr>
                      <w:rFonts w:hint="eastAsia"/>
                      <w:color w:val="auto"/>
                      <w:highlight w:val="none"/>
                      <w:lang w:val="en-US" w:eastAsia="zh-CN"/>
                    </w:rPr>
                    <w:t>设备容器第二次清洗废水</w:t>
                  </w:r>
                  <w:r>
                    <w:rPr>
                      <w:rFonts w:hint="eastAsia" w:eastAsia="宋体"/>
                      <w:color w:val="auto"/>
                      <w:highlight w:val="none"/>
                      <w:lang w:val="en-US" w:eastAsia="zh-CN"/>
                    </w:rPr>
                    <w:t>与生活污水一起排入</w:t>
                  </w:r>
                  <w:r>
                    <w:rPr>
                      <w:rFonts w:hint="eastAsia"/>
                      <w:color w:val="auto"/>
                      <w:highlight w:val="none"/>
                      <w:lang w:val="en-US" w:eastAsia="zh-CN"/>
                    </w:rPr>
                    <w:t>化粪池</w:t>
                  </w:r>
                  <w:r>
                    <w:rPr>
                      <w:rFonts w:hint="eastAsia" w:eastAsia="宋体"/>
                      <w:color w:val="auto"/>
                      <w:highlight w:val="none"/>
                      <w:lang w:val="en-US" w:eastAsia="zh-CN"/>
                    </w:rPr>
                    <w:t>，经市政管网进</w:t>
                  </w:r>
                  <w:r>
                    <w:rPr>
                      <w:rFonts w:hint="eastAsia"/>
                      <w:color w:val="auto"/>
                      <w:highlight w:val="none"/>
                      <w:lang w:val="en-US" w:eastAsia="zh-CN"/>
                    </w:rPr>
                    <w:t>高碑店再生水厂</w:t>
                  </w:r>
                  <w:r>
                    <w:rPr>
                      <w:rFonts w:hint="eastAsia" w:eastAsia="宋体"/>
                      <w:color w:val="auto"/>
                      <w:highlight w:val="none"/>
                      <w:lang w:val="en-US" w:eastAsia="zh-CN"/>
                    </w:rPr>
                    <w:t>进一步处理</w:t>
                  </w:r>
                  <w:r>
                    <w:rPr>
                      <w:rFonts w:hint="eastAsia"/>
                      <w:color w:val="auto"/>
                      <w:highlight w:val="none"/>
                      <w:lang w:val="en-US" w:eastAsia="zh-CN"/>
                    </w:rPr>
                    <w:t>。</w:t>
                  </w:r>
                </w:p>
              </w:tc>
              <w:tc>
                <w:tcPr>
                  <w:tcW w:w="848" w:type="dxa"/>
                  <w:tcBorders>
                    <w:tl2br w:val="nil"/>
                    <w:tr2bl w:val="nil"/>
                  </w:tcBorders>
                  <w:shd w:val="clear" w:color="auto" w:fill="FFFFFF"/>
                  <w:noWrap w:val="0"/>
                  <w:vAlign w:val="center"/>
                </w:tcPr>
                <w:p w14:paraId="0FDE0054">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color w:val="auto"/>
                      <w:highlight w:val="none"/>
                      <w:lang w:val="en-US" w:eastAsia="zh-CN"/>
                    </w:rPr>
                  </w:pPr>
                  <w:r>
                    <w:rPr>
                      <w:rFonts w:hint="eastAsia"/>
                      <w:color w:val="auto"/>
                      <w:highlight w:val="none"/>
                      <w:lang w:val="en-US" w:eastAsia="zh-CN"/>
                    </w:rPr>
                    <w:t>新建</w:t>
                  </w:r>
                </w:p>
              </w:tc>
            </w:tr>
            <w:tr w14:paraId="6FDBC15E">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51" w:type="dxa"/>
                  <w:bottom w:w="0" w:type="dxa"/>
                  <w:right w:w="51" w:type="dxa"/>
                </w:tblCellMar>
              </w:tblPrEx>
              <w:trPr>
                <w:cantSplit/>
                <w:trHeight w:val="397" w:hRule="atLeast"/>
                <w:jc w:val="center"/>
              </w:trPr>
              <w:tc>
                <w:tcPr>
                  <w:tcW w:w="746" w:type="dxa"/>
                  <w:vMerge w:val="continue"/>
                  <w:tcBorders>
                    <w:tl2br w:val="nil"/>
                    <w:tr2bl w:val="nil"/>
                  </w:tcBorders>
                  <w:shd w:val="clear" w:color="auto" w:fill="FFFFFF"/>
                  <w:noWrap w:val="0"/>
                  <w:vAlign w:val="center"/>
                </w:tcPr>
                <w:p w14:paraId="5F70DE24">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eastAsia="宋体"/>
                      <w:color w:val="auto"/>
                      <w:highlight w:val="none"/>
                      <w:lang w:val="en-US" w:eastAsia="zh-CN"/>
                    </w:rPr>
                  </w:pPr>
                </w:p>
              </w:tc>
              <w:tc>
                <w:tcPr>
                  <w:tcW w:w="1508" w:type="dxa"/>
                  <w:tcBorders>
                    <w:tl2br w:val="nil"/>
                    <w:tr2bl w:val="nil"/>
                  </w:tcBorders>
                  <w:shd w:val="clear" w:color="auto" w:fill="FFFFFF"/>
                  <w:noWrap w:val="0"/>
                  <w:vAlign w:val="center"/>
                </w:tcPr>
                <w:p w14:paraId="7FF48E7D">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eastAsia="宋体"/>
                      <w:color w:val="auto"/>
                      <w:highlight w:val="none"/>
                      <w:lang w:val="en-US" w:eastAsia="zh-CN"/>
                    </w:rPr>
                  </w:pPr>
                  <w:r>
                    <w:rPr>
                      <w:rFonts w:hint="eastAsia" w:eastAsia="宋体"/>
                      <w:color w:val="auto"/>
                      <w:highlight w:val="none"/>
                      <w:lang w:val="en-US" w:eastAsia="zh-CN"/>
                    </w:rPr>
                    <w:t>固废处置</w:t>
                  </w:r>
                </w:p>
              </w:tc>
              <w:tc>
                <w:tcPr>
                  <w:tcW w:w="4712" w:type="dxa"/>
                  <w:tcBorders>
                    <w:tl2br w:val="nil"/>
                    <w:tr2bl w:val="nil"/>
                  </w:tcBorders>
                  <w:shd w:val="clear" w:color="auto" w:fill="FFFFFF"/>
                  <w:noWrap w:val="0"/>
                  <w:vAlign w:val="center"/>
                </w:tcPr>
                <w:p w14:paraId="51BDC383">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jc w:val="both"/>
                    <w:textAlignment w:val="auto"/>
                    <w:rPr>
                      <w:rFonts w:hint="default" w:eastAsia="宋体"/>
                      <w:color w:val="auto"/>
                      <w:highlight w:val="none"/>
                      <w:lang w:val="en-US" w:eastAsia="zh-CN"/>
                    </w:rPr>
                  </w:pPr>
                  <w:r>
                    <w:rPr>
                      <w:rFonts w:hint="eastAsia" w:eastAsia="宋体"/>
                      <w:color w:val="auto"/>
                      <w:highlight w:val="none"/>
                      <w:lang w:val="en-US" w:eastAsia="zh-CN"/>
                    </w:rPr>
                    <w:t>建设一般工业固体废物暂存间，暂存属于一般工业固体废物的废包装物，废包装物定期委托物资回收单位回收；建设危险废物暂存间，分类收集贮存危险废物，定期委托</w:t>
                  </w:r>
                  <w:r>
                    <w:rPr>
                      <w:rFonts w:hint="eastAsia" w:cs="Times New Roman"/>
                      <w:color w:val="auto"/>
                      <w:kern w:val="0"/>
                      <w:szCs w:val="21"/>
                      <w:highlight w:val="none"/>
                      <w:lang w:val="en-US" w:eastAsia="zh-CN" w:bidi="ar"/>
                    </w:rPr>
                    <w:t>资质单位</w:t>
                  </w:r>
                  <w:r>
                    <w:rPr>
                      <w:rFonts w:hint="eastAsia" w:eastAsia="宋体"/>
                      <w:color w:val="auto"/>
                      <w:highlight w:val="none"/>
                      <w:lang w:val="en-US" w:eastAsia="zh-CN"/>
                    </w:rPr>
                    <w:t>处置；设置生活垃圾分类收集桶，委托当地环卫部门每日清运</w:t>
                  </w:r>
                  <w:r>
                    <w:rPr>
                      <w:rFonts w:hint="eastAsia"/>
                      <w:color w:val="auto"/>
                      <w:highlight w:val="none"/>
                      <w:lang w:val="en-US" w:eastAsia="zh-CN"/>
                    </w:rPr>
                    <w:t>。</w:t>
                  </w:r>
                </w:p>
              </w:tc>
              <w:tc>
                <w:tcPr>
                  <w:tcW w:w="848" w:type="dxa"/>
                  <w:tcBorders>
                    <w:tl2br w:val="nil"/>
                    <w:tr2bl w:val="nil"/>
                  </w:tcBorders>
                  <w:shd w:val="clear" w:color="auto" w:fill="FFFFFF"/>
                  <w:noWrap w:val="0"/>
                  <w:vAlign w:val="center"/>
                </w:tcPr>
                <w:p w14:paraId="38843D5F">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color w:val="auto"/>
                      <w:highlight w:val="none"/>
                      <w:lang w:val="en-US" w:eastAsia="zh-CN"/>
                    </w:rPr>
                  </w:pPr>
                  <w:r>
                    <w:rPr>
                      <w:rFonts w:hint="eastAsia"/>
                      <w:color w:val="auto"/>
                      <w:highlight w:val="none"/>
                      <w:lang w:val="en-US" w:eastAsia="zh-CN"/>
                    </w:rPr>
                    <w:t>新建</w:t>
                  </w:r>
                </w:p>
              </w:tc>
            </w:tr>
            <w:tr w14:paraId="10015BBB">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51" w:type="dxa"/>
                  <w:bottom w:w="0" w:type="dxa"/>
                  <w:right w:w="51" w:type="dxa"/>
                </w:tblCellMar>
              </w:tblPrEx>
              <w:trPr>
                <w:cantSplit/>
                <w:trHeight w:val="397" w:hRule="atLeast"/>
                <w:jc w:val="center"/>
              </w:trPr>
              <w:tc>
                <w:tcPr>
                  <w:tcW w:w="746" w:type="dxa"/>
                  <w:vMerge w:val="continue"/>
                  <w:tcBorders>
                    <w:tl2br w:val="nil"/>
                    <w:tr2bl w:val="nil"/>
                  </w:tcBorders>
                  <w:shd w:val="clear" w:color="auto" w:fill="FFFFFF"/>
                  <w:noWrap w:val="0"/>
                  <w:vAlign w:val="center"/>
                </w:tcPr>
                <w:p w14:paraId="65EA5681">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textAlignment w:val="auto"/>
                    <w:rPr>
                      <w:color w:val="auto"/>
                      <w:highlight w:val="none"/>
                    </w:rPr>
                  </w:pPr>
                </w:p>
              </w:tc>
              <w:tc>
                <w:tcPr>
                  <w:tcW w:w="1508" w:type="dxa"/>
                  <w:tcBorders>
                    <w:tl2br w:val="nil"/>
                    <w:tr2bl w:val="nil"/>
                  </w:tcBorders>
                  <w:shd w:val="clear" w:color="auto" w:fill="FFFFFF"/>
                  <w:noWrap w:val="0"/>
                  <w:vAlign w:val="center"/>
                </w:tcPr>
                <w:p w14:paraId="3A9ABC9C">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textAlignment w:val="auto"/>
                    <w:rPr>
                      <w:color w:val="auto"/>
                      <w:highlight w:val="none"/>
                    </w:rPr>
                  </w:pPr>
                  <w:r>
                    <w:rPr>
                      <w:rFonts w:hint="eastAsia"/>
                      <w:color w:val="auto"/>
                      <w:highlight w:val="none"/>
                    </w:rPr>
                    <w:t>环境风险防范措施</w:t>
                  </w:r>
                </w:p>
              </w:tc>
              <w:tc>
                <w:tcPr>
                  <w:tcW w:w="4712" w:type="dxa"/>
                  <w:tcBorders>
                    <w:tl2br w:val="nil"/>
                    <w:tr2bl w:val="nil"/>
                  </w:tcBorders>
                  <w:shd w:val="clear" w:color="auto" w:fill="FFFFFF"/>
                  <w:noWrap w:val="0"/>
                  <w:vAlign w:val="center"/>
                </w:tcPr>
                <w:p w14:paraId="692A2188">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jc w:val="both"/>
                    <w:textAlignment w:val="auto"/>
                    <w:rPr>
                      <w:rFonts w:hint="eastAsia"/>
                      <w:color w:val="auto"/>
                      <w:highlight w:val="none"/>
                      <w:lang w:eastAsia="zh-CN"/>
                    </w:rPr>
                  </w:pPr>
                  <w:r>
                    <w:rPr>
                      <w:rFonts w:hint="eastAsia"/>
                      <w:color w:val="auto"/>
                      <w:highlight w:val="none"/>
                      <w:lang w:val="en-US" w:eastAsia="zh-CN"/>
                    </w:rPr>
                    <w:t>建设</w:t>
                  </w:r>
                  <w:r>
                    <w:rPr>
                      <w:rFonts w:hint="eastAsia"/>
                      <w:color w:val="auto"/>
                      <w:highlight w:val="none"/>
                    </w:rPr>
                    <w:t>阴凉、通风、干燥</w:t>
                  </w:r>
                  <w:r>
                    <w:rPr>
                      <w:rFonts w:hint="eastAsia"/>
                      <w:color w:val="auto"/>
                      <w:highlight w:val="none"/>
                      <w:lang w:val="en-US" w:eastAsia="zh-CN"/>
                    </w:rPr>
                    <w:t>的化学品贮存设施</w:t>
                  </w:r>
                  <w:r>
                    <w:rPr>
                      <w:rFonts w:hint="eastAsia"/>
                      <w:color w:val="auto"/>
                      <w:highlight w:val="none"/>
                    </w:rPr>
                    <w:t>，且远离火种、热源；</w:t>
                  </w:r>
                  <w:r>
                    <w:rPr>
                      <w:rFonts w:hint="eastAsia"/>
                      <w:color w:val="auto"/>
                      <w:highlight w:val="none"/>
                      <w:lang w:val="en-US" w:eastAsia="zh-CN"/>
                    </w:rPr>
                    <w:t>建设规范的危险废物暂存间，做好防渗、防溢流措施；设置满足要求的风险物资。</w:t>
                  </w:r>
                </w:p>
              </w:tc>
              <w:tc>
                <w:tcPr>
                  <w:tcW w:w="848" w:type="dxa"/>
                  <w:tcBorders>
                    <w:tl2br w:val="nil"/>
                    <w:tr2bl w:val="nil"/>
                  </w:tcBorders>
                  <w:shd w:val="clear" w:color="auto" w:fill="FFFFFF"/>
                  <w:noWrap w:val="0"/>
                  <w:vAlign w:val="center"/>
                </w:tcPr>
                <w:p w14:paraId="3BF40A4A">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color w:val="auto"/>
                      <w:highlight w:val="none"/>
                      <w:lang w:val="en-US" w:eastAsia="zh-CN"/>
                    </w:rPr>
                  </w:pPr>
                  <w:r>
                    <w:rPr>
                      <w:rFonts w:hint="eastAsia"/>
                      <w:color w:val="auto"/>
                      <w:highlight w:val="none"/>
                      <w:lang w:val="en-US" w:eastAsia="zh-CN"/>
                    </w:rPr>
                    <w:t>新建</w:t>
                  </w:r>
                </w:p>
              </w:tc>
            </w:tr>
            <w:tr w14:paraId="4AE8ED02">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51" w:type="dxa"/>
                  <w:bottom w:w="0" w:type="dxa"/>
                  <w:right w:w="51" w:type="dxa"/>
                </w:tblCellMar>
              </w:tblPrEx>
              <w:trPr>
                <w:cantSplit/>
                <w:trHeight w:val="397" w:hRule="atLeast"/>
                <w:jc w:val="center"/>
              </w:trPr>
              <w:tc>
                <w:tcPr>
                  <w:tcW w:w="746" w:type="dxa"/>
                  <w:vMerge w:val="restart"/>
                  <w:tcBorders>
                    <w:tl2br w:val="nil"/>
                    <w:tr2bl w:val="nil"/>
                  </w:tcBorders>
                  <w:shd w:val="clear" w:color="auto" w:fill="FFFFFF"/>
                  <w:noWrap w:val="0"/>
                  <w:vAlign w:val="center"/>
                </w:tcPr>
                <w:p w14:paraId="60F17FD7">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textAlignment w:val="auto"/>
                    <w:rPr>
                      <w:rFonts w:hint="eastAsia"/>
                      <w:color w:val="auto"/>
                      <w:highlight w:val="none"/>
                    </w:rPr>
                  </w:pPr>
                  <w:r>
                    <w:rPr>
                      <w:rFonts w:hint="eastAsia"/>
                      <w:color w:val="auto"/>
                      <w:highlight w:val="none"/>
                    </w:rPr>
                    <w:t>储运</w:t>
                  </w:r>
                </w:p>
                <w:p w14:paraId="5A4473AD">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textAlignment w:val="auto"/>
                    <w:rPr>
                      <w:color w:val="auto"/>
                      <w:highlight w:val="none"/>
                    </w:rPr>
                  </w:pPr>
                  <w:r>
                    <w:rPr>
                      <w:rFonts w:hint="eastAsia"/>
                      <w:color w:val="auto"/>
                      <w:highlight w:val="none"/>
                    </w:rPr>
                    <w:t>工程</w:t>
                  </w:r>
                </w:p>
              </w:tc>
              <w:tc>
                <w:tcPr>
                  <w:tcW w:w="1508" w:type="dxa"/>
                  <w:tcBorders>
                    <w:tl2br w:val="nil"/>
                    <w:tr2bl w:val="nil"/>
                  </w:tcBorders>
                  <w:shd w:val="clear" w:color="auto" w:fill="FFFFFF"/>
                  <w:noWrap w:val="0"/>
                  <w:vAlign w:val="center"/>
                </w:tcPr>
                <w:p w14:paraId="70B4E159">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eastAsia"/>
                      <w:color w:val="auto"/>
                      <w:highlight w:val="none"/>
                      <w:lang w:val="en-US" w:eastAsia="zh-CN"/>
                    </w:rPr>
                  </w:pPr>
                  <w:r>
                    <w:rPr>
                      <w:rFonts w:hint="eastAsia"/>
                      <w:color w:val="auto"/>
                      <w:highlight w:val="none"/>
                      <w:lang w:val="en-US" w:eastAsia="zh-CN"/>
                    </w:rPr>
                    <w:t>危险废物</w:t>
                  </w:r>
                </w:p>
                <w:p w14:paraId="498529EE">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eastAsia" w:ascii="Times New Roman" w:hAnsi="Times New Roman" w:eastAsia="宋体" w:cstheme="minorBidi"/>
                      <w:color w:val="auto"/>
                      <w:kern w:val="2"/>
                      <w:sz w:val="21"/>
                      <w:szCs w:val="24"/>
                      <w:highlight w:val="none"/>
                      <w:lang w:val="en-US" w:eastAsia="zh-CN" w:bidi="ar-SA"/>
                    </w:rPr>
                  </w:pPr>
                  <w:r>
                    <w:rPr>
                      <w:rFonts w:hint="eastAsia"/>
                      <w:color w:val="auto"/>
                      <w:highlight w:val="none"/>
                      <w:lang w:val="en-US" w:eastAsia="zh-CN"/>
                    </w:rPr>
                    <w:t>暂存间</w:t>
                  </w:r>
                </w:p>
              </w:tc>
              <w:tc>
                <w:tcPr>
                  <w:tcW w:w="4712" w:type="dxa"/>
                  <w:tcBorders>
                    <w:tl2br w:val="nil"/>
                    <w:tr2bl w:val="nil"/>
                  </w:tcBorders>
                  <w:shd w:val="clear" w:color="auto" w:fill="FFFFFF"/>
                  <w:noWrap w:val="0"/>
                  <w:vAlign w:val="center"/>
                </w:tcPr>
                <w:p w14:paraId="7913894C">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eastAsia="宋体" w:cstheme="minorBidi"/>
                      <w:color w:val="auto"/>
                      <w:kern w:val="2"/>
                      <w:sz w:val="21"/>
                      <w:szCs w:val="24"/>
                      <w:highlight w:val="none"/>
                      <w:lang w:val="en-US" w:eastAsia="zh-CN" w:bidi="ar-SA"/>
                    </w:rPr>
                  </w:pPr>
                  <w:r>
                    <w:rPr>
                      <w:rFonts w:hint="eastAsia"/>
                      <w:color w:val="auto"/>
                      <w:highlight w:val="none"/>
                      <w:lang w:val="en-US" w:eastAsia="zh-CN"/>
                    </w:rPr>
                    <w:t>6m</w:t>
                  </w:r>
                  <w:r>
                    <w:rPr>
                      <w:rFonts w:hint="eastAsia"/>
                      <w:color w:val="auto"/>
                      <w:highlight w:val="none"/>
                      <w:vertAlign w:val="superscript"/>
                      <w:lang w:val="en-US" w:eastAsia="zh-CN"/>
                    </w:rPr>
                    <w:t>2</w:t>
                  </w:r>
                  <w:r>
                    <w:rPr>
                      <w:rFonts w:hint="eastAsia"/>
                      <w:color w:val="auto"/>
                      <w:highlight w:val="none"/>
                      <w:lang w:val="en-US" w:eastAsia="zh-CN"/>
                    </w:rPr>
                    <w:t>。</w:t>
                  </w:r>
                </w:p>
              </w:tc>
              <w:tc>
                <w:tcPr>
                  <w:tcW w:w="848" w:type="dxa"/>
                  <w:tcBorders>
                    <w:tl2br w:val="nil"/>
                    <w:tr2bl w:val="nil"/>
                  </w:tcBorders>
                  <w:shd w:val="clear" w:color="auto" w:fill="FFFFFF"/>
                  <w:noWrap w:val="0"/>
                  <w:vAlign w:val="center"/>
                </w:tcPr>
                <w:p w14:paraId="5097EB6B">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eastAsia" w:ascii="Times New Roman" w:hAnsi="Times New Roman" w:eastAsia="宋体" w:cstheme="minorBidi"/>
                      <w:color w:val="auto"/>
                      <w:kern w:val="2"/>
                      <w:sz w:val="21"/>
                      <w:szCs w:val="24"/>
                      <w:highlight w:val="none"/>
                      <w:lang w:val="en-US" w:eastAsia="zh-CN" w:bidi="ar-SA"/>
                    </w:rPr>
                  </w:pPr>
                  <w:r>
                    <w:rPr>
                      <w:rFonts w:hint="eastAsia"/>
                      <w:color w:val="auto"/>
                      <w:highlight w:val="none"/>
                      <w:lang w:val="en-US" w:eastAsia="zh-CN"/>
                    </w:rPr>
                    <w:t>新建</w:t>
                  </w:r>
                </w:p>
              </w:tc>
            </w:tr>
            <w:tr w14:paraId="52A1900A">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51" w:type="dxa"/>
                  <w:bottom w:w="0" w:type="dxa"/>
                  <w:right w:w="51" w:type="dxa"/>
                </w:tblCellMar>
              </w:tblPrEx>
              <w:trPr>
                <w:cantSplit/>
                <w:trHeight w:val="90" w:hRule="atLeast"/>
                <w:jc w:val="center"/>
              </w:trPr>
              <w:tc>
                <w:tcPr>
                  <w:tcW w:w="746" w:type="dxa"/>
                  <w:vMerge w:val="continue"/>
                  <w:tcBorders>
                    <w:tl2br w:val="nil"/>
                    <w:tr2bl w:val="nil"/>
                  </w:tcBorders>
                  <w:shd w:val="clear" w:color="auto" w:fill="FFFFFF"/>
                  <w:noWrap w:val="0"/>
                  <w:vAlign w:val="center"/>
                </w:tcPr>
                <w:p w14:paraId="0FFC0F26">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textAlignment w:val="auto"/>
                    <w:rPr>
                      <w:color w:val="auto"/>
                      <w:highlight w:val="none"/>
                    </w:rPr>
                  </w:pPr>
                </w:p>
              </w:tc>
              <w:tc>
                <w:tcPr>
                  <w:tcW w:w="1508" w:type="dxa"/>
                  <w:tcBorders>
                    <w:tl2br w:val="nil"/>
                    <w:tr2bl w:val="nil"/>
                  </w:tcBorders>
                  <w:shd w:val="clear" w:color="auto" w:fill="FFFFFF"/>
                  <w:noWrap w:val="0"/>
                  <w:vAlign w:val="center"/>
                </w:tcPr>
                <w:p w14:paraId="62933EBF">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eastAsia="宋体" w:cstheme="minorBidi"/>
                      <w:color w:val="auto"/>
                      <w:kern w:val="2"/>
                      <w:sz w:val="21"/>
                      <w:szCs w:val="24"/>
                      <w:highlight w:val="none"/>
                      <w:lang w:val="en-US" w:eastAsia="zh-CN" w:bidi="ar-SA"/>
                    </w:rPr>
                  </w:pPr>
                  <w:r>
                    <w:rPr>
                      <w:rFonts w:hint="eastAsia"/>
                      <w:color w:val="auto"/>
                      <w:highlight w:val="none"/>
                      <w:lang w:val="en-US" w:eastAsia="zh-CN"/>
                    </w:rPr>
                    <w:t>一般工业固体废物暂存间</w:t>
                  </w:r>
                </w:p>
              </w:tc>
              <w:tc>
                <w:tcPr>
                  <w:tcW w:w="4712" w:type="dxa"/>
                  <w:tcBorders>
                    <w:tl2br w:val="nil"/>
                    <w:tr2bl w:val="nil"/>
                  </w:tcBorders>
                  <w:shd w:val="clear" w:color="auto" w:fill="FFFFFF"/>
                  <w:noWrap w:val="0"/>
                  <w:vAlign w:val="center"/>
                </w:tcPr>
                <w:p w14:paraId="78B9B6C7">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Times New Roman" w:hAnsi="Times New Roman" w:eastAsia="宋体" w:cstheme="minorBidi"/>
                      <w:color w:val="auto"/>
                      <w:kern w:val="2"/>
                      <w:sz w:val="21"/>
                      <w:szCs w:val="24"/>
                      <w:highlight w:val="none"/>
                      <w:lang w:val="en-US" w:eastAsia="zh-CN" w:bidi="ar-SA"/>
                    </w:rPr>
                  </w:pPr>
                  <w:r>
                    <w:rPr>
                      <w:rFonts w:hint="eastAsia"/>
                      <w:color w:val="auto"/>
                      <w:highlight w:val="none"/>
                      <w:lang w:val="en-US" w:eastAsia="zh-CN"/>
                    </w:rPr>
                    <w:t>6m</w:t>
                  </w:r>
                  <w:r>
                    <w:rPr>
                      <w:rFonts w:hint="eastAsia"/>
                      <w:color w:val="auto"/>
                      <w:highlight w:val="none"/>
                      <w:vertAlign w:val="superscript"/>
                      <w:lang w:val="en-US" w:eastAsia="zh-CN"/>
                    </w:rPr>
                    <w:t>2</w:t>
                  </w:r>
                  <w:r>
                    <w:rPr>
                      <w:rFonts w:hint="eastAsia"/>
                      <w:color w:val="auto"/>
                      <w:highlight w:val="none"/>
                      <w:lang w:val="en-US" w:eastAsia="zh-CN"/>
                    </w:rPr>
                    <w:t>。</w:t>
                  </w:r>
                </w:p>
              </w:tc>
              <w:tc>
                <w:tcPr>
                  <w:tcW w:w="848" w:type="dxa"/>
                  <w:tcBorders>
                    <w:tl2br w:val="nil"/>
                    <w:tr2bl w:val="nil"/>
                  </w:tcBorders>
                  <w:shd w:val="clear" w:color="auto" w:fill="FFFFFF"/>
                  <w:noWrap w:val="0"/>
                  <w:vAlign w:val="center"/>
                </w:tcPr>
                <w:p w14:paraId="7E0E6AB5">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eastAsia" w:ascii="Times New Roman" w:hAnsi="Times New Roman" w:eastAsia="宋体" w:cstheme="minorBidi"/>
                      <w:color w:val="auto"/>
                      <w:kern w:val="2"/>
                      <w:sz w:val="21"/>
                      <w:szCs w:val="24"/>
                      <w:highlight w:val="none"/>
                      <w:lang w:val="en-US" w:eastAsia="zh-CN" w:bidi="ar-SA"/>
                    </w:rPr>
                  </w:pPr>
                  <w:r>
                    <w:rPr>
                      <w:rFonts w:hint="eastAsia"/>
                      <w:color w:val="auto"/>
                      <w:highlight w:val="none"/>
                      <w:lang w:val="en-US" w:eastAsia="zh-CN"/>
                    </w:rPr>
                    <w:t>新建</w:t>
                  </w:r>
                </w:p>
              </w:tc>
            </w:tr>
          </w:tbl>
          <w:p w14:paraId="2A50925C">
            <w:pPr>
              <w:adjustRightInd w:val="0"/>
              <w:snapToGrid w:val="0"/>
              <w:rPr>
                <w:rFonts w:hint="default" w:ascii="Times New Roman" w:hAnsi="Times New Roman" w:eastAsia="宋体" w:cs="Times New Roman"/>
                <w:bCs/>
                <w:color w:val="auto"/>
                <w:sz w:val="24"/>
                <w:highlight w:val="none"/>
              </w:rPr>
            </w:pPr>
          </w:p>
          <w:p w14:paraId="18BF4E1A">
            <w:pPr>
              <w:numPr>
                <w:ilvl w:val="0"/>
                <w:numId w:val="6"/>
              </w:numPr>
              <w:tabs>
                <w:tab w:val="left" w:pos="0"/>
              </w:tabs>
              <w:adjustRightInd w:val="0"/>
              <w:snapToGrid w:val="0"/>
              <w:spacing w:line="360" w:lineRule="auto"/>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项目规模</w:t>
            </w:r>
          </w:p>
          <w:p w14:paraId="7E24070B">
            <w:pPr>
              <w:adjustRightInd w:val="0"/>
              <w:snapToGrid w:val="0"/>
              <w:spacing w:line="360" w:lineRule="auto"/>
              <w:ind w:firstLine="360" w:firstLineChars="150"/>
              <w:rPr>
                <w:rFonts w:hint="default" w:ascii="Times New Roman" w:hAnsi="Times New Roman" w:eastAsia="宋体" w:cs="Times New Roman"/>
                <w:color w:val="auto"/>
                <w:sz w:val="24"/>
                <w:highlight w:val="none"/>
                <w:lang w:val="en-US" w:eastAsia="zh-CN"/>
              </w:rPr>
            </w:pPr>
            <w:r>
              <w:rPr>
                <w:rFonts w:hint="eastAsia" w:cs="Times New Roman"/>
                <w:color w:val="auto"/>
                <w:sz w:val="24"/>
                <w:highlight w:val="none"/>
                <w:lang w:val="en-US" w:eastAsia="zh-CN"/>
              </w:rPr>
              <w:t>项目建成后实验项目及规模见下表</w:t>
            </w:r>
            <w:r>
              <w:rPr>
                <w:rFonts w:hint="default" w:ascii="Times New Roman" w:hAnsi="Times New Roman" w:eastAsia="宋体" w:cs="Times New Roman"/>
                <w:color w:val="auto"/>
                <w:sz w:val="24"/>
                <w:highlight w:val="none"/>
                <w:lang w:val="en-US" w:eastAsia="zh-CN"/>
              </w:rPr>
              <w:t>。</w:t>
            </w:r>
          </w:p>
          <w:p w14:paraId="0AAA2E78">
            <w:pPr>
              <w:numPr>
                <w:ilvl w:val="0"/>
                <w:numId w:val="7"/>
              </w:numPr>
              <w:spacing w:line="360" w:lineRule="auto"/>
              <w:jc w:val="center"/>
              <w:rPr>
                <w:rFonts w:hint="default" w:cs="Times New Roman"/>
                <w:b/>
                <w:color w:val="auto"/>
                <w:kern w:val="0"/>
                <w:sz w:val="24"/>
                <w:highlight w:val="none"/>
                <w:lang w:val="en-US" w:eastAsia="zh-CN"/>
              </w:rPr>
            </w:pPr>
            <w:r>
              <w:rPr>
                <w:rFonts w:hint="eastAsia" w:cs="Times New Roman"/>
                <w:b/>
                <w:color w:val="auto"/>
                <w:kern w:val="0"/>
                <w:sz w:val="24"/>
                <w:highlight w:val="none"/>
                <w:lang w:val="en-US" w:eastAsia="zh-CN"/>
              </w:rPr>
              <w:t>项目实验项目及</w:t>
            </w:r>
            <w:r>
              <w:rPr>
                <w:rFonts w:hint="default" w:cs="Times New Roman"/>
                <w:b/>
                <w:color w:val="auto"/>
                <w:kern w:val="0"/>
                <w:sz w:val="24"/>
                <w:highlight w:val="none"/>
                <w:lang w:val="en-US" w:eastAsia="zh-CN"/>
              </w:rPr>
              <w:t>规模一览表</w:t>
            </w:r>
          </w:p>
          <w:tbl>
            <w:tblPr>
              <w:tblStyle w:val="24"/>
              <w:tblW w:w="7973" w:type="dxa"/>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733"/>
              <w:gridCol w:w="4240"/>
            </w:tblGrid>
            <w:tr w14:paraId="0B9C768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3733" w:type="dxa"/>
                  <w:tcBorders>
                    <w:tl2br w:val="nil"/>
                    <w:tr2bl w:val="nil"/>
                  </w:tcBorders>
                  <w:vAlign w:val="center"/>
                </w:tcPr>
                <w:p w14:paraId="5FC0AA11">
                  <w:pPr>
                    <w:numPr>
                      <w:ilvl w:val="0"/>
                      <w:numId w:val="0"/>
                    </w:numPr>
                    <w:spacing w:line="240" w:lineRule="auto"/>
                    <w:jc w:val="center"/>
                    <w:rPr>
                      <w:rFonts w:hint="default" w:cs="Times New Roman"/>
                      <w:b/>
                      <w:color w:val="auto"/>
                      <w:kern w:val="0"/>
                      <w:sz w:val="21"/>
                      <w:szCs w:val="21"/>
                      <w:highlight w:val="none"/>
                      <w:vertAlign w:val="baseline"/>
                      <w:lang w:val="en-US" w:eastAsia="zh-CN"/>
                    </w:rPr>
                  </w:pPr>
                  <w:r>
                    <w:rPr>
                      <w:rFonts w:hint="eastAsia" w:cs="Times New Roman"/>
                      <w:b/>
                      <w:color w:val="auto"/>
                      <w:kern w:val="0"/>
                      <w:sz w:val="21"/>
                      <w:szCs w:val="21"/>
                      <w:highlight w:val="none"/>
                      <w:vertAlign w:val="baseline"/>
                      <w:lang w:val="en-US" w:eastAsia="zh-CN"/>
                    </w:rPr>
                    <w:t>项目</w:t>
                  </w:r>
                </w:p>
              </w:tc>
              <w:tc>
                <w:tcPr>
                  <w:tcW w:w="4240" w:type="dxa"/>
                  <w:tcBorders>
                    <w:tl2br w:val="nil"/>
                    <w:tr2bl w:val="nil"/>
                  </w:tcBorders>
                  <w:vAlign w:val="center"/>
                </w:tcPr>
                <w:p w14:paraId="70BD6121">
                  <w:pPr>
                    <w:numPr>
                      <w:ilvl w:val="0"/>
                      <w:numId w:val="0"/>
                    </w:numPr>
                    <w:spacing w:line="240" w:lineRule="auto"/>
                    <w:jc w:val="center"/>
                    <w:rPr>
                      <w:rFonts w:hint="default" w:cs="Times New Roman"/>
                      <w:b/>
                      <w:color w:val="auto"/>
                      <w:kern w:val="0"/>
                      <w:sz w:val="21"/>
                      <w:szCs w:val="21"/>
                      <w:highlight w:val="none"/>
                      <w:vertAlign w:val="baseline"/>
                      <w:lang w:val="en-US" w:eastAsia="zh-CN"/>
                    </w:rPr>
                  </w:pPr>
                  <w:r>
                    <w:rPr>
                      <w:rFonts w:hint="eastAsia" w:cs="Times New Roman"/>
                      <w:b/>
                      <w:color w:val="auto"/>
                      <w:kern w:val="0"/>
                      <w:sz w:val="21"/>
                      <w:szCs w:val="21"/>
                      <w:highlight w:val="none"/>
                      <w:vertAlign w:val="baseline"/>
                      <w:lang w:val="en-US" w:eastAsia="zh-CN"/>
                    </w:rPr>
                    <w:t>规模，批/年</w:t>
                  </w:r>
                </w:p>
              </w:tc>
            </w:tr>
            <w:tr w14:paraId="17044A8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3733" w:type="dxa"/>
                  <w:tcBorders>
                    <w:tl2br w:val="nil"/>
                    <w:tr2bl w:val="nil"/>
                  </w:tcBorders>
                  <w:vAlign w:val="center"/>
                </w:tcPr>
                <w:p w14:paraId="5954192C">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电池材料</w:t>
                  </w:r>
                  <w:r>
                    <w:rPr>
                      <w:rFonts w:hint="eastAsia" w:cs="Times New Roman"/>
                      <w:color w:val="auto"/>
                      <w:highlight w:val="none"/>
                      <w:lang w:val="en-US" w:eastAsia="zh-CN"/>
                    </w:rPr>
                    <w:t>研发实验</w:t>
                  </w:r>
                </w:p>
              </w:tc>
              <w:tc>
                <w:tcPr>
                  <w:tcW w:w="4240" w:type="dxa"/>
                  <w:tcBorders>
                    <w:tl2br w:val="nil"/>
                    <w:tr2bl w:val="nil"/>
                  </w:tcBorders>
                  <w:vAlign w:val="center"/>
                </w:tcPr>
                <w:p w14:paraId="372C235C">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4</w:t>
                  </w:r>
                  <w:r>
                    <w:rPr>
                      <w:rFonts w:hint="eastAsia" w:ascii="Times New Roman" w:hAnsi="Times New Roman" w:eastAsia="宋体" w:cs="Times New Roman"/>
                      <w:color w:val="auto"/>
                      <w:highlight w:val="none"/>
                      <w:lang w:val="en-US" w:eastAsia="zh-CN"/>
                    </w:rPr>
                    <w:t>0</w:t>
                  </w:r>
                </w:p>
              </w:tc>
            </w:tr>
            <w:tr w14:paraId="40FDBC0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3733" w:type="dxa"/>
                  <w:tcBorders>
                    <w:tl2br w:val="nil"/>
                    <w:tr2bl w:val="nil"/>
                  </w:tcBorders>
                  <w:vAlign w:val="center"/>
                </w:tcPr>
                <w:p w14:paraId="3AF4F776">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软包电芯</w:t>
                  </w:r>
                  <w:r>
                    <w:rPr>
                      <w:rFonts w:hint="eastAsia" w:cs="Times New Roman"/>
                      <w:color w:val="auto"/>
                      <w:highlight w:val="none"/>
                      <w:lang w:val="en-US" w:eastAsia="zh-CN"/>
                    </w:rPr>
                    <w:t>研发</w:t>
                  </w:r>
                  <w:r>
                    <w:rPr>
                      <w:rFonts w:hint="eastAsia" w:ascii="Times New Roman" w:hAnsi="Times New Roman" w:eastAsia="宋体" w:cs="Times New Roman"/>
                      <w:color w:val="auto"/>
                      <w:highlight w:val="none"/>
                      <w:lang w:val="en-US" w:eastAsia="zh-CN"/>
                    </w:rPr>
                    <w:t>实验</w:t>
                  </w:r>
                </w:p>
              </w:tc>
              <w:tc>
                <w:tcPr>
                  <w:tcW w:w="4240" w:type="dxa"/>
                  <w:tcBorders>
                    <w:tl2br w:val="nil"/>
                    <w:tr2bl w:val="nil"/>
                  </w:tcBorders>
                  <w:vAlign w:val="center"/>
                </w:tcPr>
                <w:p w14:paraId="504562B3">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textAlignment w:val="auto"/>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20</w:t>
                  </w:r>
                </w:p>
              </w:tc>
            </w:tr>
          </w:tbl>
          <w:p w14:paraId="472F3BC3">
            <w:pPr>
              <w:numPr>
                <w:ilvl w:val="0"/>
                <w:numId w:val="6"/>
              </w:numPr>
              <w:tabs>
                <w:tab w:val="left" w:pos="0"/>
              </w:tabs>
              <w:adjustRightInd w:val="0"/>
              <w:snapToGrid w:val="0"/>
              <w:spacing w:line="360" w:lineRule="auto"/>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主要</w:t>
            </w:r>
            <w:r>
              <w:rPr>
                <w:rFonts w:hint="eastAsia" w:cs="Times New Roman"/>
                <w:b/>
                <w:bCs/>
                <w:color w:val="auto"/>
                <w:sz w:val="24"/>
                <w:highlight w:val="none"/>
                <w:lang w:val="en-US" w:eastAsia="zh-CN"/>
              </w:rPr>
              <w:t>设备</w:t>
            </w:r>
          </w:p>
          <w:p w14:paraId="7A1490F6">
            <w:pPr>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本项目主要设备见下表。</w:t>
            </w:r>
          </w:p>
          <w:p w14:paraId="7AC18CB1">
            <w:pPr>
              <w:numPr>
                <w:ilvl w:val="0"/>
                <w:numId w:val="7"/>
              </w:numPr>
              <w:spacing w:line="360" w:lineRule="auto"/>
              <w:jc w:val="center"/>
              <w:rPr>
                <w:rFonts w:hint="default" w:ascii="Times New Roman" w:hAnsi="Times New Roman" w:eastAsia="宋体" w:cs="Times New Roman"/>
                <w:b/>
                <w:bCs/>
                <w:color w:val="auto"/>
                <w:sz w:val="24"/>
                <w:highlight w:val="none"/>
              </w:rPr>
            </w:pPr>
            <w:r>
              <w:rPr>
                <w:rFonts w:hint="eastAsia" w:cs="Times New Roman"/>
                <w:b/>
                <w:bCs/>
                <w:color w:val="auto"/>
                <w:sz w:val="24"/>
                <w:highlight w:val="none"/>
                <w:lang w:val="en-US" w:eastAsia="zh-CN"/>
              </w:rPr>
              <w:t>项目设备一览表</w:t>
            </w:r>
          </w:p>
          <w:tbl>
            <w:tblPr>
              <w:tblStyle w:val="24"/>
              <w:tblW w:w="4983" w:type="pct"/>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10"/>
              <w:gridCol w:w="1857"/>
              <w:gridCol w:w="1906"/>
              <w:gridCol w:w="827"/>
              <w:gridCol w:w="1400"/>
              <w:gridCol w:w="1347"/>
            </w:tblGrid>
            <w:tr w14:paraId="5A12EB68">
              <w:tblPrEx>
                <w:tblCellMar>
                  <w:top w:w="0" w:type="dxa"/>
                  <w:left w:w="108" w:type="dxa"/>
                  <w:bottom w:w="0" w:type="dxa"/>
                  <w:right w:w="108" w:type="dxa"/>
                </w:tblCellMar>
              </w:tblPrEx>
              <w:tc>
                <w:tcPr>
                  <w:tcW w:w="610" w:type="dxa"/>
                  <w:tcBorders>
                    <w:tl2br w:val="nil"/>
                    <w:tr2bl w:val="nil"/>
                  </w:tcBorders>
                  <w:vAlign w:val="center"/>
                </w:tcPr>
                <w:p w14:paraId="2D49B4E9">
                  <w:pPr>
                    <w:numPr>
                      <w:ilvl w:val="0"/>
                      <w:numId w:val="0"/>
                    </w:numPr>
                    <w:spacing w:line="240" w:lineRule="auto"/>
                    <w:jc w:val="center"/>
                    <w:rPr>
                      <w:rFonts w:hint="default" w:ascii="Times New Roman" w:hAnsi="Times New Roman" w:eastAsia="宋体" w:cs="Times New Roman"/>
                      <w:b/>
                      <w:bCs/>
                      <w:color w:val="auto"/>
                      <w:sz w:val="21"/>
                      <w:szCs w:val="21"/>
                      <w:highlight w:val="yellow"/>
                      <w:vertAlign w:val="baseline"/>
                      <w:lang w:val="en-US" w:eastAsia="zh-CN"/>
                    </w:rPr>
                  </w:pPr>
                  <w:r>
                    <w:rPr>
                      <w:rFonts w:hint="default" w:ascii="Times New Roman" w:hAnsi="Times New Roman" w:cs="Times New Roman"/>
                      <w:b/>
                      <w:bCs/>
                      <w:color w:val="auto"/>
                      <w:sz w:val="21"/>
                      <w:szCs w:val="21"/>
                      <w:highlight w:val="yellow"/>
                      <w:vertAlign w:val="baseline"/>
                      <w:lang w:val="en-US" w:eastAsia="zh-CN"/>
                    </w:rPr>
                    <w:t>序号</w:t>
                  </w:r>
                </w:p>
              </w:tc>
              <w:tc>
                <w:tcPr>
                  <w:tcW w:w="1857" w:type="dxa"/>
                  <w:tcBorders>
                    <w:tl2br w:val="nil"/>
                    <w:tr2bl w:val="nil"/>
                  </w:tcBorders>
                  <w:vAlign w:val="center"/>
                </w:tcPr>
                <w:p w14:paraId="678D13EF">
                  <w:pPr>
                    <w:numPr>
                      <w:ilvl w:val="0"/>
                      <w:numId w:val="0"/>
                    </w:numPr>
                    <w:spacing w:line="240" w:lineRule="auto"/>
                    <w:jc w:val="center"/>
                    <w:rPr>
                      <w:rFonts w:hint="default" w:ascii="Times New Roman" w:hAnsi="Times New Roman" w:eastAsia="宋体" w:cs="Times New Roman"/>
                      <w:b/>
                      <w:bCs/>
                      <w:color w:val="auto"/>
                      <w:sz w:val="21"/>
                      <w:szCs w:val="21"/>
                      <w:highlight w:val="yellow"/>
                      <w:vertAlign w:val="baseline"/>
                      <w:lang w:val="en-US" w:eastAsia="zh-CN"/>
                    </w:rPr>
                  </w:pPr>
                  <w:r>
                    <w:rPr>
                      <w:rFonts w:hint="default" w:ascii="Times New Roman" w:hAnsi="Times New Roman" w:cs="Times New Roman"/>
                      <w:b/>
                      <w:bCs/>
                      <w:color w:val="auto"/>
                      <w:sz w:val="21"/>
                      <w:szCs w:val="21"/>
                      <w:highlight w:val="yellow"/>
                      <w:vertAlign w:val="baseline"/>
                      <w:lang w:val="en-US" w:eastAsia="zh-CN"/>
                    </w:rPr>
                    <w:t>设备名称</w:t>
                  </w:r>
                </w:p>
              </w:tc>
              <w:tc>
                <w:tcPr>
                  <w:tcW w:w="1906" w:type="dxa"/>
                  <w:tcBorders>
                    <w:tl2br w:val="nil"/>
                    <w:tr2bl w:val="nil"/>
                  </w:tcBorders>
                  <w:vAlign w:val="center"/>
                </w:tcPr>
                <w:p w14:paraId="3B4CF386">
                  <w:pPr>
                    <w:numPr>
                      <w:ilvl w:val="0"/>
                      <w:numId w:val="0"/>
                    </w:numPr>
                    <w:spacing w:line="240" w:lineRule="auto"/>
                    <w:jc w:val="center"/>
                    <w:rPr>
                      <w:rFonts w:hint="default" w:ascii="Times New Roman" w:hAnsi="Times New Roman" w:eastAsia="宋体" w:cs="Times New Roman"/>
                      <w:b/>
                      <w:bCs/>
                      <w:color w:val="auto"/>
                      <w:sz w:val="21"/>
                      <w:szCs w:val="21"/>
                      <w:highlight w:val="yellow"/>
                      <w:vertAlign w:val="baseline"/>
                      <w:lang w:val="en-US" w:eastAsia="zh-CN"/>
                    </w:rPr>
                  </w:pPr>
                  <w:r>
                    <w:rPr>
                      <w:rFonts w:hint="default" w:ascii="Times New Roman" w:hAnsi="Times New Roman" w:cs="Times New Roman"/>
                      <w:b/>
                      <w:bCs/>
                      <w:color w:val="auto"/>
                      <w:sz w:val="21"/>
                      <w:szCs w:val="21"/>
                      <w:highlight w:val="yellow"/>
                      <w:vertAlign w:val="baseline"/>
                      <w:lang w:val="en-US" w:eastAsia="zh-CN"/>
                    </w:rPr>
                    <w:t>型号</w:t>
                  </w:r>
                </w:p>
              </w:tc>
              <w:tc>
                <w:tcPr>
                  <w:tcW w:w="827" w:type="dxa"/>
                  <w:tcBorders>
                    <w:tl2br w:val="nil"/>
                    <w:tr2bl w:val="nil"/>
                  </w:tcBorders>
                  <w:shd w:val="clear" w:color="auto" w:fill="auto"/>
                  <w:vAlign w:val="center"/>
                </w:tcPr>
                <w:p w14:paraId="26CA197D">
                  <w:pPr>
                    <w:numPr>
                      <w:ilvl w:val="0"/>
                      <w:numId w:val="0"/>
                    </w:numPr>
                    <w:spacing w:line="240" w:lineRule="auto"/>
                    <w:jc w:val="center"/>
                    <w:rPr>
                      <w:rFonts w:hint="default" w:ascii="Times New Roman" w:hAnsi="Times New Roman" w:eastAsia="宋体" w:cs="Times New Roman"/>
                      <w:b/>
                      <w:bCs/>
                      <w:color w:val="auto"/>
                      <w:kern w:val="2"/>
                      <w:sz w:val="21"/>
                      <w:szCs w:val="21"/>
                      <w:highlight w:val="yellow"/>
                      <w:vertAlign w:val="baseline"/>
                      <w:lang w:val="en-US" w:eastAsia="zh-CN" w:bidi="ar-SA"/>
                    </w:rPr>
                  </w:pPr>
                  <w:r>
                    <w:rPr>
                      <w:rFonts w:hint="default" w:ascii="Times New Roman" w:hAnsi="Times New Roman" w:cs="Times New Roman"/>
                      <w:b/>
                      <w:bCs/>
                      <w:color w:val="auto"/>
                      <w:sz w:val="21"/>
                      <w:szCs w:val="21"/>
                      <w:highlight w:val="yellow"/>
                      <w:vertAlign w:val="baseline"/>
                      <w:lang w:val="en-US" w:eastAsia="zh-CN"/>
                    </w:rPr>
                    <w:t>数量（台）</w:t>
                  </w:r>
                </w:p>
              </w:tc>
              <w:tc>
                <w:tcPr>
                  <w:tcW w:w="1400" w:type="dxa"/>
                  <w:tcBorders>
                    <w:tl2br w:val="nil"/>
                    <w:tr2bl w:val="nil"/>
                  </w:tcBorders>
                  <w:shd w:val="clear" w:color="auto" w:fill="auto"/>
                  <w:vAlign w:val="center"/>
                </w:tcPr>
                <w:p w14:paraId="6DECFFD5">
                  <w:pPr>
                    <w:numPr>
                      <w:ilvl w:val="0"/>
                      <w:numId w:val="0"/>
                    </w:numPr>
                    <w:spacing w:line="240" w:lineRule="auto"/>
                    <w:jc w:val="center"/>
                    <w:rPr>
                      <w:rFonts w:hint="default" w:ascii="Times New Roman" w:hAnsi="Times New Roman" w:cs="Times New Roman"/>
                      <w:b/>
                      <w:bCs/>
                      <w:color w:val="auto"/>
                      <w:sz w:val="21"/>
                      <w:szCs w:val="21"/>
                      <w:highlight w:val="yellow"/>
                      <w:vertAlign w:val="baseline"/>
                      <w:lang w:val="en-US" w:eastAsia="zh-CN"/>
                    </w:rPr>
                  </w:pPr>
                  <w:r>
                    <w:rPr>
                      <w:rFonts w:hint="default" w:ascii="Times New Roman" w:hAnsi="Times New Roman" w:cs="Times New Roman"/>
                      <w:b/>
                      <w:bCs/>
                      <w:color w:val="auto"/>
                      <w:sz w:val="21"/>
                      <w:szCs w:val="21"/>
                      <w:highlight w:val="yellow"/>
                      <w:vertAlign w:val="baseline"/>
                      <w:lang w:val="en-US" w:eastAsia="zh-CN"/>
                    </w:rPr>
                    <w:t>用途</w:t>
                  </w:r>
                </w:p>
              </w:tc>
              <w:tc>
                <w:tcPr>
                  <w:tcW w:w="1347" w:type="dxa"/>
                  <w:tcBorders>
                    <w:tl2br w:val="nil"/>
                    <w:tr2bl w:val="nil"/>
                  </w:tcBorders>
                  <w:shd w:val="clear" w:color="auto" w:fill="auto"/>
                  <w:vAlign w:val="center"/>
                </w:tcPr>
                <w:p w14:paraId="750A77BE">
                  <w:pPr>
                    <w:numPr>
                      <w:ilvl w:val="0"/>
                      <w:numId w:val="0"/>
                    </w:numPr>
                    <w:spacing w:line="240" w:lineRule="auto"/>
                    <w:jc w:val="center"/>
                    <w:rPr>
                      <w:rFonts w:hint="default" w:ascii="Times New Roman" w:hAnsi="Times New Roman" w:cs="Times New Roman"/>
                      <w:b/>
                      <w:bCs/>
                      <w:color w:val="auto"/>
                      <w:sz w:val="21"/>
                      <w:szCs w:val="21"/>
                      <w:highlight w:val="yellow"/>
                      <w:vertAlign w:val="baseline"/>
                      <w:lang w:val="en-US" w:eastAsia="zh-CN"/>
                    </w:rPr>
                  </w:pPr>
                  <w:r>
                    <w:rPr>
                      <w:rFonts w:hint="default" w:ascii="Times New Roman" w:hAnsi="Times New Roman" w:cs="Times New Roman"/>
                      <w:b/>
                      <w:bCs/>
                      <w:color w:val="auto"/>
                      <w:sz w:val="21"/>
                      <w:szCs w:val="21"/>
                      <w:highlight w:val="yellow"/>
                      <w:vertAlign w:val="baseline"/>
                      <w:lang w:val="en-US" w:eastAsia="zh-CN"/>
                    </w:rPr>
                    <w:t>使用</w:t>
                  </w:r>
                </w:p>
                <w:p w14:paraId="0CF46B47">
                  <w:pPr>
                    <w:numPr>
                      <w:ilvl w:val="0"/>
                      <w:numId w:val="0"/>
                    </w:numPr>
                    <w:spacing w:line="240" w:lineRule="auto"/>
                    <w:jc w:val="center"/>
                    <w:rPr>
                      <w:rFonts w:hint="default" w:ascii="Times New Roman" w:hAnsi="Times New Roman" w:cs="Times New Roman"/>
                      <w:b/>
                      <w:bCs/>
                      <w:color w:val="auto"/>
                      <w:sz w:val="21"/>
                      <w:szCs w:val="21"/>
                      <w:highlight w:val="yellow"/>
                      <w:vertAlign w:val="baseline"/>
                      <w:lang w:val="en-US" w:eastAsia="zh-CN"/>
                    </w:rPr>
                  </w:pPr>
                  <w:r>
                    <w:rPr>
                      <w:rFonts w:hint="default" w:ascii="Times New Roman" w:hAnsi="Times New Roman" w:cs="Times New Roman"/>
                      <w:b/>
                      <w:bCs/>
                      <w:color w:val="auto"/>
                      <w:sz w:val="21"/>
                      <w:szCs w:val="21"/>
                      <w:highlight w:val="yellow"/>
                      <w:vertAlign w:val="baseline"/>
                      <w:lang w:val="en-US" w:eastAsia="zh-CN"/>
                    </w:rPr>
                    <w:t>位置</w:t>
                  </w:r>
                </w:p>
              </w:tc>
            </w:tr>
            <w:tr w14:paraId="28A3C19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119C1359">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33AB1FCD">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管式炉</w:t>
                  </w:r>
                </w:p>
              </w:tc>
              <w:tc>
                <w:tcPr>
                  <w:tcW w:w="1906" w:type="dxa"/>
                  <w:tcBorders>
                    <w:tl2br w:val="nil"/>
                    <w:tr2bl w:val="nil"/>
                  </w:tcBorders>
                  <w:shd w:val="clear" w:color="auto" w:fill="auto"/>
                  <w:vAlign w:val="center"/>
                </w:tcPr>
                <w:p w14:paraId="09AE7F3D">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color w:val="auto"/>
                      <w:kern w:val="0"/>
                      <w:sz w:val="21"/>
                      <w:szCs w:val="21"/>
                      <w:highlight w:val="yellow"/>
                      <w:lang w:val="en-US" w:eastAsia="zh-CN" w:bidi="ar-SA"/>
                    </w:rPr>
                    <w:t>OTF-1200X φ60（含真空泵VRD-8）</w:t>
                  </w:r>
                </w:p>
              </w:tc>
              <w:tc>
                <w:tcPr>
                  <w:tcW w:w="827" w:type="dxa"/>
                  <w:tcBorders>
                    <w:tl2br w:val="nil"/>
                    <w:tr2bl w:val="nil"/>
                  </w:tcBorders>
                  <w:vAlign w:val="center"/>
                </w:tcPr>
                <w:p w14:paraId="3886C1E0">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color w:val="auto"/>
                      <w:kern w:val="0"/>
                      <w:sz w:val="21"/>
                      <w:szCs w:val="21"/>
                      <w:highlight w:val="yellow"/>
                      <w:lang w:val="en-US" w:eastAsia="zh-CN" w:bidi="ar-SA"/>
                    </w:rPr>
                    <w:t>1</w:t>
                  </w:r>
                </w:p>
              </w:tc>
              <w:tc>
                <w:tcPr>
                  <w:tcW w:w="1400" w:type="dxa"/>
                  <w:tcBorders>
                    <w:tl2br w:val="nil"/>
                    <w:tr2bl w:val="nil"/>
                  </w:tcBorders>
                  <w:vAlign w:val="center"/>
                </w:tcPr>
                <w:p w14:paraId="0ADE9843">
                  <w:pPr>
                    <w:keepNext w:val="0"/>
                    <w:keepLines w:val="0"/>
                    <w:widowControl/>
                    <w:suppressLineNumbers w:val="0"/>
                    <w:jc w:val="center"/>
                    <w:textAlignment w:val="center"/>
                    <w:rPr>
                      <w:rFonts w:hint="default" w:ascii="Times New Roman" w:hAnsi="Times New Roman" w:cs="Times New Roman"/>
                      <w:b w:val="0"/>
                      <w:bCs w:val="0"/>
                      <w:color w:val="auto"/>
                      <w:sz w:val="21"/>
                      <w:szCs w:val="21"/>
                      <w:highlight w:val="yellow"/>
                      <w:vertAlign w:val="baseline"/>
                      <w:lang w:val="en-US" w:eastAsia="zh-CN"/>
                    </w:rPr>
                  </w:pPr>
                  <w:r>
                    <w:rPr>
                      <w:rFonts w:hint="default" w:ascii="Times New Roman" w:hAnsi="Times New Roman" w:cs="Times New Roman"/>
                      <w:b w:val="0"/>
                      <w:bCs w:val="0"/>
                      <w:color w:val="auto"/>
                      <w:sz w:val="21"/>
                      <w:szCs w:val="21"/>
                      <w:highlight w:val="yellow"/>
                      <w:vertAlign w:val="baseline"/>
                      <w:lang w:val="en-US" w:eastAsia="zh-CN"/>
                    </w:rPr>
                    <w:t>材料烧结</w:t>
                  </w:r>
                </w:p>
              </w:tc>
              <w:tc>
                <w:tcPr>
                  <w:tcW w:w="1347" w:type="dxa"/>
                  <w:tcBorders>
                    <w:tl2br w:val="nil"/>
                    <w:tr2bl w:val="nil"/>
                  </w:tcBorders>
                  <w:vAlign w:val="center"/>
                </w:tcPr>
                <w:p w14:paraId="32CE3867">
                  <w:pPr>
                    <w:keepNext w:val="0"/>
                    <w:keepLines w:val="0"/>
                    <w:widowControl/>
                    <w:suppressLineNumbers w:val="0"/>
                    <w:jc w:val="center"/>
                    <w:textAlignment w:val="center"/>
                    <w:rPr>
                      <w:rFonts w:hint="default" w:ascii="Times New Roman" w:hAnsi="Times New Roman" w:cs="Times New Roman"/>
                      <w:b w:val="0"/>
                      <w:bCs w:val="0"/>
                      <w:color w:val="auto"/>
                      <w:sz w:val="21"/>
                      <w:szCs w:val="21"/>
                      <w:highlight w:val="yellow"/>
                      <w:vertAlign w:val="baseline"/>
                      <w:lang w:val="en-US" w:eastAsia="zh-CN"/>
                    </w:rPr>
                  </w:pPr>
                  <w:r>
                    <w:rPr>
                      <w:rFonts w:hint="default" w:ascii="Times New Roman" w:hAnsi="Times New Roman" w:cs="Times New Roman"/>
                      <w:b w:val="0"/>
                      <w:bCs w:val="0"/>
                      <w:color w:val="auto"/>
                      <w:sz w:val="21"/>
                      <w:szCs w:val="21"/>
                      <w:highlight w:val="yellow"/>
                      <w:vertAlign w:val="baseline"/>
                      <w:lang w:val="en-US" w:eastAsia="zh-CN"/>
                    </w:rPr>
                    <w:t>烧结间</w:t>
                  </w:r>
                </w:p>
              </w:tc>
            </w:tr>
            <w:tr w14:paraId="09B4B94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10" w:type="dxa"/>
                  <w:tcBorders>
                    <w:tl2br w:val="nil"/>
                    <w:tr2bl w:val="nil"/>
                  </w:tcBorders>
                  <w:vAlign w:val="center"/>
                </w:tcPr>
                <w:p w14:paraId="5BDD0FA0">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2E2DCCF2">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rPr>
                  </w:pPr>
                  <w:r>
                    <w:rPr>
                      <w:rFonts w:hint="default" w:ascii="Times New Roman" w:hAnsi="Times New Roman" w:eastAsia="宋体" w:cs="Times New Roman"/>
                      <w:i w:val="0"/>
                      <w:iCs w:val="0"/>
                      <w:color w:val="000000"/>
                      <w:kern w:val="0"/>
                      <w:sz w:val="21"/>
                      <w:szCs w:val="21"/>
                      <w:highlight w:val="yellow"/>
                      <w:u w:val="none"/>
                      <w:lang w:val="en-US" w:eastAsia="zh-CN" w:bidi="ar"/>
                    </w:rPr>
                    <w:t>管式炉</w:t>
                  </w:r>
                </w:p>
              </w:tc>
              <w:tc>
                <w:tcPr>
                  <w:tcW w:w="1906" w:type="dxa"/>
                  <w:tcBorders>
                    <w:tl2br w:val="nil"/>
                    <w:tr2bl w:val="nil"/>
                  </w:tcBorders>
                  <w:shd w:val="clear" w:color="auto" w:fill="auto"/>
                  <w:vAlign w:val="center"/>
                </w:tcPr>
                <w:p w14:paraId="3C9087F9">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color w:val="auto"/>
                      <w:kern w:val="0"/>
                      <w:sz w:val="21"/>
                      <w:szCs w:val="21"/>
                      <w:highlight w:val="yellow"/>
                      <w:lang w:val="en-US" w:eastAsia="zh-CN" w:bidi="ar-SA"/>
                    </w:rPr>
                    <w:t>GSL-1700X φ60（含真空泵VRD-8）</w:t>
                  </w:r>
                </w:p>
              </w:tc>
              <w:tc>
                <w:tcPr>
                  <w:tcW w:w="827" w:type="dxa"/>
                  <w:tcBorders>
                    <w:tl2br w:val="nil"/>
                    <w:tr2bl w:val="nil"/>
                  </w:tcBorders>
                  <w:vAlign w:val="center"/>
                </w:tcPr>
                <w:p w14:paraId="4C65AAE6">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color w:val="auto"/>
                      <w:kern w:val="0"/>
                      <w:sz w:val="21"/>
                      <w:szCs w:val="21"/>
                      <w:highlight w:val="yellow"/>
                      <w:lang w:val="en-US" w:eastAsia="zh-CN" w:bidi="ar-SA"/>
                    </w:rPr>
                    <w:t>1</w:t>
                  </w:r>
                </w:p>
              </w:tc>
              <w:tc>
                <w:tcPr>
                  <w:tcW w:w="1400" w:type="dxa"/>
                  <w:tcBorders>
                    <w:tl2br w:val="nil"/>
                    <w:tr2bl w:val="nil"/>
                  </w:tcBorders>
                  <w:vAlign w:val="center"/>
                </w:tcPr>
                <w:p w14:paraId="379A0573">
                  <w:pPr>
                    <w:keepNext w:val="0"/>
                    <w:keepLines w:val="0"/>
                    <w:widowControl/>
                    <w:suppressLineNumbers w:val="0"/>
                    <w:jc w:val="center"/>
                    <w:textAlignment w:val="center"/>
                    <w:rPr>
                      <w:rFonts w:hint="default" w:ascii="Times New Roman" w:hAnsi="Times New Roman" w:cs="Times New Roman"/>
                      <w:b w:val="0"/>
                      <w:bCs w:val="0"/>
                      <w:color w:val="auto"/>
                      <w:sz w:val="21"/>
                      <w:szCs w:val="21"/>
                      <w:highlight w:val="yellow"/>
                      <w:vertAlign w:val="baseline"/>
                      <w:lang w:val="en-US" w:eastAsia="zh-CN"/>
                    </w:rPr>
                  </w:pPr>
                  <w:r>
                    <w:rPr>
                      <w:rFonts w:hint="default" w:ascii="Times New Roman" w:hAnsi="Times New Roman" w:cs="Times New Roman"/>
                      <w:b w:val="0"/>
                      <w:bCs w:val="0"/>
                      <w:color w:val="auto"/>
                      <w:sz w:val="21"/>
                      <w:szCs w:val="21"/>
                      <w:highlight w:val="yellow"/>
                      <w:vertAlign w:val="baseline"/>
                      <w:lang w:val="en-US" w:eastAsia="zh-CN"/>
                    </w:rPr>
                    <w:t>材料烧结</w:t>
                  </w:r>
                </w:p>
              </w:tc>
              <w:tc>
                <w:tcPr>
                  <w:tcW w:w="1347" w:type="dxa"/>
                  <w:tcBorders>
                    <w:tl2br w:val="nil"/>
                    <w:tr2bl w:val="nil"/>
                  </w:tcBorders>
                  <w:vAlign w:val="center"/>
                </w:tcPr>
                <w:p w14:paraId="1027E3FA">
                  <w:pPr>
                    <w:keepNext w:val="0"/>
                    <w:keepLines w:val="0"/>
                    <w:widowControl/>
                    <w:suppressLineNumbers w:val="0"/>
                    <w:jc w:val="center"/>
                    <w:textAlignment w:val="center"/>
                    <w:rPr>
                      <w:rFonts w:hint="default" w:ascii="Times New Roman" w:hAnsi="Times New Roman" w:cs="Times New Roman"/>
                      <w:b w:val="0"/>
                      <w:bCs w:val="0"/>
                      <w:color w:val="auto"/>
                      <w:sz w:val="21"/>
                      <w:szCs w:val="21"/>
                      <w:highlight w:val="yellow"/>
                      <w:vertAlign w:val="baseline"/>
                      <w:lang w:val="en-US" w:eastAsia="zh-CN"/>
                    </w:rPr>
                  </w:pPr>
                  <w:r>
                    <w:rPr>
                      <w:rFonts w:hint="default" w:ascii="Times New Roman" w:hAnsi="Times New Roman" w:cs="Times New Roman"/>
                      <w:b w:val="0"/>
                      <w:bCs w:val="0"/>
                      <w:color w:val="auto"/>
                      <w:sz w:val="21"/>
                      <w:szCs w:val="21"/>
                      <w:highlight w:val="yellow"/>
                      <w:vertAlign w:val="baseline"/>
                      <w:lang w:val="en-US" w:eastAsia="zh-CN"/>
                    </w:rPr>
                    <w:t>烧结间</w:t>
                  </w:r>
                </w:p>
              </w:tc>
            </w:tr>
            <w:tr w14:paraId="1144C0D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10" w:type="dxa"/>
                  <w:tcBorders>
                    <w:tl2br w:val="nil"/>
                    <w:tr2bl w:val="nil"/>
                  </w:tcBorders>
                  <w:vAlign w:val="center"/>
                </w:tcPr>
                <w:p w14:paraId="556D4708">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03AF2706">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rPr>
                  </w:pPr>
                  <w:r>
                    <w:rPr>
                      <w:rFonts w:hint="default" w:ascii="Times New Roman" w:hAnsi="Times New Roman" w:eastAsia="宋体" w:cs="Times New Roman"/>
                      <w:i w:val="0"/>
                      <w:iCs w:val="0"/>
                      <w:color w:val="000000"/>
                      <w:kern w:val="0"/>
                      <w:sz w:val="21"/>
                      <w:szCs w:val="21"/>
                      <w:highlight w:val="yellow"/>
                      <w:u w:val="none"/>
                      <w:lang w:val="en-US" w:eastAsia="zh-CN" w:bidi="ar"/>
                    </w:rPr>
                    <w:t>箱式炉</w:t>
                  </w:r>
                </w:p>
              </w:tc>
              <w:tc>
                <w:tcPr>
                  <w:tcW w:w="1906" w:type="dxa"/>
                  <w:tcBorders>
                    <w:tl2br w:val="nil"/>
                    <w:tr2bl w:val="nil"/>
                  </w:tcBorders>
                  <w:shd w:val="clear" w:color="auto" w:fill="auto"/>
                  <w:vAlign w:val="center"/>
                </w:tcPr>
                <w:p w14:paraId="2E05BAA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color w:val="auto"/>
                      <w:kern w:val="0"/>
                      <w:sz w:val="21"/>
                      <w:szCs w:val="21"/>
                      <w:highlight w:val="yellow"/>
                      <w:lang w:val="en-US" w:eastAsia="zh-CN" w:bidi="ar-SA"/>
                    </w:rPr>
                    <w:t>KSL-1400X-A1</w:t>
                  </w:r>
                </w:p>
              </w:tc>
              <w:tc>
                <w:tcPr>
                  <w:tcW w:w="827" w:type="dxa"/>
                  <w:tcBorders>
                    <w:tl2br w:val="nil"/>
                    <w:tr2bl w:val="nil"/>
                  </w:tcBorders>
                  <w:vAlign w:val="center"/>
                </w:tcPr>
                <w:p w14:paraId="2EE4C094">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color w:val="auto"/>
                      <w:kern w:val="0"/>
                      <w:sz w:val="21"/>
                      <w:szCs w:val="21"/>
                      <w:highlight w:val="yellow"/>
                      <w:lang w:val="en-US" w:eastAsia="zh-CN" w:bidi="ar-SA"/>
                    </w:rPr>
                    <w:t>1</w:t>
                  </w:r>
                </w:p>
              </w:tc>
              <w:tc>
                <w:tcPr>
                  <w:tcW w:w="1400" w:type="dxa"/>
                  <w:tcBorders>
                    <w:tl2br w:val="nil"/>
                    <w:tr2bl w:val="nil"/>
                  </w:tcBorders>
                  <w:shd w:val="clear" w:color="auto" w:fill="auto"/>
                  <w:vAlign w:val="center"/>
                </w:tcPr>
                <w:p w14:paraId="080FB16E">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yellow"/>
                      <w:vertAlign w:val="baseline"/>
                      <w:lang w:val="en-US" w:eastAsia="zh-CN" w:bidi="ar-SA"/>
                    </w:rPr>
                  </w:pPr>
                  <w:r>
                    <w:rPr>
                      <w:rFonts w:hint="default" w:ascii="Times New Roman" w:hAnsi="Times New Roman" w:cs="Times New Roman"/>
                      <w:b w:val="0"/>
                      <w:bCs w:val="0"/>
                      <w:color w:val="auto"/>
                      <w:sz w:val="21"/>
                      <w:szCs w:val="21"/>
                      <w:highlight w:val="yellow"/>
                      <w:vertAlign w:val="baseline"/>
                      <w:lang w:val="en-US" w:eastAsia="zh-CN"/>
                    </w:rPr>
                    <w:t>材料烧结</w:t>
                  </w:r>
                </w:p>
              </w:tc>
              <w:tc>
                <w:tcPr>
                  <w:tcW w:w="1347" w:type="dxa"/>
                  <w:tcBorders>
                    <w:tl2br w:val="nil"/>
                    <w:tr2bl w:val="nil"/>
                  </w:tcBorders>
                  <w:shd w:val="clear" w:color="auto" w:fill="auto"/>
                  <w:vAlign w:val="center"/>
                </w:tcPr>
                <w:p w14:paraId="4B8F2D3D">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yellow"/>
                      <w:vertAlign w:val="baseline"/>
                      <w:lang w:val="en-US" w:eastAsia="zh-CN" w:bidi="ar-SA"/>
                    </w:rPr>
                  </w:pPr>
                  <w:r>
                    <w:rPr>
                      <w:rFonts w:hint="default" w:ascii="Times New Roman" w:hAnsi="Times New Roman" w:cs="Times New Roman"/>
                      <w:b w:val="0"/>
                      <w:bCs w:val="0"/>
                      <w:color w:val="auto"/>
                      <w:sz w:val="21"/>
                      <w:szCs w:val="21"/>
                      <w:highlight w:val="yellow"/>
                      <w:vertAlign w:val="baseline"/>
                      <w:lang w:val="en-US" w:eastAsia="zh-CN"/>
                    </w:rPr>
                    <w:t>烧结间</w:t>
                  </w:r>
                </w:p>
              </w:tc>
            </w:tr>
            <w:tr w14:paraId="1EFDC3F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5671FDA5">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76AFD236">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color w:val="auto"/>
                      <w:kern w:val="0"/>
                      <w:sz w:val="21"/>
                      <w:szCs w:val="21"/>
                      <w:highlight w:val="yellow"/>
                      <w:lang w:val="en-US" w:eastAsia="zh-CN" w:bidi="ar-SA"/>
                    </w:rPr>
                    <w:t>管式气氛炉</w:t>
                  </w:r>
                </w:p>
              </w:tc>
              <w:tc>
                <w:tcPr>
                  <w:tcW w:w="1906" w:type="dxa"/>
                  <w:tcBorders>
                    <w:tl2br w:val="nil"/>
                    <w:tr2bl w:val="nil"/>
                  </w:tcBorders>
                  <w:shd w:val="clear" w:color="auto" w:fill="auto"/>
                  <w:vAlign w:val="center"/>
                </w:tcPr>
                <w:p w14:paraId="43E250DD">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color w:val="auto"/>
                      <w:kern w:val="0"/>
                      <w:sz w:val="21"/>
                      <w:szCs w:val="21"/>
                      <w:highlight w:val="yellow"/>
                      <w:lang w:val="en-US" w:eastAsia="zh-CN" w:bidi="ar-SA"/>
                    </w:rPr>
                    <w:t>LC-SK6-35-12TP</w:t>
                  </w:r>
                </w:p>
              </w:tc>
              <w:tc>
                <w:tcPr>
                  <w:tcW w:w="827" w:type="dxa"/>
                  <w:tcBorders>
                    <w:tl2br w:val="nil"/>
                    <w:tr2bl w:val="nil"/>
                  </w:tcBorders>
                  <w:shd w:val="clear" w:color="auto" w:fill="auto"/>
                  <w:vAlign w:val="center"/>
                </w:tcPr>
                <w:p w14:paraId="105277C4">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cs="Times New Roman"/>
                      <w:color w:val="auto"/>
                      <w:kern w:val="0"/>
                      <w:sz w:val="21"/>
                      <w:szCs w:val="21"/>
                      <w:highlight w:val="yellow"/>
                      <w:lang w:val="en-US" w:eastAsia="zh-CN" w:bidi="ar-SA"/>
                    </w:rPr>
                    <w:t>2</w:t>
                  </w:r>
                </w:p>
              </w:tc>
              <w:tc>
                <w:tcPr>
                  <w:tcW w:w="1400" w:type="dxa"/>
                  <w:tcBorders>
                    <w:tl2br w:val="nil"/>
                    <w:tr2bl w:val="nil"/>
                  </w:tcBorders>
                  <w:shd w:val="clear" w:color="auto" w:fill="auto"/>
                  <w:vAlign w:val="center"/>
                </w:tcPr>
                <w:p w14:paraId="0205C0A1">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yellow"/>
                      <w:vertAlign w:val="baseline"/>
                      <w:lang w:val="en-US" w:eastAsia="zh-CN" w:bidi="ar-SA"/>
                    </w:rPr>
                  </w:pPr>
                  <w:r>
                    <w:rPr>
                      <w:rFonts w:hint="default" w:ascii="Times New Roman" w:hAnsi="Times New Roman" w:cs="Times New Roman"/>
                      <w:b w:val="0"/>
                      <w:bCs w:val="0"/>
                      <w:color w:val="auto"/>
                      <w:sz w:val="21"/>
                      <w:szCs w:val="21"/>
                      <w:highlight w:val="yellow"/>
                      <w:vertAlign w:val="baseline"/>
                      <w:lang w:val="en-US" w:eastAsia="zh-CN"/>
                    </w:rPr>
                    <w:t>材料烧结</w:t>
                  </w:r>
                </w:p>
              </w:tc>
              <w:tc>
                <w:tcPr>
                  <w:tcW w:w="1347" w:type="dxa"/>
                  <w:tcBorders>
                    <w:tl2br w:val="nil"/>
                    <w:tr2bl w:val="nil"/>
                  </w:tcBorders>
                  <w:shd w:val="clear" w:color="auto" w:fill="auto"/>
                  <w:vAlign w:val="center"/>
                </w:tcPr>
                <w:p w14:paraId="6B1A7FF4">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yellow"/>
                      <w:vertAlign w:val="baseline"/>
                      <w:lang w:val="en-US" w:eastAsia="zh-CN" w:bidi="ar-SA"/>
                    </w:rPr>
                  </w:pPr>
                  <w:r>
                    <w:rPr>
                      <w:rFonts w:hint="default" w:ascii="Times New Roman" w:hAnsi="Times New Roman" w:cs="Times New Roman"/>
                      <w:b w:val="0"/>
                      <w:bCs w:val="0"/>
                      <w:color w:val="auto"/>
                      <w:sz w:val="21"/>
                      <w:szCs w:val="21"/>
                      <w:highlight w:val="yellow"/>
                      <w:vertAlign w:val="baseline"/>
                      <w:lang w:val="en-US" w:eastAsia="zh-CN"/>
                    </w:rPr>
                    <w:t>烧结间</w:t>
                  </w:r>
                </w:p>
              </w:tc>
            </w:tr>
            <w:tr w14:paraId="53D458C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25FD6147">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0F269927">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rPr>
                  </w:pPr>
                  <w:r>
                    <w:rPr>
                      <w:rFonts w:hint="default" w:ascii="Times New Roman" w:hAnsi="Times New Roman" w:eastAsia="宋体" w:cs="Times New Roman"/>
                      <w:color w:val="auto"/>
                      <w:kern w:val="0"/>
                      <w:sz w:val="21"/>
                      <w:szCs w:val="21"/>
                      <w:highlight w:val="yellow"/>
                      <w:lang w:val="en-US" w:eastAsia="zh-CN"/>
                    </w:rPr>
                    <w:t>气流粉碎机</w:t>
                  </w:r>
                </w:p>
              </w:tc>
              <w:tc>
                <w:tcPr>
                  <w:tcW w:w="1906" w:type="dxa"/>
                  <w:tcBorders>
                    <w:tl2br w:val="nil"/>
                    <w:tr2bl w:val="nil"/>
                  </w:tcBorders>
                  <w:shd w:val="clear" w:color="auto" w:fill="auto"/>
                  <w:vAlign w:val="center"/>
                </w:tcPr>
                <w:p w14:paraId="3826512F">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color w:val="auto"/>
                      <w:kern w:val="0"/>
                      <w:sz w:val="21"/>
                      <w:szCs w:val="21"/>
                      <w:highlight w:val="yellow"/>
                      <w:lang w:val="en-US" w:eastAsia="zh-CN" w:bidi="ar-SA"/>
                    </w:rPr>
                    <w:t>MSK-SFM-AF50</w:t>
                  </w:r>
                </w:p>
              </w:tc>
              <w:tc>
                <w:tcPr>
                  <w:tcW w:w="827" w:type="dxa"/>
                  <w:tcBorders>
                    <w:tl2br w:val="nil"/>
                    <w:tr2bl w:val="nil"/>
                  </w:tcBorders>
                  <w:shd w:val="clear" w:color="auto" w:fill="auto"/>
                  <w:vAlign w:val="center"/>
                </w:tcPr>
                <w:p w14:paraId="1A11888F">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cs="Times New Roman"/>
                      <w:color w:val="auto"/>
                      <w:kern w:val="0"/>
                      <w:sz w:val="21"/>
                      <w:szCs w:val="21"/>
                      <w:highlight w:val="yellow"/>
                      <w:lang w:val="en-US" w:eastAsia="zh-CN" w:bidi="ar-SA"/>
                    </w:rPr>
                    <w:t>1</w:t>
                  </w:r>
                </w:p>
              </w:tc>
              <w:tc>
                <w:tcPr>
                  <w:tcW w:w="1400" w:type="dxa"/>
                  <w:tcBorders>
                    <w:tl2br w:val="nil"/>
                    <w:tr2bl w:val="nil"/>
                  </w:tcBorders>
                  <w:shd w:val="clear" w:color="auto" w:fill="auto"/>
                  <w:vAlign w:val="center"/>
                </w:tcPr>
                <w:p w14:paraId="14F46137">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材料粉碎</w:t>
                  </w:r>
                </w:p>
              </w:tc>
              <w:tc>
                <w:tcPr>
                  <w:tcW w:w="1347" w:type="dxa"/>
                  <w:tcBorders>
                    <w:tl2br w:val="nil"/>
                    <w:tr2bl w:val="nil"/>
                  </w:tcBorders>
                  <w:shd w:val="clear" w:color="auto" w:fill="auto"/>
                  <w:vAlign w:val="center"/>
                </w:tcPr>
                <w:p w14:paraId="0E053F08">
                  <w:pPr>
                    <w:keepNext w:val="0"/>
                    <w:keepLines w:val="0"/>
                    <w:widowControl/>
                    <w:suppressLineNumbers w:val="0"/>
                    <w:jc w:val="center"/>
                    <w:textAlignment w:val="center"/>
                    <w:rPr>
                      <w:rFonts w:hint="default" w:ascii="Times New Roman" w:hAnsi="Times New Roman" w:eastAsia="宋体"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烧结间</w:t>
                  </w:r>
                </w:p>
              </w:tc>
            </w:tr>
            <w:tr w14:paraId="035E0D7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7856FCE1">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1A8B4968">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电子天平</w:t>
                  </w:r>
                </w:p>
              </w:tc>
              <w:tc>
                <w:tcPr>
                  <w:tcW w:w="1906" w:type="dxa"/>
                  <w:tcBorders>
                    <w:tl2br w:val="nil"/>
                    <w:tr2bl w:val="nil"/>
                  </w:tcBorders>
                  <w:shd w:val="clear" w:color="auto" w:fill="auto"/>
                  <w:vAlign w:val="center"/>
                </w:tcPr>
                <w:p w14:paraId="6AC72F64">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color w:val="auto"/>
                      <w:kern w:val="0"/>
                      <w:sz w:val="21"/>
                      <w:szCs w:val="21"/>
                      <w:highlight w:val="yellow"/>
                      <w:lang w:val="en-US" w:eastAsia="zh-CN" w:bidi="ar-SA"/>
                    </w:rPr>
                    <w:t>BSA224S-CW</w:t>
                  </w:r>
                </w:p>
              </w:tc>
              <w:tc>
                <w:tcPr>
                  <w:tcW w:w="827" w:type="dxa"/>
                  <w:tcBorders>
                    <w:tl2br w:val="nil"/>
                    <w:tr2bl w:val="nil"/>
                  </w:tcBorders>
                  <w:shd w:val="clear" w:color="auto" w:fill="auto"/>
                  <w:vAlign w:val="center"/>
                </w:tcPr>
                <w:p w14:paraId="1EE5F349">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cs="Times New Roman"/>
                      <w:color w:val="auto"/>
                      <w:kern w:val="0"/>
                      <w:sz w:val="21"/>
                      <w:szCs w:val="21"/>
                      <w:highlight w:val="yellow"/>
                      <w:lang w:val="en-US" w:eastAsia="zh-CN" w:bidi="ar-SA"/>
                    </w:rPr>
                    <w:t>2</w:t>
                  </w:r>
                </w:p>
              </w:tc>
              <w:tc>
                <w:tcPr>
                  <w:tcW w:w="1400" w:type="dxa"/>
                  <w:tcBorders>
                    <w:tl2br w:val="nil"/>
                    <w:tr2bl w:val="nil"/>
                  </w:tcBorders>
                  <w:shd w:val="clear" w:color="auto" w:fill="auto"/>
                  <w:vAlign w:val="center"/>
                </w:tcPr>
                <w:p w14:paraId="513DB8AE">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称量</w:t>
                  </w:r>
                </w:p>
              </w:tc>
              <w:tc>
                <w:tcPr>
                  <w:tcW w:w="1347" w:type="dxa"/>
                  <w:tcBorders>
                    <w:tl2br w:val="nil"/>
                    <w:tr2bl w:val="nil"/>
                  </w:tcBorders>
                  <w:shd w:val="clear" w:color="auto" w:fill="auto"/>
                  <w:vAlign w:val="center"/>
                </w:tcPr>
                <w:p w14:paraId="075116DF">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配料间</w:t>
                  </w:r>
                </w:p>
              </w:tc>
            </w:tr>
            <w:tr w14:paraId="257248F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4BB9E66E">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6B16396E">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rPr>
                  </w:pPr>
                  <w:r>
                    <w:rPr>
                      <w:rFonts w:hint="default" w:ascii="Times New Roman" w:hAnsi="Times New Roman" w:eastAsia="宋体" w:cs="Times New Roman"/>
                      <w:i w:val="0"/>
                      <w:iCs w:val="0"/>
                      <w:color w:val="000000"/>
                      <w:kern w:val="0"/>
                      <w:sz w:val="21"/>
                      <w:szCs w:val="21"/>
                      <w:highlight w:val="yellow"/>
                      <w:u w:val="none"/>
                      <w:lang w:val="en-US" w:eastAsia="zh-CN" w:bidi="ar"/>
                    </w:rPr>
                    <w:t>加热型磁力搅拌器</w:t>
                  </w:r>
                </w:p>
              </w:tc>
              <w:tc>
                <w:tcPr>
                  <w:tcW w:w="1906" w:type="dxa"/>
                  <w:tcBorders>
                    <w:tl2br w:val="nil"/>
                    <w:tr2bl w:val="nil"/>
                  </w:tcBorders>
                  <w:shd w:val="clear" w:color="auto" w:fill="auto"/>
                  <w:vAlign w:val="center"/>
                </w:tcPr>
                <w:p w14:paraId="45D53AB6">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color w:val="auto"/>
                      <w:kern w:val="0"/>
                      <w:sz w:val="21"/>
                      <w:szCs w:val="21"/>
                      <w:highlight w:val="yellow"/>
                      <w:lang w:val="en-US" w:eastAsia="zh-CN" w:bidi="ar-SA"/>
                    </w:rPr>
                    <w:t>SP-H550-PRO</w:t>
                  </w:r>
                </w:p>
              </w:tc>
              <w:tc>
                <w:tcPr>
                  <w:tcW w:w="827" w:type="dxa"/>
                  <w:tcBorders>
                    <w:tl2br w:val="nil"/>
                    <w:tr2bl w:val="nil"/>
                  </w:tcBorders>
                  <w:shd w:val="clear" w:color="auto" w:fill="auto"/>
                  <w:vAlign w:val="center"/>
                </w:tcPr>
                <w:p w14:paraId="0B0FF694">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cs="Times New Roman"/>
                      <w:color w:val="auto"/>
                      <w:kern w:val="0"/>
                      <w:sz w:val="21"/>
                      <w:szCs w:val="21"/>
                      <w:highlight w:val="yellow"/>
                      <w:lang w:val="en-US" w:eastAsia="zh-CN" w:bidi="ar-SA"/>
                    </w:rPr>
                    <w:t>2</w:t>
                  </w:r>
                </w:p>
              </w:tc>
              <w:tc>
                <w:tcPr>
                  <w:tcW w:w="1400" w:type="dxa"/>
                  <w:tcBorders>
                    <w:tl2br w:val="nil"/>
                    <w:tr2bl w:val="nil"/>
                  </w:tcBorders>
                  <w:shd w:val="clear" w:color="auto" w:fill="auto"/>
                  <w:vAlign w:val="center"/>
                </w:tcPr>
                <w:p w14:paraId="162EF154">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材料搅拌</w:t>
                  </w:r>
                </w:p>
              </w:tc>
              <w:tc>
                <w:tcPr>
                  <w:tcW w:w="1347" w:type="dxa"/>
                  <w:tcBorders>
                    <w:tl2br w:val="nil"/>
                    <w:tr2bl w:val="nil"/>
                  </w:tcBorders>
                  <w:shd w:val="clear" w:color="auto" w:fill="auto"/>
                  <w:vAlign w:val="center"/>
                </w:tcPr>
                <w:p w14:paraId="76D0DE03">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配料间</w:t>
                  </w:r>
                </w:p>
              </w:tc>
            </w:tr>
            <w:tr w14:paraId="0E836D2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13F7CFB4">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4D2DC224">
                  <w:pPr>
                    <w:keepNext w:val="0"/>
                    <w:keepLines w:val="0"/>
                    <w:widowControl/>
                    <w:suppressLineNumbers w:val="0"/>
                    <w:jc w:val="center"/>
                    <w:textAlignment w:val="center"/>
                    <w:rPr>
                      <w:rFonts w:hint="default" w:ascii="Times New Roman" w:hAnsi="Times New Roman" w:cs="Times New Roman"/>
                      <w:color w:val="auto"/>
                      <w:kern w:val="0"/>
                      <w:sz w:val="21"/>
                      <w:szCs w:val="21"/>
                      <w:highlight w:val="yellow"/>
                      <w:lang w:val="en-US" w:eastAsia="zh-CN"/>
                    </w:rPr>
                  </w:pPr>
                  <w:r>
                    <w:rPr>
                      <w:rFonts w:hint="default" w:ascii="Times New Roman" w:hAnsi="Times New Roman" w:cs="Times New Roman"/>
                      <w:color w:val="auto"/>
                      <w:kern w:val="0"/>
                      <w:sz w:val="21"/>
                      <w:szCs w:val="21"/>
                      <w:highlight w:val="yellow"/>
                      <w:lang w:val="en-US" w:eastAsia="zh-CN"/>
                    </w:rPr>
                    <w:t>超声波清洗仪</w:t>
                  </w:r>
                </w:p>
              </w:tc>
              <w:tc>
                <w:tcPr>
                  <w:tcW w:w="1906" w:type="dxa"/>
                  <w:tcBorders>
                    <w:tl2br w:val="nil"/>
                    <w:tr2bl w:val="nil"/>
                  </w:tcBorders>
                  <w:shd w:val="clear" w:color="auto" w:fill="auto"/>
                  <w:vAlign w:val="center"/>
                </w:tcPr>
                <w:p w14:paraId="0A39FCD1">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color w:val="auto"/>
                      <w:kern w:val="0"/>
                      <w:sz w:val="21"/>
                      <w:szCs w:val="21"/>
                      <w:highlight w:val="yellow"/>
                      <w:lang w:val="en-US" w:eastAsia="zh-CN" w:bidi="ar-SA"/>
                    </w:rPr>
                    <w:t>VGT-2227QTD</w:t>
                  </w:r>
                </w:p>
              </w:tc>
              <w:tc>
                <w:tcPr>
                  <w:tcW w:w="827" w:type="dxa"/>
                  <w:tcBorders>
                    <w:tl2br w:val="nil"/>
                    <w:tr2bl w:val="nil"/>
                  </w:tcBorders>
                  <w:shd w:val="clear" w:color="auto" w:fill="auto"/>
                  <w:vAlign w:val="center"/>
                </w:tcPr>
                <w:p w14:paraId="0F0DDF74">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cs="Times New Roman"/>
                      <w:color w:val="auto"/>
                      <w:kern w:val="0"/>
                      <w:sz w:val="21"/>
                      <w:szCs w:val="21"/>
                      <w:highlight w:val="yellow"/>
                      <w:lang w:val="en-US" w:eastAsia="zh-CN" w:bidi="ar-SA"/>
                    </w:rPr>
                    <w:t>1</w:t>
                  </w:r>
                </w:p>
              </w:tc>
              <w:tc>
                <w:tcPr>
                  <w:tcW w:w="1400" w:type="dxa"/>
                  <w:tcBorders>
                    <w:tl2br w:val="nil"/>
                    <w:tr2bl w:val="nil"/>
                  </w:tcBorders>
                  <w:shd w:val="clear" w:color="auto" w:fill="auto"/>
                  <w:vAlign w:val="center"/>
                </w:tcPr>
                <w:p w14:paraId="2C28EFC6">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清洗仪器</w:t>
                  </w:r>
                </w:p>
              </w:tc>
              <w:tc>
                <w:tcPr>
                  <w:tcW w:w="1347" w:type="dxa"/>
                  <w:tcBorders>
                    <w:tl2br w:val="nil"/>
                    <w:tr2bl w:val="nil"/>
                  </w:tcBorders>
                  <w:shd w:val="clear" w:color="auto" w:fill="auto"/>
                  <w:vAlign w:val="center"/>
                </w:tcPr>
                <w:p w14:paraId="7EE37E86">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配料间</w:t>
                  </w:r>
                </w:p>
              </w:tc>
            </w:tr>
            <w:tr w14:paraId="093785A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7D78C8C7">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712893C6">
                  <w:pPr>
                    <w:keepNext w:val="0"/>
                    <w:keepLines w:val="0"/>
                    <w:widowControl/>
                    <w:suppressLineNumbers w:val="0"/>
                    <w:jc w:val="center"/>
                    <w:textAlignment w:val="center"/>
                    <w:rPr>
                      <w:rFonts w:hint="default" w:ascii="Times New Roman" w:hAnsi="Times New Roman" w:cs="Times New Roman"/>
                      <w:color w:val="auto"/>
                      <w:kern w:val="0"/>
                      <w:sz w:val="21"/>
                      <w:szCs w:val="21"/>
                      <w:highlight w:val="yellow"/>
                      <w:lang w:val="en-US" w:eastAsia="zh-CN"/>
                    </w:rPr>
                  </w:pPr>
                  <w:r>
                    <w:rPr>
                      <w:rFonts w:hint="default" w:ascii="Times New Roman" w:hAnsi="Times New Roman" w:cs="Times New Roman"/>
                      <w:color w:val="auto"/>
                      <w:kern w:val="0"/>
                      <w:sz w:val="21"/>
                      <w:szCs w:val="21"/>
                      <w:highlight w:val="yellow"/>
                      <w:lang w:val="en-US" w:eastAsia="zh-CN"/>
                    </w:rPr>
                    <w:t>超纯水机</w:t>
                  </w:r>
                </w:p>
              </w:tc>
              <w:tc>
                <w:tcPr>
                  <w:tcW w:w="1906" w:type="dxa"/>
                  <w:tcBorders>
                    <w:tl2br w:val="nil"/>
                    <w:tr2bl w:val="nil"/>
                  </w:tcBorders>
                  <w:shd w:val="clear" w:color="auto" w:fill="auto"/>
                  <w:vAlign w:val="center"/>
                </w:tcPr>
                <w:p w14:paraId="7996A41C">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color w:val="auto"/>
                      <w:kern w:val="0"/>
                      <w:sz w:val="21"/>
                      <w:szCs w:val="21"/>
                      <w:highlight w:val="yellow"/>
                      <w:lang w:val="en-US" w:eastAsia="zh-CN" w:bidi="ar-SA"/>
                    </w:rPr>
                    <w:t>CX-1m</w:t>
                  </w:r>
                  <w:r>
                    <w:rPr>
                      <w:rFonts w:hint="default" w:ascii="Times New Roman" w:hAnsi="Times New Roman" w:eastAsia="宋体" w:cs="Times New Roman"/>
                      <w:color w:val="auto"/>
                      <w:kern w:val="0"/>
                      <w:sz w:val="21"/>
                      <w:szCs w:val="21"/>
                      <w:highlight w:val="yellow"/>
                      <w:vertAlign w:val="superscript"/>
                      <w:lang w:val="en-US" w:eastAsia="zh-CN" w:bidi="ar-SA"/>
                    </w:rPr>
                    <w:t>3</w:t>
                  </w:r>
                  <w:r>
                    <w:rPr>
                      <w:rFonts w:hint="default" w:ascii="Times New Roman" w:hAnsi="Times New Roman" w:eastAsia="宋体" w:cs="Times New Roman"/>
                      <w:color w:val="auto"/>
                      <w:kern w:val="0"/>
                      <w:sz w:val="21"/>
                      <w:szCs w:val="21"/>
                      <w:highlight w:val="yellow"/>
                      <w:lang w:val="en-US" w:eastAsia="zh-CN" w:bidi="ar-SA"/>
                    </w:rPr>
                    <w:t>/h</w:t>
                  </w:r>
                </w:p>
              </w:tc>
              <w:tc>
                <w:tcPr>
                  <w:tcW w:w="827" w:type="dxa"/>
                  <w:tcBorders>
                    <w:tl2br w:val="nil"/>
                    <w:tr2bl w:val="nil"/>
                  </w:tcBorders>
                  <w:shd w:val="clear" w:color="auto" w:fill="auto"/>
                  <w:vAlign w:val="center"/>
                </w:tcPr>
                <w:p w14:paraId="653BA518">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cs="Times New Roman"/>
                      <w:color w:val="auto"/>
                      <w:kern w:val="0"/>
                      <w:sz w:val="21"/>
                      <w:szCs w:val="21"/>
                      <w:highlight w:val="yellow"/>
                      <w:lang w:val="en-US" w:eastAsia="zh-CN" w:bidi="ar-SA"/>
                    </w:rPr>
                    <w:t>1</w:t>
                  </w:r>
                </w:p>
              </w:tc>
              <w:tc>
                <w:tcPr>
                  <w:tcW w:w="1400" w:type="dxa"/>
                  <w:tcBorders>
                    <w:tl2br w:val="nil"/>
                    <w:tr2bl w:val="nil"/>
                  </w:tcBorders>
                  <w:shd w:val="clear" w:color="auto" w:fill="auto"/>
                  <w:vAlign w:val="center"/>
                </w:tcPr>
                <w:p w14:paraId="2F97E15D">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制备纯水</w:t>
                  </w:r>
                </w:p>
              </w:tc>
              <w:tc>
                <w:tcPr>
                  <w:tcW w:w="1347" w:type="dxa"/>
                  <w:tcBorders>
                    <w:tl2br w:val="nil"/>
                    <w:tr2bl w:val="nil"/>
                  </w:tcBorders>
                  <w:shd w:val="clear" w:color="auto" w:fill="auto"/>
                  <w:vAlign w:val="center"/>
                </w:tcPr>
                <w:p w14:paraId="59666EE8">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纯水制备间</w:t>
                  </w:r>
                </w:p>
              </w:tc>
            </w:tr>
            <w:tr w14:paraId="72C6ABF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405C0D2B">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2765FA16">
                  <w:pPr>
                    <w:keepNext w:val="0"/>
                    <w:keepLines w:val="0"/>
                    <w:widowControl/>
                    <w:suppressLineNumbers w:val="0"/>
                    <w:jc w:val="center"/>
                    <w:textAlignment w:val="center"/>
                    <w:rPr>
                      <w:rFonts w:hint="default" w:ascii="Times New Roman" w:hAnsi="Times New Roman" w:cs="Times New Roman"/>
                      <w:color w:val="auto"/>
                      <w:kern w:val="0"/>
                      <w:sz w:val="21"/>
                      <w:szCs w:val="21"/>
                      <w:highlight w:val="yellow"/>
                      <w:lang w:val="en-US" w:eastAsia="zh-CN"/>
                    </w:rPr>
                  </w:pPr>
                  <w:r>
                    <w:rPr>
                      <w:rFonts w:hint="default" w:ascii="Times New Roman" w:hAnsi="Times New Roman" w:eastAsia="宋体" w:cs="Times New Roman"/>
                      <w:i w:val="0"/>
                      <w:iCs w:val="0"/>
                      <w:color w:val="000000"/>
                      <w:kern w:val="0"/>
                      <w:sz w:val="21"/>
                      <w:szCs w:val="21"/>
                      <w:highlight w:val="yellow"/>
                      <w:u w:val="none"/>
                      <w:lang w:val="en-US" w:eastAsia="zh-CN" w:bidi="ar"/>
                    </w:rPr>
                    <w:t>纳米级研磨机</w:t>
                  </w:r>
                </w:p>
              </w:tc>
              <w:tc>
                <w:tcPr>
                  <w:tcW w:w="1906" w:type="dxa"/>
                  <w:tcBorders>
                    <w:tl2br w:val="nil"/>
                    <w:tr2bl w:val="nil"/>
                  </w:tcBorders>
                  <w:shd w:val="clear" w:color="auto" w:fill="auto"/>
                  <w:vAlign w:val="center"/>
                </w:tcPr>
                <w:p w14:paraId="174CDF52">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MSK-SFM-ABM300</w:t>
                  </w:r>
                </w:p>
              </w:tc>
              <w:tc>
                <w:tcPr>
                  <w:tcW w:w="827" w:type="dxa"/>
                  <w:tcBorders>
                    <w:tl2br w:val="nil"/>
                    <w:tr2bl w:val="nil"/>
                  </w:tcBorders>
                  <w:shd w:val="clear" w:color="auto" w:fill="auto"/>
                  <w:vAlign w:val="center"/>
                </w:tcPr>
                <w:p w14:paraId="388800CD">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cs="Times New Roman"/>
                      <w:color w:val="auto"/>
                      <w:kern w:val="0"/>
                      <w:sz w:val="21"/>
                      <w:szCs w:val="21"/>
                      <w:highlight w:val="yellow"/>
                      <w:lang w:val="en-US" w:eastAsia="zh-CN" w:bidi="ar-SA"/>
                    </w:rPr>
                    <w:t>1</w:t>
                  </w:r>
                </w:p>
              </w:tc>
              <w:tc>
                <w:tcPr>
                  <w:tcW w:w="1400" w:type="dxa"/>
                  <w:tcBorders>
                    <w:tl2br w:val="nil"/>
                    <w:tr2bl w:val="nil"/>
                  </w:tcBorders>
                  <w:shd w:val="clear" w:color="auto" w:fill="auto"/>
                  <w:vAlign w:val="center"/>
                </w:tcPr>
                <w:p w14:paraId="7276ADB7">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材料粉碎</w:t>
                  </w:r>
                </w:p>
              </w:tc>
              <w:tc>
                <w:tcPr>
                  <w:tcW w:w="1347" w:type="dxa"/>
                  <w:tcBorders>
                    <w:tl2br w:val="nil"/>
                    <w:tr2bl w:val="nil"/>
                  </w:tcBorders>
                  <w:shd w:val="clear" w:color="auto" w:fill="auto"/>
                  <w:vAlign w:val="center"/>
                </w:tcPr>
                <w:p w14:paraId="251BA818">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破碎间</w:t>
                  </w:r>
                </w:p>
              </w:tc>
            </w:tr>
            <w:tr w14:paraId="642B8A0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2DE3DF0B">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13FFAACF">
                  <w:pPr>
                    <w:keepNext w:val="0"/>
                    <w:keepLines w:val="0"/>
                    <w:widowControl/>
                    <w:suppressLineNumbers w:val="0"/>
                    <w:jc w:val="center"/>
                    <w:textAlignment w:val="center"/>
                    <w:rPr>
                      <w:rFonts w:hint="default" w:ascii="Times New Roman" w:hAnsi="Times New Roman" w:cs="Times New Roman"/>
                      <w:color w:val="auto"/>
                      <w:kern w:val="0"/>
                      <w:sz w:val="21"/>
                      <w:szCs w:val="21"/>
                      <w:highlight w:val="yellow"/>
                      <w:lang w:val="en-US" w:eastAsia="zh-CN"/>
                    </w:rPr>
                  </w:pPr>
                  <w:r>
                    <w:rPr>
                      <w:rFonts w:hint="default" w:ascii="Times New Roman" w:hAnsi="Times New Roman" w:eastAsia="宋体" w:cs="Times New Roman"/>
                      <w:i w:val="0"/>
                      <w:iCs w:val="0"/>
                      <w:color w:val="000000"/>
                      <w:kern w:val="0"/>
                      <w:sz w:val="21"/>
                      <w:szCs w:val="21"/>
                      <w:highlight w:val="yellow"/>
                      <w:u w:val="none"/>
                      <w:lang w:val="en-US" w:eastAsia="zh-CN" w:bidi="ar"/>
                    </w:rPr>
                    <w:t>试验型喷雾干燥机</w:t>
                  </w:r>
                </w:p>
              </w:tc>
              <w:tc>
                <w:tcPr>
                  <w:tcW w:w="1906" w:type="dxa"/>
                  <w:tcBorders>
                    <w:tl2br w:val="nil"/>
                    <w:tr2bl w:val="nil"/>
                  </w:tcBorders>
                  <w:shd w:val="clear" w:color="auto" w:fill="auto"/>
                  <w:vAlign w:val="center"/>
                </w:tcPr>
                <w:p w14:paraId="44690410">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MSK-DZF-15-2L</w:t>
                  </w:r>
                </w:p>
              </w:tc>
              <w:tc>
                <w:tcPr>
                  <w:tcW w:w="827" w:type="dxa"/>
                  <w:tcBorders>
                    <w:tl2br w:val="nil"/>
                    <w:tr2bl w:val="nil"/>
                  </w:tcBorders>
                  <w:shd w:val="clear" w:color="auto" w:fill="auto"/>
                  <w:vAlign w:val="center"/>
                </w:tcPr>
                <w:p w14:paraId="7928993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cs="Times New Roman"/>
                      <w:color w:val="auto"/>
                      <w:kern w:val="0"/>
                      <w:sz w:val="21"/>
                      <w:szCs w:val="21"/>
                      <w:highlight w:val="yellow"/>
                      <w:lang w:val="en-US" w:eastAsia="zh-CN" w:bidi="ar-SA"/>
                    </w:rPr>
                    <w:t>1</w:t>
                  </w:r>
                </w:p>
              </w:tc>
              <w:tc>
                <w:tcPr>
                  <w:tcW w:w="1400" w:type="dxa"/>
                  <w:tcBorders>
                    <w:tl2br w:val="nil"/>
                    <w:tr2bl w:val="nil"/>
                  </w:tcBorders>
                  <w:shd w:val="clear" w:color="auto" w:fill="auto"/>
                  <w:vAlign w:val="center"/>
                </w:tcPr>
                <w:p w14:paraId="720A6AFD">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材料干燥</w:t>
                  </w:r>
                </w:p>
              </w:tc>
              <w:tc>
                <w:tcPr>
                  <w:tcW w:w="1347" w:type="dxa"/>
                  <w:tcBorders>
                    <w:tl2br w:val="nil"/>
                    <w:tr2bl w:val="nil"/>
                  </w:tcBorders>
                  <w:shd w:val="clear" w:color="auto" w:fill="auto"/>
                  <w:vAlign w:val="center"/>
                </w:tcPr>
                <w:p w14:paraId="6734BAF2">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破碎间</w:t>
                  </w:r>
                </w:p>
              </w:tc>
            </w:tr>
            <w:tr w14:paraId="04E8044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388C9A57">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65511FFE">
                  <w:pPr>
                    <w:ind w:left="-40" w:leftChars="-19" w:right="-29" w:rightChars="-14"/>
                    <w:jc w:val="center"/>
                    <w:rPr>
                      <w:rFonts w:hint="default" w:ascii="Times New Roman" w:hAnsi="Times New Roman" w:eastAsia="宋体" w:cs="Times New Roman"/>
                      <w:kern w:val="2"/>
                      <w:sz w:val="21"/>
                      <w:szCs w:val="21"/>
                      <w:highlight w:val="yellow"/>
                      <w:shd w:val="clear" w:color="auto" w:fill="FFFFFF"/>
                      <w:lang w:val="en-US" w:eastAsia="zh-CN" w:bidi="ar-SA"/>
                    </w:rPr>
                  </w:pPr>
                  <w:r>
                    <w:rPr>
                      <w:rFonts w:hint="default" w:ascii="Times New Roman" w:hAnsi="Times New Roman" w:eastAsia="宋体" w:cs="Times New Roman"/>
                      <w:szCs w:val="21"/>
                      <w:highlight w:val="yellow"/>
                      <w:shd w:val="clear" w:color="auto" w:fill="FFFFFF"/>
                      <w:lang w:val="en-US" w:eastAsia="zh-CN"/>
                    </w:rPr>
                    <w:t>激光粒度分布仪</w:t>
                  </w:r>
                </w:p>
              </w:tc>
              <w:tc>
                <w:tcPr>
                  <w:tcW w:w="1906" w:type="dxa"/>
                  <w:tcBorders>
                    <w:tl2br w:val="nil"/>
                    <w:tr2bl w:val="nil"/>
                  </w:tcBorders>
                  <w:shd w:val="clear" w:color="auto" w:fill="auto"/>
                  <w:vAlign w:val="center"/>
                </w:tcPr>
                <w:p w14:paraId="44B22E93">
                  <w:pPr>
                    <w:ind w:left="-40" w:leftChars="-19" w:right="-29" w:rightChars="-14"/>
                    <w:jc w:val="center"/>
                    <w:rPr>
                      <w:rFonts w:hint="default" w:ascii="Times New Roman" w:hAnsi="Times New Roman" w:eastAsia="宋体" w:cs="Times New Roman"/>
                      <w:kern w:val="2"/>
                      <w:sz w:val="21"/>
                      <w:szCs w:val="21"/>
                      <w:highlight w:val="yellow"/>
                      <w:shd w:val="clear" w:color="auto" w:fill="FFFFFF"/>
                      <w:lang w:val="en-US" w:eastAsia="zh-CN" w:bidi="ar-SA"/>
                    </w:rPr>
                  </w:pPr>
                  <w:r>
                    <w:rPr>
                      <w:rFonts w:hint="default" w:ascii="Times New Roman" w:hAnsi="Times New Roman" w:eastAsia="宋体" w:cs="Times New Roman"/>
                      <w:szCs w:val="21"/>
                      <w:highlight w:val="yellow"/>
                      <w:shd w:val="clear" w:color="auto" w:fill="FFFFFF"/>
                      <w:lang w:val="en-US" w:eastAsia="zh-CN"/>
                    </w:rPr>
                    <w:t>马尔文3000</w:t>
                  </w:r>
                </w:p>
              </w:tc>
              <w:tc>
                <w:tcPr>
                  <w:tcW w:w="827" w:type="dxa"/>
                  <w:tcBorders>
                    <w:tl2br w:val="nil"/>
                    <w:tr2bl w:val="nil"/>
                  </w:tcBorders>
                  <w:shd w:val="clear" w:color="auto" w:fill="auto"/>
                  <w:vAlign w:val="center"/>
                </w:tcPr>
                <w:p w14:paraId="357CC199">
                  <w:pPr>
                    <w:keepNext w:val="0"/>
                    <w:keepLines w:val="0"/>
                    <w:widowControl/>
                    <w:suppressLineNumbers w:val="0"/>
                    <w:jc w:val="center"/>
                    <w:textAlignment w:val="center"/>
                    <w:rPr>
                      <w:rFonts w:hint="default" w:ascii="Times New Roman" w:hAnsi="Times New Roman" w:cs="Times New Roman"/>
                      <w:color w:val="auto"/>
                      <w:kern w:val="0"/>
                      <w:sz w:val="21"/>
                      <w:szCs w:val="21"/>
                      <w:highlight w:val="yellow"/>
                      <w:lang w:val="en-US" w:eastAsia="zh-CN" w:bidi="ar-SA"/>
                    </w:rPr>
                  </w:pPr>
                  <w:r>
                    <w:rPr>
                      <w:rFonts w:hint="default" w:ascii="Times New Roman" w:hAnsi="Times New Roman" w:cs="Times New Roman"/>
                      <w:color w:val="auto"/>
                      <w:kern w:val="0"/>
                      <w:sz w:val="21"/>
                      <w:szCs w:val="21"/>
                      <w:highlight w:val="yellow"/>
                      <w:lang w:val="en-US" w:eastAsia="zh-CN" w:bidi="ar-SA"/>
                    </w:rPr>
                    <w:t>1</w:t>
                  </w:r>
                </w:p>
              </w:tc>
              <w:tc>
                <w:tcPr>
                  <w:tcW w:w="1400" w:type="dxa"/>
                  <w:tcBorders>
                    <w:tl2br w:val="nil"/>
                    <w:tr2bl w:val="nil"/>
                  </w:tcBorders>
                  <w:shd w:val="clear" w:color="auto" w:fill="auto"/>
                  <w:vAlign w:val="center"/>
                </w:tcPr>
                <w:p w14:paraId="1AA1744C">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粒度测定</w:t>
                  </w:r>
                </w:p>
              </w:tc>
              <w:tc>
                <w:tcPr>
                  <w:tcW w:w="1347" w:type="dxa"/>
                  <w:tcBorders>
                    <w:tl2br w:val="nil"/>
                    <w:tr2bl w:val="nil"/>
                  </w:tcBorders>
                  <w:shd w:val="clear" w:color="auto" w:fill="auto"/>
                  <w:vAlign w:val="center"/>
                </w:tcPr>
                <w:p w14:paraId="60D91CB6">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破碎间</w:t>
                  </w:r>
                </w:p>
              </w:tc>
            </w:tr>
            <w:tr w14:paraId="0B8D99D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41A59BEB">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3489159F">
                  <w:pPr>
                    <w:ind w:left="-40" w:leftChars="-19" w:right="-29" w:rightChars="-14"/>
                    <w:jc w:val="center"/>
                    <w:rPr>
                      <w:rFonts w:hint="default" w:ascii="Times New Roman" w:hAnsi="Times New Roman" w:eastAsia="宋体" w:cs="Times New Roman"/>
                      <w:kern w:val="2"/>
                      <w:sz w:val="21"/>
                      <w:szCs w:val="21"/>
                      <w:highlight w:val="yellow"/>
                      <w:shd w:val="clear" w:color="auto" w:fill="FFFFFF"/>
                      <w:lang w:val="en-US" w:eastAsia="zh-CN" w:bidi="ar-SA"/>
                    </w:rPr>
                  </w:pPr>
                  <w:r>
                    <w:rPr>
                      <w:rFonts w:hint="default" w:ascii="Times New Roman" w:hAnsi="Times New Roman" w:eastAsia="宋体" w:cs="Times New Roman"/>
                      <w:szCs w:val="21"/>
                      <w:highlight w:val="yellow"/>
                      <w:shd w:val="clear" w:color="auto" w:fill="FFFFFF"/>
                      <w:lang w:val="en-US" w:eastAsia="zh-CN"/>
                    </w:rPr>
                    <w:t>电子扫描电镜</w:t>
                  </w:r>
                </w:p>
              </w:tc>
              <w:tc>
                <w:tcPr>
                  <w:tcW w:w="1906" w:type="dxa"/>
                  <w:tcBorders>
                    <w:tl2br w:val="nil"/>
                    <w:tr2bl w:val="nil"/>
                  </w:tcBorders>
                  <w:shd w:val="clear" w:color="auto" w:fill="auto"/>
                  <w:vAlign w:val="center"/>
                </w:tcPr>
                <w:p w14:paraId="752E87F2">
                  <w:pPr>
                    <w:ind w:left="-40" w:leftChars="-19" w:right="-29" w:rightChars="-14"/>
                    <w:jc w:val="center"/>
                    <w:rPr>
                      <w:rFonts w:hint="default" w:ascii="Times New Roman" w:hAnsi="Times New Roman" w:eastAsia="宋体" w:cs="Times New Roman"/>
                      <w:kern w:val="2"/>
                      <w:sz w:val="21"/>
                      <w:szCs w:val="21"/>
                      <w:highlight w:val="yellow"/>
                      <w:shd w:val="clear" w:color="auto" w:fill="FFFFFF"/>
                      <w:lang w:val="en-US" w:eastAsia="zh-CN" w:bidi="ar-SA"/>
                    </w:rPr>
                  </w:pPr>
                  <w:r>
                    <w:rPr>
                      <w:rFonts w:hint="default" w:ascii="Times New Roman" w:hAnsi="Times New Roman" w:eastAsia="宋体" w:cs="Times New Roman"/>
                      <w:szCs w:val="21"/>
                      <w:highlight w:val="yellow"/>
                      <w:shd w:val="clear" w:color="auto" w:fill="FFFFFF"/>
                      <w:lang w:val="en-US" w:eastAsia="zh-CN"/>
                    </w:rPr>
                    <w:t>sigma360</w:t>
                  </w:r>
                </w:p>
              </w:tc>
              <w:tc>
                <w:tcPr>
                  <w:tcW w:w="827" w:type="dxa"/>
                  <w:tcBorders>
                    <w:tl2br w:val="nil"/>
                    <w:tr2bl w:val="nil"/>
                  </w:tcBorders>
                  <w:shd w:val="clear" w:color="auto" w:fill="auto"/>
                  <w:vAlign w:val="center"/>
                </w:tcPr>
                <w:p w14:paraId="3D8EB530">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cs="Times New Roman"/>
                      <w:color w:val="auto"/>
                      <w:kern w:val="0"/>
                      <w:sz w:val="21"/>
                      <w:szCs w:val="21"/>
                      <w:highlight w:val="yellow"/>
                      <w:lang w:val="en-US" w:eastAsia="zh-CN" w:bidi="ar-SA"/>
                    </w:rPr>
                    <w:t>1</w:t>
                  </w:r>
                </w:p>
              </w:tc>
              <w:tc>
                <w:tcPr>
                  <w:tcW w:w="1400" w:type="dxa"/>
                  <w:tcBorders>
                    <w:tl2br w:val="nil"/>
                    <w:tr2bl w:val="nil"/>
                  </w:tcBorders>
                  <w:shd w:val="clear" w:color="auto" w:fill="auto"/>
                  <w:vAlign w:val="center"/>
                </w:tcPr>
                <w:p w14:paraId="1264CD56">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eastAsia="宋体" w:cs="Times New Roman"/>
                      <w:szCs w:val="21"/>
                      <w:highlight w:val="yellow"/>
                      <w:shd w:val="clear" w:color="auto" w:fill="FFFFFF"/>
                      <w:lang w:val="en-US" w:eastAsia="zh-CN"/>
                    </w:rPr>
                    <w:t>材料的质量监测</w:t>
                  </w:r>
                </w:p>
              </w:tc>
              <w:tc>
                <w:tcPr>
                  <w:tcW w:w="1347" w:type="dxa"/>
                  <w:tcBorders>
                    <w:tl2br w:val="nil"/>
                    <w:tr2bl w:val="nil"/>
                  </w:tcBorders>
                  <w:shd w:val="clear" w:color="auto" w:fill="auto"/>
                  <w:vAlign w:val="center"/>
                </w:tcPr>
                <w:p w14:paraId="635E4D47">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材料表征间</w:t>
                  </w:r>
                </w:p>
              </w:tc>
            </w:tr>
            <w:tr w14:paraId="67B22E4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01E81D97">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3EB4F493">
                  <w:pPr>
                    <w:keepNext w:val="0"/>
                    <w:keepLines w:val="0"/>
                    <w:widowControl/>
                    <w:suppressLineNumbers w:val="0"/>
                    <w:jc w:val="center"/>
                    <w:textAlignment w:val="center"/>
                    <w:rPr>
                      <w:rFonts w:hint="default" w:ascii="Times New Roman" w:hAnsi="Times New Roman" w:cs="Times New Roman"/>
                      <w:color w:val="auto"/>
                      <w:kern w:val="0"/>
                      <w:sz w:val="21"/>
                      <w:szCs w:val="21"/>
                      <w:highlight w:val="yellow"/>
                      <w:lang w:val="en-US" w:eastAsia="zh-CN"/>
                    </w:rPr>
                  </w:pPr>
                  <w:r>
                    <w:rPr>
                      <w:rFonts w:hint="default" w:ascii="Times New Roman" w:hAnsi="Times New Roman" w:eastAsia="宋体" w:cs="Times New Roman"/>
                      <w:szCs w:val="21"/>
                      <w:highlight w:val="yellow"/>
                      <w:shd w:val="clear" w:color="auto" w:fill="FFFFFF"/>
                      <w:lang w:val="en-US" w:eastAsia="zh-CN"/>
                    </w:rPr>
                    <w:t>X射线衍射光谱仪</w:t>
                  </w:r>
                </w:p>
              </w:tc>
              <w:tc>
                <w:tcPr>
                  <w:tcW w:w="1906" w:type="dxa"/>
                  <w:tcBorders>
                    <w:tl2br w:val="nil"/>
                    <w:tr2bl w:val="nil"/>
                  </w:tcBorders>
                  <w:shd w:val="clear" w:color="auto" w:fill="auto"/>
                  <w:vAlign w:val="center"/>
                </w:tcPr>
                <w:p w14:paraId="27CA57F3">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szCs w:val="21"/>
                      <w:highlight w:val="yellow"/>
                      <w:shd w:val="clear" w:color="auto" w:fill="FFFFFF"/>
                      <w:lang w:val="en-US" w:eastAsia="zh-CN"/>
                    </w:rPr>
                    <w:t>马尔文第三代Empyrean锐影</w:t>
                  </w:r>
                </w:p>
              </w:tc>
              <w:tc>
                <w:tcPr>
                  <w:tcW w:w="827" w:type="dxa"/>
                  <w:tcBorders>
                    <w:tl2br w:val="nil"/>
                    <w:tr2bl w:val="nil"/>
                  </w:tcBorders>
                  <w:shd w:val="clear" w:color="auto" w:fill="auto"/>
                  <w:vAlign w:val="center"/>
                </w:tcPr>
                <w:p w14:paraId="2673B32E">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cs="Times New Roman"/>
                      <w:color w:val="auto"/>
                      <w:kern w:val="0"/>
                      <w:sz w:val="21"/>
                      <w:szCs w:val="21"/>
                      <w:highlight w:val="yellow"/>
                      <w:lang w:val="en-US" w:eastAsia="zh-CN" w:bidi="ar-SA"/>
                    </w:rPr>
                    <w:t>1</w:t>
                  </w:r>
                </w:p>
              </w:tc>
              <w:tc>
                <w:tcPr>
                  <w:tcW w:w="1400" w:type="dxa"/>
                  <w:tcBorders>
                    <w:tl2br w:val="nil"/>
                    <w:tr2bl w:val="nil"/>
                  </w:tcBorders>
                  <w:shd w:val="clear" w:color="auto" w:fill="auto"/>
                  <w:vAlign w:val="center"/>
                </w:tcPr>
                <w:p w14:paraId="17E58362">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eastAsia="宋体" w:cs="Times New Roman"/>
                      <w:szCs w:val="21"/>
                      <w:highlight w:val="yellow"/>
                      <w:shd w:val="clear" w:color="auto" w:fill="FFFFFF"/>
                      <w:lang w:val="en-US" w:eastAsia="zh-CN"/>
                    </w:rPr>
                    <w:t>晶粒大小及微观应力分析</w:t>
                  </w:r>
                </w:p>
              </w:tc>
              <w:tc>
                <w:tcPr>
                  <w:tcW w:w="1347" w:type="dxa"/>
                  <w:tcBorders>
                    <w:tl2br w:val="nil"/>
                    <w:tr2bl w:val="nil"/>
                  </w:tcBorders>
                  <w:shd w:val="clear" w:color="auto" w:fill="auto"/>
                  <w:vAlign w:val="center"/>
                </w:tcPr>
                <w:p w14:paraId="43B82F5D">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材料表征间</w:t>
                  </w:r>
                </w:p>
              </w:tc>
            </w:tr>
            <w:tr w14:paraId="56C9653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1C4DD52F">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5A234D4D">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真空干燥箱</w:t>
                  </w:r>
                </w:p>
              </w:tc>
              <w:tc>
                <w:tcPr>
                  <w:tcW w:w="1906" w:type="dxa"/>
                  <w:tcBorders>
                    <w:tl2br w:val="nil"/>
                    <w:tr2bl w:val="nil"/>
                  </w:tcBorders>
                  <w:shd w:val="clear" w:color="auto" w:fill="auto"/>
                  <w:vAlign w:val="center"/>
                </w:tcPr>
                <w:p w14:paraId="106646D2">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color w:val="auto"/>
                      <w:kern w:val="0"/>
                      <w:sz w:val="21"/>
                      <w:szCs w:val="21"/>
                      <w:highlight w:val="yellow"/>
                      <w:lang w:val="en-US" w:eastAsia="zh-CN" w:bidi="ar-SA"/>
                    </w:rPr>
                    <w:t>DZF-6050</w:t>
                  </w:r>
                </w:p>
              </w:tc>
              <w:tc>
                <w:tcPr>
                  <w:tcW w:w="827" w:type="dxa"/>
                  <w:tcBorders>
                    <w:tl2br w:val="nil"/>
                    <w:tr2bl w:val="nil"/>
                  </w:tcBorders>
                  <w:shd w:val="clear" w:color="auto" w:fill="auto"/>
                  <w:vAlign w:val="center"/>
                </w:tcPr>
                <w:p w14:paraId="22167DD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color w:val="auto"/>
                      <w:kern w:val="0"/>
                      <w:sz w:val="21"/>
                      <w:szCs w:val="21"/>
                      <w:highlight w:val="yellow"/>
                      <w:lang w:val="en-US" w:eastAsia="zh-CN" w:bidi="ar-SA"/>
                    </w:rPr>
                    <w:t>1</w:t>
                  </w:r>
                </w:p>
              </w:tc>
              <w:tc>
                <w:tcPr>
                  <w:tcW w:w="1400" w:type="dxa"/>
                  <w:tcBorders>
                    <w:tl2br w:val="nil"/>
                    <w:tr2bl w:val="nil"/>
                  </w:tcBorders>
                  <w:shd w:val="clear" w:color="auto" w:fill="auto"/>
                  <w:vAlign w:val="center"/>
                </w:tcPr>
                <w:p w14:paraId="49DFC6B7">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材料干燥</w:t>
                  </w:r>
                </w:p>
              </w:tc>
              <w:tc>
                <w:tcPr>
                  <w:tcW w:w="1347" w:type="dxa"/>
                  <w:tcBorders>
                    <w:tl2br w:val="nil"/>
                    <w:tr2bl w:val="nil"/>
                  </w:tcBorders>
                  <w:shd w:val="clear" w:color="auto" w:fill="auto"/>
                  <w:vAlign w:val="center"/>
                </w:tcPr>
                <w:p w14:paraId="539FD9F5">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材料制备间</w:t>
                  </w:r>
                </w:p>
              </w:tc>
            </w:tr>
            <w:tr w14:paraId="4024A7A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5BC5690E">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758734AB">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鼓风干燥箱</w:t>
                  </w:r>
                </w:p>
              </w:tc>
              <w:tc>
                <w:tcPr>
                  <w:tcW w:w="1906" w:type="dxa"/>
                  <w:tcBorders>
                    <w:tl2br w:val="nil"/>
                    <w:tr2bl w:val="nil"/>
                  </w:tcBorders>
                  <w:shd w:val="clear" w:color="auto" w:fill="auto"/>
                  <w:vAlign w:val="center"/>
                </w:tcPr>
                <w:p w14:paraId="603C0562">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color w:val="auto"/>
                      <w:kern w:val="0"/>
                      <w:sz w:val="21"/>
                      <w:szCs w:val="21"/>
                      <w:highlight w:val="yellow"/>
                      <w:lang w:val="en-US" w:eastAsia="zh-CN" w:bidi="ar-SA"/>
                    </w:rPr>
                    <w:t>DHG-9070A</w:t>
                  </w:r>
                </w:p>
              </w:tc>
              <w:tc>
                <w:tcPr>
                  <w:tcW w:w="827" w:type="dxa"/>
                  <w:tcBorders>
                    <w:tl2br w:val="nil"/>
                    <w:tr2bl w:val="nil"/>
                  </w:tcBorders>
                  <w:shd w:val="clear" w:color="auto" w:fill="auto"/>
                  <w:vAlign w:val="center"/>
                </w:tcPr>
                <w:p w14:paraId="47AF9F8F">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color w:val="auto"/>
                      <w:kern w:val="0"/>
                      <w:sz w:val="21"/>
                      <w:szCs w:val="21"/>
                      <w:highlight w:val="yellow"/>
                      <w:lang w:val="en-US" w:eastAsia="zh-CN" w:bidi="ar-SA"/>
                    </w:rPr>
                    <w:t>1</w:t>
                  </w:r>
                </w:p>
              </w:tc>
              <w:tc>
                <w:tcPr>
                  <w:tcW w:w="1400" w:type="dxa"/>
                  <w:tcBorders>
                    <w:tl2br w:val="nil"/>
                    <w:tr2bl w:val="nil"/>
                  </w:tcBorders>
                  <w:shd w:val="clear" w:color="auto" w:fill="auto"/>
                  <w:vAlign w:val="center"/>
                </w:tcPr>
                <w:p w14:paraId="119B05CC">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材料干燥</w:t>
                  </w:r>
                </w:p>
              </w:tc>
              <w:tc>
                <w:tcPr>
                  <w:tcW w:w="1347" w:type="dxa"/>
                  <w:tcBorders>
                    <w:tl2br w:val="nil"/>
                    <w:tr2bl w:val="nil"/>
                  </w:tcBorders>
                  <w:shd w:val="clear" w:color="auto" w:fill="auto"/>
                  <w:vAlign w:val="center"/>
                </w:tcPr>
                <w:p w14:paraId="66A95F3C">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材料制备间</w:t>
                  </w:r>
                </w:p>
              </w:tc>
            </w:tr>
            <w:tr w14:paraId="4D04D00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21D23912">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5CADBCAB">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电子天平</w:t>
                  </w:r>
                </w:p>
              </w:tc>
              <w:tc>
                <w:tcPr>
                  <w:tcW w:w="1906" w:type="dxa"/>
                  <w:tcBorders>
                    <w:tl2br w:val="nil"/>
                    <w:tr2bl w:val="nil"/>
                  </w:tcBorders>
                  <w:shd w:val="clear" w:color="auto" w:fill="auto"/>
                  <w:vAlign w:val="center"/>
                </w:tcPr>
                <w:p w14:paraId="74BA09C3">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color w:val="auto"/>
                      <w:kern w:val="0"/>
                      <w:sz w:val="21"/>
                      <w:szCs w:val="21"/>
                      <w:highlight w:val="yellow"/>
                      <w:lang w:val="en-US" w:eastAsia="zh-CN" w:bidi="ar-SA"/>
                    </w:rPr>
                    <w:t>JS-30A</w:t>
                  </w:r>
                </w:p>
              </w:tc>
              <w:tc>
                <w:tcPr>
                  <w:tcW w:w="827" w:type="dxa"/>
                  <w:tcBorders>
                    <w:tl2br w:val="nil"/>
                    <w:tr2bl w:val="nil"/>
                  </w:tcBorders>
                  <w:shd w:val="clear" w:color="auto" w:fill="auto"/>
                  <w:vAlign w:val="center"/>
                </w:tcPr>
                <w:p w14:paraId="0FF9B4C8">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color w:val="auto"/>
                      <w:kern w:val="0"/>
                      <w:sz w:val="21"/>
                      <w:szCs w:val="21"/>
                      <w:highlight w:val="yellow"/>
                      <w:lang w:val="en-US" w:eastAsia="zh-CN" w:bidi="ar-SA"/>
                    </w:rPr>
                    <w:t>1</w:t>
                  </w:r>
                </w:p>
              </w:tc>
              <w:tc>
                <w:tcPr>
                  <w:tcW w:w="1400" w:type="dxa"/>
                  <w:tcBorders>
                    <w:tl2br w:val="nil"/>
                    <w:tr2bl w:val="nil"/>
                  </w:tcBorders>
                  <w:shd w:val="clear" w:color="auto" w:fill="auto"/>
                  <w:vAlign w:val="center"/>
                </w:tcPr>
                <w:p w14:paraId="3AFD25F3">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称量</w:t>
                  </w:r>
                </w:p>
              </w:tc>
              <w:tc>
                <w:tcPr>
                  <w:tcW w:w="1347" w:type="dxa"/>
                  <w:tcBorders>
                    <w:tl2br w:val="nil"/>
                    <w:tr2bl w:val="nil"/>
                  </w:tcBorders>
                  <w:shd w:val="clear" w:color="auto" w:fill="auto"/>
                  <w:vAlign w:val="center"/>
                </w:tcPr>
                <w:p w14:paraId="35A666E8">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材料制备间</w:t>
                  </w:r>
                </w:p>
              </w:tc>
            </w:tr>
            <w:tr w14:paraId="11A572C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56D867B7">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35DD86FA">
                  <w:pPr>
                    <w:keepNext w:val="0"/>
                    <w:keepLines w:val="0"/>
                    <w:widowControl/>
                    <w:suppressLineNumbers w:val="0"/>
                    <w:jc w:val="center"/>
                    <w:textAlignment w:val="center"/>
                    <w:rPr>
                      <w:rFonts w:hint="default" w:ascii="Times New Roman" w:hAnsi="Times New Roman" w:cs="Times New Roman"/>
                      <w:color w:val="auto"/>
                      <w:kern w:val="0"/>
                      <w:sz w:val="21"/>
                      <w:szCs w:val="21"/>
                      <w:highlight w:val="yellow"/>
                      <w:lang w:val="en-US" w:eastAsia="zh-CN"/>
                    </w:rPr>
                  </w:pPr>
                  <w:r>
                    <w:rPr>
                      <w:rFonts w:hint="default" w:ascii="Times New Roman" w:hAnsi="Times New Roman" w:eastAsia="宋体" w:cs="Times New Roman"/>
                      <w:i w:val="0"/>
                      <w:iCs w:val="0"/>
                      <w:color w:val="000000"/>
                      <w:kern w:val="0"/>
                      <w:sz w:val="21"/>
                      <w:szCs w:val="21"/>
                      <w:highlight w:val="yellow"/>
                      <w:u w:val="none"/>
                      <w:lang w:val="en-US" w:eastAsia="zh-CN" w:bidi="ar"/>
                    </w:rPr>
                    <w:t>行星式球磨机</w:t>
                  </w:r>
                </w:p>
              </w:tc>
              <w:tc>
                <w:tcPr>
                  <w:tcW w:w="1906" w:type="dxa"/>
                  <w:tcBorders>
                    <w:tl2br w:val="nil"/>
                    <w:tr2bl w:val="nil"/>
                  </w:tcBorders>
                  <w:shd w:val="clear" w:color="auto" w:fill="auto"/>
                  <w:vAlign w:val="center"/>
                </w:tcPr>
                <w:p w14:paraId="7066B587">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MSK-SFM-1</w:t>
                  </w:r>
                </w:p>
              </w:tc>
              <w:tc>
                <w:tcPr>
                  <w:tcW w:w="827" w:type="dxa"/>
                  <w:tcBorders>
                    <w:tl2br w:val="nil"/>
                    <w:tr2bl w:val="nil"/>
                  </w:tcBorders>
                  <w:shd w:val="clear" w:color="auto" w:fill="auto"/>
                  <w:vAlign w:val="center"/>
                </w:tcPr>
                <w:p w14:paraId="3DB6701E">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cs="Times New Roman"/>
                      <w:color w:val="auto"/>
                      <w:kern w:val="0"/>
                      <w:sz w:val="21"/>
                      <w:szCs w:val="21"/>
                      <w:highlight w:val="yellow"/>
                      <w:lang w:val="en-US" w:eastAsia="zh-CN" w:bidi="ar-SA"/>
                    </w:rPr>
                    <w:t>1</w:t>
                  </w:r>
                </w:p>
              </w:tc>
              <w:tc>
                <w:tcPr>
                  <w:tcW w:w="1400" w:type="dxa"/>
                  <w:tcBorders>
                    <w:tl2br w:val="nil"/>
                    <w:tr2bl w:val="nil"/>
                  </w:tcBorders>
                  <w:shd w:val="clear" w:color="auto" w:fill="auto"/>
                  <w:vAlign w:val="center"/>
                </w:tcPr>
                <w:p w14:paraId="2607B536">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材料研磨</w:t>
                  </w:r>
                </w:p>
              </w:tc>
              <w:tc>
                <w:tcPr>
                  <w:tcW w:w="1347" w:type="dxa"/>
                  <w:tcBorders>
                    <w:tl2br w:val="nil"/>
                    <w:tr2bl w:val="nil"/>
                  </w:tcBorders>
                  <w:shd w:val="clear" w:color="auto" w:fill="auto"/>
                  <w:vAlign w:val="center"/>
                </w:tcPr>
                <w:p w14:paraId="2533E084">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材料制备间</w:t>
                  </w:r>
                </w:p>
              </w:tc>
            </w:tr>
            <w:tr w14:paraId="4A987CE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3186F43C">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67947D35">
                  <w:pPr>
                    <w:keepNext w:val="0"/>
                    <w:keepLines w:val="0"/>
                    <w:widowControl/>
                    <w:suppressLineNumbers w:val="0"/>
                    <w:jc w:val="center"/>
                    <w:textAlignment w:val="center"/>
                    <w:rPr>
                      <w:rFonts w:hint="default" w:ascii="Times New Roman" w:hAnsi="Times New Roman" w:cs="Times New Roman"/>
                      <w:color w:val="auto"/>
                      <w:kern w:val="0"/>
                      <w:sz w:val="21"/>
                      <w:szCs w:val="21"/>
                      <w:highlight w:val="yellow"/>
                      <w:lang w:val="en-US" w:eastAsia="zh-CN"/>
                    </w:rPr>
                  </w:pPr>
                  <w:r>
                    <w:rPr>
                      <w:rFonts w:hint="default" w:ascii="Times New Roman" w:hAnsi="Times New Roman" w:eastAsia="宋体" w:cs="Times New Roman"/>
                      <w:i w:val="0"/>
                      <w:iCs w:val="0"/>
                      <w:color w:val="000000"/>
                      <w:kern w:val="0"/>
                      <w:sz w:val="21"/>
                      <w:szCs w:val="21"/>
                      <w:highlight w:val="yellow"/>
                      <w:u w:val="none"/>
                      <w:lang w:val="en-US" w:eastAsia="zh-CN" w:bidi="ar"/>
                    </w:rPr>
                    <w:t>颚式破碎机</w:t>
                  </w:r>
                </w:p>
              </w:tc>
              <w:tc>
                <w:tcPr>
                  <w:tcW w:w="1906" w:type="dxa"/>
                  <w:tcBorders>
                    <w:tl2br w:val="nil"/>
                    <w:tr2bl w:val="nil"/>
                  </w:tcBorders>
                  <w:shd w:val="clear" w:color="auto" w:fill="auto"/>
                  <w:vAlign w:val="center"/>
                </w:tcPr>
                <w:p w14:paraId="79CE03D8">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MSK-SFM-AL0</w:t>
                  </w:r>
                </w:p>
              </w:tc>
              <w:tc>
                <w:tcPr>
                  <w:tcW w:w="827" w:type="dxa"/>
                  <w:tcBorders>
                    <w:tl2br w:val="nil"/>
                    <w:tr2bl w:val="nil"/>
                  </w:tcBorders>
                  <w:shd w:val="clear" w:color="auto" w:fill="auto"/>
                  <w:vAlign w:val="center"/>
                </w:tcPr>
                <w:p w14:paraId="60AB2AD0">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cs="Times New Roman"/>
                      <w:color w:val="auto"/>
                      <w:kern w:val="0"/>
                      <w:sz w:val="21"/>
                      <w:szCs w:val="21"/>
                      <w:highlight w:val="yellow"/>
                      <w:lang w:val="en-US" w:eastAsia="zh-CN" w:bidi="ar-SA"/>
                    </w:rPr>
                    <w:t>1</w:t>
                  </w:r>
                </w:p>
              </w:tc>
              <w:tc>
                <w:tcPr>
                  <w:tcW w:w="1400" w:type="dxa"/>
                  <w:tcBorders>
                    <w:tl2br w:val="nil"/>
                    <w:tr2bl w:val="nil"/>
                  </w:tcBorders>
                  <w:shd w:val="clear" w:color="auto" w:fill="auto"/>
                  <w:vAlign w:val="center"/>
                </w:tcPr>
                <w:p w14:paraId="1CA4D6DD">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材料破碎</w:t>
                  </w:r>
                </w:p>
              </w:tc>
              <w:tc>
                <w:tcPr>
                  <w:tcW w:w="1347" w:type="dxa"/>
                  <w:tcBorders>
                    <w:tl2br w:val="nil"/>
                    <w:tr2bl w:val="nil"/>
                  </w:tcBorders>
                  <w:shd w:val="clear" w:color="auto" w:fill="auto"/>
                  <w:vAlign w:val="center"/>
                </w:tcPr>
                <w:p w14:paraId="65BF3B24">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材料制备间</w:t>
                  </w:r>
                </w:p>
              </w:tc>
            </w:tr>
            <w:tr w14:paraId="7B36459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05F2CBC5">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331EB9E1">
                  <w:pPr>
                    <w:keepNext w:val="0"/>
                    <w:keepLines w:val="0"/>
                    <w:widowControl/>
                    <w:suppressLineNumbers w:val="0"/>
                    <w:jc w:val="center"/>
                    <w:textAlignment w:val="center"/>
                    <w:rPr>
                      <w:rFonts w:hint="default" w:ascii="Times New Roman" w:hAnsi="Times New Roman" w:cs="Times New Roman"/>
                      <w:color w:val="auto"/>
                      <w:kern w:val="0"/>
                      <w:sz w:val="21"/>
                      <w:szCs w:val="21"/>
                      <w:highlight w:val="yellow"/>
                      <w:lang w:val="en-US" w:eastAsia="zh-CN"/>
                    </w:rPr>
                  </w:pPr>
                  <w:r>
                    <w:rPr>
                      <w:rFonts w:hint="default" w:ascii="Times New Roman" w:hAnsi="Times New Roman" w:eastAsia="宋体" w:cs="Times New Roman"/>
                      <w:i w:val="0"/>
                      <w:iCs w:val="0"/>
                      <w:color w:val="000000"/>
                      <w:kern w:val="0"/>
                      <w:sz w:val="21"/>
                      <w:szCs w:val="21"/>
                      <w:highlight w:val="yellow"/>
                      <w:u w:val="none"/>
                      <w:lang w:val="en-US" w:eastAsia="zh-CN" w:bidi="ar"/>
                    </w:rPr>
                    <w:t>小型气流筛分系统</w:t>
                  </w:r>
                </w:p>
              </w:tc>
              <w:tc>
                <w:tcPr>
                  <w:tcW w:w="1906" w:type="dxa"/>
                  <w:tcBorders>
                    <w:tl2br w:val="nil"/>
                    <w:tr2bl w:val="nil"/>
                  </w:tcBorders>
                  <w:shd w:val="clear" w:color="auto" w:fill="auto"/>
                  <w:vAlign w:val="center"/>
                </w:tcPr>
                <w:p w14:paraId="5865F9DF">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MSK-SYU-3</w:t>
                  </w:r>
                </w:p>
              </w:tc>
              <w:tc>
                <w:tcPr>
                  <w:tcW w:w="827" w:type="dxa"/>
                  <w:tcBorders>
                    <w:tl2br w:val="nil"/>
                    <w:tr2bl w:val="nil"/>
                  </w:tcBorders>
                  <w:shd w:val="clear" w:color="auto" w:fill="auto"/>
                  <w:vAlign w:val="center"/>
                </w:tcPr>
                <w:p w14:paraId="5F4BE211">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cs="Times New Roman"/>
                      <w:color w:val="auto"/>
                      <w:kern w:val="0"/>
                      <w:sz w:val="21"/>
                      <w:szCs w:val="21"/>
                      <w:highlight w:val="yellow"/>
                      <w:lang w:val="en-US" w:eastAsia="zh-CN" w:bidi="ar-SA"/>
                    </w:rPr>
                    <w:t>1</w:t>
                  </w:r>
                </w:p>
              </w:tc>
              <w:tc>
                <w:tcPr>
                  <w:tcW w:w="1400" w:type="dxa"/>
                  <w:tcBorders>
                    <w:tl2br w:val="nil"/>
                    <w:tr2bl w:val="nil"/>
                  </w:tcBorders>
                  <w:shd w:val="clear" w:color="auto" w:fill="auto"/>
                  <w:vAlign w:val="center"/>
                </w:tcPr>
                <w:p w14:paraId="0DEACE75">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材料筛分</w:t>
                  </w:r>
                </w:p>
              </w:tc>
              <w:tc>
                <w:tcPr>
                  <w:tcW w:w="1347" w:type="dxa"/>
                  <w:tcBorders>
                    <w:tl2br w:val="nil"/>
                    <w:tr2bl w:val="nil"/>
                  </w:tcBorders>
                  <w:shd w:val="clear" w:color="auto" w:fill="auto"/>
                  <w:vAlign w:val="center"/>
                </w:tcPr>
                <w:p w14:paraId="69D742F4">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材料制备间</w:t>
                  </w:r>
                </w:p>
              </w:tc>
            </w:tr>
            <w:tr w14:paraId="081BA39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19F97D8D">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33CBCE67">
                  <w:pPr>
                    <w:keepNext w:val="0"/>
                    <w:keepLines w:val="0"/>
                    <w:widowControl/>
                    <w:suppressLineNumbers w:val="0"/>
                    <w:jc w:val="center"/>
                    <w:textAlignment w:val="center"/>
                    <w:rPr>
                      <w:rFonts w:hint="default" w:ascii="Times New Roman" w:hAnsi="Times New Roman" w:cs="Times New Roman"/>
                      <w:color w:val="auto"/>
                      <w:kern w:val="0"/>
                      <w:sz w:val="21"/>
                      <w:szCs w:val="21"/>
                      <w:highlight w:val="yellow"/>
                      <w:lang w:val="en-US" w:eastAsia="zh-CN"/>
                    </w:rPr>
                  </w:pPr>
                  <w:r>
                    <w:rPr>
                      <w:rFonts w:hint="default" w:ascii="Times New Roman" w:hAnsi="Times New Roman" w:eastAsia="宋体" w:cs="Times New Roman"/>
                      <w:i w:val="0"/>
                      <w:iCs w:val="0"/>
                      <w:color w:val="000000"/>
                      <w:kern w:val="0"/>
                      <w:sz w:val="21"/>
                      <w:szCs w:val="21"/>
                      <w:highlight w:val="yellow"/>
                      <w:u w:val="none"/>
                      <w:lang w:val="en-US" w:eastAsia="zh-CN" w:bidi="ar"/>
                    </w:rPr>
                    <w:t>电动压片机</w:t>
                  </w:r>
                </w:p>
              </w:tc>
              <w:tc>
                <w:tcPr>
                  <w:tcW w:w="1906" w:type="dxa"/>
                  <w:tcBorders>
                    <w:tl2br w:val="nil"/>
                    <w:tr2bl w:val="nil"/>
                  </w:tcBorders>
                  <w:shd w:val="clear" w:color="auto" w:fill="auto"/>
                  <w:vAlign w:val="center"/>
                </w:tcPr>
                <w:p w14:paraId="6DC0A58F">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MSK-YLJ-E30T</w:t>
                  </w:r>
                </w:p>
              </w:tc>
              <w:tc>
                <w:tcPr>
                  <w:tcW w:w="827" w:type="dxa"/>
                  <w:tcBorders>
                    <w:tl2br w:val="nil"/>
                    <w:tr2bl w:val="nil"/>
                  </w:tcBorders>
                  <w:shd w:val="clear" w:color="auto" w:fill="auto"/>
                  <w:vAlign w:val="center"/>
                </w:tcPr>
                <w:p w14:paraId="710CBD69">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cs="Times New Roman"/>
                      <w:color w:val="auto"/>
                      <w:kern w:val="0"/>
                      <w:sz w:val="21"/>
                      <w:szCs w:val="21"/>
                      <w:highlight w:val="yellow"/>
                      <w:lang w:val="en-US" w:eastAsia="zh-CN" w:bidi="ar-SA"/>
                    </w:rPr>
                    <w:t>1</w:t>
                  </w:r>
                </w:p>
              </w:tc>
              <w:tc>
                <w:tcPr>
                  <w:tcW w:w="1400" w:type="dxa"/>
                  <w:tcBorders>
                    <w:tl2br w:val="nil"/>
                    <w:tr2bl w:val="nil"/>
                  </w:tcBorders>
                  <w:shd w:val="clear" w:color="auto" w:fill="auto"/>
                  <w:vAlign w:val="center"/>
                </w:tcPr>
                <w:p w14:paraId="60AF2FCF">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材料压片</w:t>
                  </w:r>
                </w:p>
              </w:tc>
              <w:tc>
                <w:tcPr>
                  <w:tcW w:w="1347" w:type="dxa"/>
                  <w:tcBorders>
                    <w:tl2br w:val="nil"/>
                    <w:tr2bl w:val="nil"/>
                  </w:tcBorders>
                  <w:shd w:val="clear" w:color="auto" w:fill="auto"/>
                  <w:vAlign w:val="center"/>
                </w:tcPr>
                <w:p w14:paraId="7B9AC3C1">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材料制备间</w:t>
                  </w:r>
                </w:p>
              </w:tc>
            </w:tr>
            <w:tr w14:paraId="3009D55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31C68939">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3347BCE3">
                  <w:pPr>
                    <w:keepNext w:val="0"/>
                    <w:keepLines w:val="0"/>
                    <w:widowControl/>
                    <w:suppressLineNumbers w:val="0"/>
                    <w:jc w:val="center"/>
                    <w:textAlignment w:val="center"/>
                    <w:rPr>
                      <w:rFonts w:hint="default" w:ascii="Times New Roman" w:hAnsi="Times New Roman" w:cs="Times New Roman"/>
                      <w:color w:val="auto"/>
                      <w:kern w:val="0"/>
                      <w:sz w:val="21"/>
                      <w:szCs w:val="21"/>
                      <w:highlight w:val="yellow"/>
                      <w:lang w:val="en-US" w:eastAsia="zh-CN"/>
                    </w:rPr>
                  </w:pPr>
                  <w:r>
                    <w:rPr>
                      <w:rFonts w:hint="default" w:ascii="Times New Roman" w:hAnsi="Times New Roman" w:cs="Times New Roman"/>
                      <w:color w:val="auto"/>
                      <w:kern w:val="0"/>
                      <w:sz w:val="21"/>
                      <w:szCs w:val="21"/>
                      <w:highlight w:val="yellow"/>
                      <w:lang w:val="en-US" w:eastAsia="zh-CN"/>
                    </w:rPr>
                    <w:t>压实密度仪</w:t>
                  </w:r>
                </w:p>
              </w:tc>
              <w:tc>
                <w:tcPr>
                  <w:tcW w:w="1906" w:type="dxa"/>
                  <w:tcBorders>
                    <w:tl2br w:val="nil"/>
                    <w:tr2bl w:val="nil"/>
                  </w:tcBorders>
                  <w:shd w:val="clear" w:color="auto" w:fill="auto"/>
                  <w:vAlign w:val="center"/>
                </w:tcPr>
                <w:p w14:paraId="480879D8">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color w:val="auto"/>
                      <w:kern w:val="0"/>
                      <w:sz w:val="21"/>
                      <w:szCs w:val="21"/>
                      <w:highlight w:val="yellow"/>
                      <w:lang w:val="en-US" w:eastAsia="zh-CN" w:bidi="ar-SA"/>
                    </w:rPr>
                    <w:t>SASEV-7105</w:t>
                  </w:r>
                </w:p>
              </w:tc>
              <w:tc>
                <w:tcPr>
                  <w:tcW w:w="827" w:type="dxa"/>
                  <w:tcBorders>
                    <w:tl2br w:val="nil"/>
                    <w:tr2bl w:val="nil"/>
                  </w:tcBorders>
                  <w:shd w:val="clear" w:color="auto" w:fill="auto"/>
                  <w:vAlign w:val="center"/>
                </w:tcPr>
                <w:p w14:paraId="09729834">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cs="Times New Roman"/>
                      <w:color w:val="auto"/>
                      <w:kern w:val="0"/>
                      <w:sz w:val="21"/>
                      <w:szCs w:val="21"/>
                      <w:highlight w:val="yellow"/>
                      <w:lang w:val="en-US" w:eastAsia="zh-CN" w:bidi="ar-SA"/>
                    </w:rPr>
                    <w:t>1</w:t>
                  </w:r>
                </w:p>
              </w:tc>
              <w:tc>
                <w:tcPr>
                  <w:tcW w:w="1400" w:type="dxa"/>
                  <w:tcBorders>
                    <w:tl2br w:val="nil"/>
                    <w:tr2bl w:val="nil"/>
                  </w:tcBorders>
                  <w:shd w:val="clear" w:color="auto" w:fill="auto"/>
                  <w:vAlign w:val="center"/>
                </w:tcPr>
                <w:p w14:paraId="5816C7A8">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压实密度测定</w:t>
                  </w:r>
                </w:p>
              </w:tc>
              <w:tc>
                <w:tcPr>
                  <w:tcW w:w="1347" w:type="dxa"/>
                  <w:tcBorders>
                    <w:tl2br w:val="nil"/>
                    <w:tr2bl w:val="nil"/>
                  </w:tcBorders>
                  <w:shd w:val="clear" w:color="auto" w:fill="auto"/>
                  <w:vAlign w:val="center"/>
                </w:tcPr>
                <w:p w14:paraId="09D75786">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材料性能测试间</w:t>
                  </w:r>
                </w:p>
              </w:tc>
            </w:tr>
            <w:tr w14:paraId="3FB2702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643D16FD">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09A0967F">
                  <w:pPr>
                    <w:keepNext w:val="0"/>
                    <w:keepLines w:val="0"/>
                    <w:widowControl/>
                    <w:suppressLineNumbers w:val="0"/>
                    <w:jc w:val="center"/>
                    <w:textAlignment w:val="center"/>
                    <w:rPr>
                      <w:rFonts w:hint="default" w:ascii="Times New Roman" w:hAnsi="Times New Roman" w:cs="Times New Roman"/>
                      <w:color w:val="auto"/>
                      <w:kern w:val="0"/>
                      <w:sz w:val="21"/>
                      <w:szCs w:val="21"/>
                      <w:highlight w:val="yellow"/>
                      <w:lang w:val="en-US" w:eastAsia="zh-CN"/>
                    </w:rPr>
                  </w:pPr>
                  <w:r>
                    <w:rPr>
                      <w:rFonts w:hint="default" w:ascii="Times New Roman" w:hAnsi="Times New Roman" w:eastAsia="宋体" w:cs="Times New Roman"/>
                      <w:i w:val="0"/>
                      <w:iCs w:val="0"/>
                      <w:color w:val="000000"/>
                      <w:kern w:val="0"/>
                      <w:sz w:val="22"/>
                      <w:szCs w:val="22"/>
                      <w:highlight w:val="yellow"/>
                      <w:u w:val="none"/>
                      <w:lang w:val="en-US" w:eastAsia="zh-CN" w:bidi="ar"/>
                    </w:rPr>
                    <w:t>振实密度</w:t>
                  </w:r>
                </w:p>
              </w:tc>
              <w:tc>
                <w:tcPr>
                  <w:tcW w:w="1906" w:type="dxa"/>
                  <w:tcBorders>
                    <w:tl2br w:val="nil"/>
                    <w:tr2bl w:val="nil"/>
                  </w:tcBorders>
                  <w:shd w:val="clear" w:color="auto" w:fill="auto"/>
                  <w:vAlign w:val="center"/>
                </w:tcPr>
                <w:p w14:paraId="4B9F5E6B">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2"/>
                      <w:szCs w:val="22"/>
                      <w:highlight w:val="yellow"/>
                      <w:u w:val="none"/>
                      <w:lang w:val="en-US" w:eastAsia="zh-CN" w:bidi="ar"/>
                    </w:rPr>
                    <w:t>LABULK0335（双桶）</w:t>
                  </w:r>
                </w:p>
              </w:tc>
              <w:tc>
                <w:tcPr>
                  <w:tcW w:w="827" w:type="dxa"/>
                  <w:tcBorders>
                    <w:tl2br w:val="nil"/>
                    <w:tr2bl w:val="nil"/>
                  </w:tcBorders>
                  <w:shd w:val="clear" w:color="auto" w:fill="auto"/>
                  <w:vAlign w:val="center"/>
                </w:tcPr>
                <w:p w14:paraId="0D556B9F">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cs="Times New Roman"/>
                      <w:color w:val="auto"/>
                      <w:kern w:val="0"/>
                      <w:sz w:val="21"/>
                      <w:szCs w:val="21"/>
                      <w:highlight w:val="yellow"/>
                      <w:lang w:val="en-US" w:eastAsia="zh-CN" w:bidi="ar-SA"/>
                    </w:rPr>
                    <w:t>1</w:t>
                  </w:r>
                </w:p>
              </w:tc>
              <w:tc>
                <w:tcPr>
                  <w:tcW w:w="1400" w:type="dxa"/>
                  <w:tcBorders>
                    <w:tl2br w:val="nil"/>
                    <w:tr2bl w:val="nil"/>
                  </w:tcBorders>
                  <w:shd w:val="clear" w:color="auto" w:fill="auto"/>
                  <w:vAlign w:val="center"/>
                </w:tcPr>
                <w:p w14:paraId="3B8D921F">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振实密度测定</w:t>
                  </w:r>
                </w:p>
              </w:tc>
              <w:tc>
                <w:tcPr>
                  <w:tcW w:w="1347" w:type="dxa"/>
                  <w:tcBorders>
                    <w:tl2br w:val="nil"/>
                    <w:tr2bl w:val="nil"/>
                  </w:tcBorders>
                  <w:shd w:val="clear" w:color="auto" w:fill="auto"/>
                  <w:vAlign w:val="center"/>
                </w:tcPr>
                <w:p w14:paraId="2217BA3C">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材料性能测试间</w:t>
                  </w:r>
                </w:p>
              </w:tc>
            </w:tr>
            <w:tr w14:paraId="66D0AE0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0323FDD3">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3D4D8DCC">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2"/>
                      <w:szCs w:val="22"/>
                      <w:highlight w:val="yellow"/>
                      <w:u w:val="none"/>
                      <w:lang w:val="en-US" w:eastAsia="zh-CN" w:bidi="ar"/>
                    </w:rPr>
                    <w:t>碳硫仪</w:t>
                  </w:r>
                </w:p>
              </w:tc>
              <w:tc>
                <w:tcPr>
                  <w:tcW w:w="1906" w:type="dxa"/>
                  <w:tcBorders>
                    <w:tl2br w:val="nil"/>
                    <w:tr2bl w:val="nil"/>
                  </w:tcBorders>
                  <w:shd w:val="clear" w:color="auto" w:fill="auto"/>
                  <w:vAlign w:val="center"/>
                </w:tcPr>
                <w:p w14:paraId="3F65C618">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2"/>
                      <w:szCs w:val="22"/>
                      <w:highlight w:val="yellow"/>
                      <w:u w:val="none"/>
                      <w:lang w:val="en-US" w:eastAsia="zh-CN" w:bidi="ar"/>
                    </w:rPr>
                    <w:t>CS3500</w:t>
                  </w:r>
                </w:p>
              </w:tc>
              <w:tc>
                <w:tcPr>
                  <w:tcW w:w="827" w:type="dxa"/>
                  <w:tcBorders>
                    <w:tl2br w:val="nil"/>
                    <w:tr2bl w:val="nil"/>
                  </w:tcBorders>
                  <w:shd w:val="clear" w:color="auto" w:fill="auto"/>
                  <w:vAlign w:val="center"/>
                </w:tcPr>
                <w:p w14:paraId="06FA040A">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cs="Times New Roman"/>
                      <w:color w:val="auto"/>
                      <w:kern w:val="0"/>
                      <w:sz w:val="21"/>
                      <w:szCs w:val="21"/>
                      <w:highlight w:val="yellow"/>
                      <w:lang w:val="en-US" w:eastAsia="zh-CN" w:bidi="ar-SA"/>
                    </w:rPr>
                    <w:t>1</w:t>
                  </w:r>
                </w:p>
              </w:tc>
              <w:tc>
                <w:tcPr>
                  <w:tcW w:w="1400" w:type="dxa"/>
                  <w:tcBorders>
                    <w:tl2br w:val="nil"/>
                    <w:tr2bl w:val="nil"/>
                  </w:tcBorders>
                  <w:shd w:val="clear" w:color="auto" w:fill="auto"/>
                  <w:vAlign w:val="center"/>
                </w:tcPr>
                <w:p w14:paraId="76FA4628">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yellow"/>
                      <w:vertAlign w:val="baseline"/>
                      <w:lang w:val="en-US" w:eastAsia="zh-CN" w:bidi="ar-SA"/>
                    </w:rPr>
                  </w:pPr>
                  <w:r>
                    <w:rPr>
                      <w:rFonts w:hint="default" w:ascii="Times New Roman" w:hAnsi="Times New Roman" w:cs="Times New Roman"/>
                      <w:b w:val="0"/>
                      <w:bCs w:val="0"/>
                      <w:color w:val="auto"/>
                      <w:kern w:val="2"/>
                      <w:sz w:val="21"/>
                      <w:szCs w:val="21"/>
                      <w:highlight w:val="yellow"/>
                      <w:vertAlign w:val="baseline"/>
                      <w:lang w:val="en-US" w:eastAsia="zh-CN" w:bidi="ar-SA"/>
                    </w:rPr>
                    <w:t>碳硫测定</w:t>
                  </w:r>
                </w:p>
              </w:tc>
              <w:tc>
                <w:tcPr>
                  <w:tcW w:w="1347" w:type="dxa"/>
                  <w:tcBorders>
                    <w:tl2br w:val="nil"/>
                    <w:tr2bl w:val="nil"/>
                  </w:tcBorders>
                  <w:shd w:val="clear" w:color="auto" w:fill="auto"/>
                  <w:vAlign w:val="center"/>
                </w:tcPr>
                <w:p w14:paraId="21092BD8">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yellow"/>
                      <w:vertAlign w:val="baseline"/>
                      <w:lang w:val="en-US" w:eastAsia="zh-CN" w:bidi="ar-SA"/>
                    </w:rPr>
                  </w:pPr>
                  <w:r>
                    <w:rPr>
                      <w:rFonts w:hint="default" w:ascii="Times New Roman" w:hAnsi="Times New Roman" w:cs="Times New Roman"/>
                      <w:color w:val="auto"/>
                      <w:spacing w:val="-1"/>
                      <w:sz w:val="21"/>
                      <w:szCs w:val="21"/>
                      <w:highlight w:val="yellow"/>
                      <w:lang w:val="en-US" w:eastAsia="zh-CN"/>
                    </w:rPr>
                    <w:t>材料性能测试间</w:t>
                  </w:r>
                </w:p>
              </w:tc>
            </w:tr>
            <w:tr w14:paraId="6826347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38208687">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3F561830">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szCs w:val="21"/>
                      <w:highlight w:val="yellow"/>
                      <w:shd w:val="clear" w:color="auto" w:fill="FFFFFF"/>
                      <w:lang w:val="en-US" w:eastAsia="zh-CN"/>
                    </w:rPr>
                    <w:t>卡尔费休水分仪</w:t>
                  </w:r>
                </w:p>
              </w:tc>
              <w:tc>
                <w:tcPr>
                  <w:tcW w:w="1906" w:type="dxa"/>
                  <w:tcBorders>
                    <w:tl2br w:val="nil"/>
                    <w:tr2bl w:val="nil"/>
                  </w:tcBorders>
                  <w:shd w:val="clear" w:color="auto" w:fill="auto"/>
                  <w:vAlign w:val="center"/>
                </w:tcPr>
                <w:p w14:paraId="7446B5A0">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szCs w:val="21"/>
                      <w:highlight w:val="yellow"/>
                      <w:shd w:val="clear" w:color="auto" w:fill="FFFFFF"/>
                      <w:lang w:val="en-US" w:eastAsia="zh-CN"/>
                    </w:rPr>
                    <w:t>28310010</w:t>
                  </w:r>
                </w:p>
              </w:tc>
              <w:tc>
                <w:tcPr>
                  <w:tcW w:w="827" w:type="dxa"/>
                  <w:tcBorders>
                    <w:tl2br w:val="nil"/>
                    <w:tr2bl w:val="nil"/>
                  </w:tcBorders>
                  <w:shd w:val="clear" w:color="auto" w:fill="auto"/>
                  <w:vAlign w:val="center"/>
                </w:tcPr>
                <w:p w14:paraId="69817D38">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cs="Times New Roman"/>
                      <w:color w:val="auto"/>
                      <w:kern w:val="0"/>
                      <w:sz w:val="21"/>
                      <w:szCs w:val="21"/>
                      <w:highlight w:val="yellow"/>
                      <w:lang w:val="en-US" w:eastAsia="zh-CN" w:bidi="ar-SA"/>
                    </w:rPr>
                    <w:t>1</w:t>
                  </w:r>
                </w:p>
              </w:tc>
              <w:tc>
                <w:tcPr>
                  <w:tcW w:w="1400" w:type="dxa"/>
                  <w:tcBorders>
                    <w:tl2br w:val="nil"/>
                    <w:tr2bl w:val="nil"/>
                  </w:tcBorders>
                  <w:shd w:val="clear" w:color="auto" w:fill="auto"/>
                  <w:vAlign w:val="center"/>
                </w:tcPr>
                <w:p w14:paraId="363B2173">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yellow"/>
                      <w:vertAlign w:val="baseline"/>
                      <w:lang w:val="en-US" w:eastAsia="zh-CN" w:bidi="ar-SA"/>
                    </w:rPr>
                  </w:pPr>
                  <w:r>
                    <w:rPr>
                      <w:rFonts w:hint="default" w:ascii="Times New Roman" w:hAnsi="Times New Roman" w:cs="Times New Roman"/>
                      <w:b w:val="0"/>
                      <w:bCs w:val="0"/>
                      <w:color w:val="auto"/>
                      <w:kern w:val="2"/>
                      <w:sz w:val="21"/>
                      <w:szCs w:val="21"/>
                      <w:highlight w:val="yellow"/>
                      <w:vertAlign w:val="baseline"/>
                      <w:lang w:val="en-US" w:eastAsia="zh-CN" w:bidi="ar-SA"/>
                    </w:rPr>
                    <w:t>水分测定</w:t>
                  </w:r>
                </w:p>
              </w:tc>
              <w:tc>
                <w:tcPr>
                  <w:tcW w:w="1347" w:type="dxa"/>
                  <w:tcBorders>
                    <w:tl2br w:val="nil"/>
                    <w:tr2bl w:val="nil"/>
                  </w:tcBorders>
                  <w:shd w:val="clear" w:color="auto" w:fill="auto"/>
                  <w:vAlign w:val="center"/>
                </w:tcPr>
                <w:p w14:paraId="577BC29F">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yellow"/>
                      <w:vertAlign w:val="baseline"/>
                      <w:lang w:val="en-US" w:eastAsia="zh-CN" w:bidi="ar-SA"/>
                    </w:rPr>
                  </w:pPr>
                  <w:r>
                    <w:rPr>
                      <w:rFonts w:hint="default" w:ascii="Times New Roman" w:hAnsi="Times New Roman" w:cs="Times New Roman"/>
                      <w:color w:val="auto"/>
                      <w:spacing w:val="-1"/>
                      <w:sz w:val="21"/>
                      <w:szCs w:val="21"/>
                      <w:highlight w:val="yellow"/>
                      <w:lang w:val="en-US" w:eastAsia="zh-CN"/>
                    </w:rPr>
                    <w:t>材料性能测试间</w:t>
                  </w:r>
                </w:p>
              </w:tc>
            </w:tr>
            <w:tr w14:paraId="2F1AD37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1EAD4869">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243D584E">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粉末电阻率测试仪</w:t>
                  </w:r>
                </w:p>
              </w:tc>
              <w:tc>
                <w:tcPr>
                  <w:tcW w:w="1906" w:type="dxa"/>
                  <w:tcBorders>
                    <w:tl2br w:val="nil"/>
                    <w:tr2bl w:val="nil"/>
                  </w:tcBorders>
                  <w:shd w:val="clear" w:color="auto" w:fill="auto"/>
                  <w:vAlign w:val="center"/>
                </w:tcPr>
                <w:p w14:paraId="71362020">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ST2742B</w:t>
                  </w:r>
                </w:p>
              </w:tc>
              <w:tc>
                <w:tcPr>
                  <w:tcW w:w="827" w:type="dxa"/>
                  <w:tcBorders>
                    <w:tl2br w:val="nil"/>
                    <w:tr2bl w:val="nil"/>
                  </w:tcBorders>
                  <w:shd w:val="clear" w:color="auto" w:fill="auto"/>
                  <w:vAlign w:val="center"/>
                </w:tcPr>
                <w:p w14:paraId="4B079857">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cs="Times New Roman"/>
                      <w:color w:val="auto"/>
                      <w:kern w:val="0"/>
                      <w:sz w:val="21"/>
                      <w:szCs w:val="21"/>
                      <w:highlight w:val="yellow"/>
                      <w:lang w:val="en-US" w:eastAsia="zh-CN" w:bidi="ar-SA"/>
                    </w:rPr>
                    <w:t>1</w:t>
                  </w:r>
                </w:p>
              </w:tc>
              <w:tc>
                <w:tcPr>
                  <w:tcW w:w="1400" w:type="dxa"/>
                  <w:tcBorders>
                    <w:tl2br w:val="nil"/>
                    <w:tr2bl w:val="nil"/>
                  </w:tcBorders>
                  <w:shd w:val="clear" w:color="auto" w:fill="auto"/>
                  <w:vAlign w:val="center"/>
                </w:tcPr>
                <w:p w14:paraId="661C0651">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yellow"/>
                      <w:vertAlign w:val="baseline"/>
                      <w:lang w:val="en-US" w:eastAsia="zh-CN" w:bidi="ar-SA"/>
                    </w:rPr>
                  </w:pPr>
                  <w:r>
                    <w:rPr>
                      <w:rFonts w:hint="default" w:ascii="Times New Roman" w:hAnsi="Times New Roman" w:cs="Times New Roman"/>
                      <w:b w:val="0"/>
                      <w:bCs w:val="0"/>
                      <w:color w:val="auto"/>
                      <w:kern w:val="2"/>
                      <w:sz w:val="21"/>
                      <w:szCs w:val="21"/>
                      <w:highlight w:val="yellow"/>
                      <w:vertAlign w:val="baseline"/>
                      <w:lang w:val="en-US" w:eastAsia="zh-CN" w:bidi="ar-SA"/>
                    </w:rPr>
                    <w:t>材料电阻测定</w:t>
                  </w:r>
                </w:p>
              </w:tc>
              <w:tc>
                <w:tcPr>
                  <w:tcW w:w="1347" w:type="dxa"/>
                  <w:tcBorders>
                    <w:tl2br w:val="nil"/>
                    <w:tr2bl w:val="nil"/>
                  </w:tcBorders>
                  <w:shd w:val="clear" w:color="auto" w:fill="auto"/>
                  <w:vAlign w:val="center"/>
                </w:tcPr>
                <w:p w14:paraId="26242C9A">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yellow"/>
                      <w:vertAlign w:val="baseline"/>
                      <w:lang w:val="en-US" w:eastAsia="zh-CN" w:bidi="ar-SA"/>
                    </w:rPr>
                  </w:pPr>
                  <w:r>
                    <w:rPr>
                      <w:rFonts w:hint="default" w:ascii="Times New Roman" w:hAnsi="Times New Roman" w:cs="Times New Roman"/>
                      <w:color w:val="auto"/>
                      <w:spacing w:val="-1"/>
                      <w:sz w:val="21"/>
                      <w:szCs w:val="21"/>
                      <w:highlight w:val="yellow"/>
                      <w:lang w:val="en-US" w:eastAsia="zh-CN"/>
                    </w:rPr>
                    <w:t>材料性能测试间</w:t>
                  </w:r>
                </w:p>
              </w:tc>
            </w:tr>
            <w:tr w14:paraId="6870BB0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01080FE1">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125DC22D">
                  <w:pPr>
                    <w:ind w:left="-40" w:leftChars="-19" w:right="-29" w:rightChars="-14"/>
                    <w:jc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szCs w:val="21"/>
                      <w:highlight w:val="yellow"/>
                      <w:shd w:val="clear" w:color="auto" w:fill="FFFFFF"/>
                      <w:lang w:val="en-US" w:eastAsia="zh-CN"/>
                    </w:rPr>
                    <w:t>电感耦合等离子体发射光谱仪</w:t>
                  </w:r>
                </w:p>
              </w:tc>
              <w:tc>
                <w:tcPr>
                  <w:tcW w:w="1906" w:type="dxa"/>
                  <w:tcBorders>
                    <w:tl2br w:val="nil"/>
                    <w:tr2bl w:val="nil"/>
                  </w:tcBorders>
                  <w:shd w:val="clear" w:color="auto" w:fill="auto"/>
                  <w:vAlign w:val="center"/>
                </w:tcPr>
                <w:p w14:paraId="01677C6B">
                  <w:pPr>
                    <w:ind w:left="-40" w:leftChars="-19" w:right="-29" w:rightChars="-14"/>
                    <w:jc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szCs w:val="21"/>
                      <w:highlight w:val="yellow"/>
                      <w:shd w:val="clear" w:color="auto" w:fill="FFFFFF"/>
                      <w:lang w:val="en-US" w:eastAsia="zh-CN"/>
                    </w:rPr>
                    <w:t>Optima 8000</w:t>
                  </w:r>
                </w:p>
              </w:tc>
              <w:tc>
                <w:tcPr>
                  <w:tcW w:w="827" w:type="dxa"/>
                  <w:tcBorders>
                    <w:tl2br w:val="nil"/>
                    <w:tr2bl w:val="nil"/>
                  </w:tcBorders>
                  <w:shd w:val="clear" w:color="auto" w:fill="auto"/>
                  <w:vAlign w:val="center"/>
                </w:tcPr>
                <w:p w14:paraId="788E156F">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cs="Times New Roman"/>
                      <w:color w:val="auto"/>
                      <w:kern w:val="0"/>
                      <w:sz w:val="21"/>
                      <w:szCs w:val="21"/>
                      <w:highlight w:val="yellow"/>
                      <w:lang w:val="en-US" w:eastAsia="zh-CN" w:bidi="ar-SA"/>
                    </w:rPr>
                    <w:t>1</w:t>
                  </w:r>
                </w:p>
              </w:tc>
              <w:tc>
                <w:tcPr>
                  <w:tcW w:w="1400" w:type="dxa"/>
                  <w:tcBorders>
                    <w:tl2br w:val="nil"/>
                    <w:tr2bl w:val="nil"/>
                  </w:tcBorders>
                  <w:shd w:val="clear" w:color="auto" w:fill="auto"/>
                  <w:vAlign w:val="center"/>
                </w:tcPr>
                <w:p w14:paraId="17A37EF3">
                  <w:pPr>
                    <w:keepNext w:val="0"/>
                    <w:keepLines w:val="0"/>
                    <w:widowControl/>
                    <w:suppressLineNumbers w:val="0"/>
                    <w:jc w:val="center"/>
                    <w:textAlignment w:val="center"/>
                    <w:rPr>
                      <w:rFonts w:hint="default" w:ascii="Times New Roman" w:hAnsi="Times New Roman" w:eastAsia="宋体" w:cs="Times New Roman"/>
                      <w:color w:val="auto"/>
                      <w:spacing w:val="-1"/>
                      <w:kern w:val="2"/>
                      <w:sz w:val="21"/>
                      <w:szCs w:val="21"/>
                      <w:highlight w:val="yellow"/>
                      <w:lang w:val="en-US" w:eastAsia="zh-CN" w:bidi="ar-SA"/>
                    </w:rPr>
                  </w:pPr>
                  <w:r>
                    <w:rPr>
                      <w:rFonts w:hint="default" w:ascii="Times New Roman" w:hAnsi="Times New Roman" w:cs="Times New Roman"/>
                      <w:color w:val="auto"/>
                      <w:spacing w:val="-1"/>
                      <w:kern w:val="2"/>
                      <w:sz w:val="21"/>
                      <w:szCs w:val="21"/>
                      <w:highlight w:val="yellow"/>
                      <w:lang w:val="en-US" w:eastAsia="zh-CN" w:bidi="ar-SA"/>
                    </w:rPr>
                    <w:t>元素测定</w:t>
                  </w:r>
                </w:p>
              </w:tc>
              <w:tc>
                <w:tcPr>
                  <w:tcW w:w="1347" w:type="dxa"/>
                  <w:tcBorders>
                    <w:tl2br w:val="nil"/>
                    <w:tr2bl w:val="nil"/>
                  </w:tcBorders>
                  <w:shd w:val="clear" w:color="auto" w:fill="auto"/>
                  <w:vAlign w:val="center"/>
                </w:tcPr>
                <w:p w14:paraId="1EE58ADD">
                  <w:pPr>
                    <w:keepNext w:val="0"/>
                    <w:keepLines w:val="0"/>
                    <w:widowControl/>
                    <w:suppressLineNumbers w:val="0"/>
                    <w:jc w:val="center"/>
                    <w:textAlignment w:val="center"/>
                    <w:rPr>
                      <w:rFonts w:hint="default" w:ascii="Times New Roman" w:hAnsi="Times New Roman" w:eastAsia="宋体" w:cs="Times New Roman"/>
                      <w:color w:val="auto"/>
                      <w:spacing w:val="-1"/>
                      <w:kern w:val="2"/>
                      <w:sz w:val="21"/>
                      <w:szCs w:val="21"/>
                      <w:highlight w:val="yellow"/>
                      <w:lang w:val="en-US" w:eastAsia="zh-CN" w:bidi="ar-SA"/>
                    </w:rPr>
                  </w:pPr>
                  <w:r>
                    <w:rPr>
                      <w:rFonts w:hint="default" w:ascii="Times New Roman" w:hAnsi="Times New Roman" w:cs="Times New Roman"/>
                      <w:color w:val="auto"/>
                      <w:spacing w:val="-1"/>
                      <w:kern w:val="2"/>
                      <w:sz w:val="21"/>
                      <w:szCs w:val="21"/>
                      <w:highlight w:val="yellow"/>
                      <w:lang w:val="en-US" w:eastAsia="zh-CN" w:bidi="ar-SA"/>
                    </w:rPr>
                    <w:t>材料表征间</w:t>
                  </w:r>
                </w:p>
              </w:tc>
            </w:tr>
            <w:tr w14:paraId="0F8DF35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3CF0C06D">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3A05606F">
                  <w:pPr>
                    <w:ind w:left="-40" w:leftChars="-19" w:right="-29" w:rightChars="-14"/>
                    <w:jc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szCs w:val="21"/>
                      <w:highlight w:val="yellow"/>
                      <w:shd w:val="clear" w:color="auto" w:fill="FFFFFF"/>
                      <w:lang w:val="en-US" w:eastAsia="zh-CN"/>
                    </w:rPr>
                    <w:t>比表面积分析仪</w:t>
                  </w:r>
                </w:p>
              </w:tc>
              <w:tc>
                <w:tcPr>
                  <w:tcW w:w="1906" w:type="dxa"/>
                  <w:tcBorders>
                    <w:tl2br w:val="nil"/>
                    <w:tr2bl w:val="nil"/>
                  </w:tcBorders>
                  <w:shd w:val="clear" w:color="auto" w:fill="auto"/>
                  <w:vAlign w:val="center"/>
                </w:tcPr>
                <w:p w14:paraId="50EB6AFB">
                  <w:pPr>
                    <w:ind w:left="-40" w:leftChars="-19" w:right="-29" w:rightChars="-14"/>
                    <w:jc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szCs w:val="21"/>
                      <w:highlight w:val="yellow"/>
                      <w:shd w:val="clear" w:color="auto" w:fill="FFFFFF"/>
                      <w:lang w:val="en-US" w:eastAsia="zh-CN"/>
                    </w:rPr>
                    <w:t>TriStar II PLUS</w:t>
                  </w:r>
                </w:p>
              </w:tc>
              <w:tc>
                <w:tcPr>
                  <w:tcW w:w="827" w:type="dxa"/>
                  <w:tcBorders>
                    <w:tl2br w:val="nil"/>
                    <w:tr2bl w:val="nil"/>
                  </w:tcBorders>
                  <w:shd w:val="clear" w:color="auto" w:fill="auto"/>
                  <w:vAlign w:val="center"/>
                </w:tcPr>
                <w:p w14:paraId="08D3771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cs="Times New Roman"/>
                      <w:color w:val="auto"/>
                      <w:kern w:val="0"/>
                      <w:sz w:val="21"/>
                      <w:szCs w:val="21"/>
                      <w:highlight w:val="yellow"/>
                      <w:lang w:val="en-US" w:eastAsia="zh-CN" w:bidi="ar-SA"/>
                    </w:rPr>
                    <w:t>1</w:t>
                  </w:r>
                </w:p>
              </w:tc>
              <w:tc>
                <w:tcPr>
                  <w:tcW w:w="1400" w:type="dxa"/>
                  <w:tcBorders>
                    <w:tl2br w:val="nil"/>
                    <w:tr2bl w:val="nil"/>
                  </w:tcBorders>
                  <w:shd w:val="clear" w:color="auto" w:fill="auto"/>
                  <w:vAlign w:val="center"/>
                </w:tcPr>
                <w:p w14:paraId="622FB5D1">
                  <w:pPr>
                    <w:keepNext w:val="0"/>
                    <w:keepLines w:val="0"/>
                    <w:widowControl/>
                    <w:suppressLineNumbers w:val="0"/>
                    <w:jc w:val="center"/>
                    <w:textAlignment w:val="center"/>
                    <w:rPr>
                      <w:rFonts w:hint="default" w:ascii="Times New Roman" w:hAnsi="Times New Roman" w:eastAsia="宋体" w:cs="Times New Roman"/>
                      <w:color w:val="auto"/>
                      <w:spacing w:val="-1"/>
                      <w:kern w:val="2"/>
                      <w:sz w:val="21"/>
                      <w:szCs w:val="21"/>
                      <w:highlight w:val="yellow"/>
                      <w:lang w:val="en-US" w:eastAsia="zh-CN" w:bidi="ar-SA"/>
                    </w:rPr>
                  </w:pPr>
                  <w:r>
                    <w:rPr>
                      <w:rFonts w:hint="default" w:ascii="Times New Roman" w:hAnsi="Times New Roman" w:cs="Times New Roman"/>
                      <w:color w:val="auto"/>
                      <w:spacing w:val="-1"/>
                      <w:kern w:val="2"/>
                      <w:sz w:val="21"/>
                      <w:szCs w:val="21"/>
                      <w:highlight w:val="yellow"/>
                      <w:lang w:val="en-US" w:eastAsia="zh-CN" w:bidi="ar-SA"/>
                    </w:rPr>
                    <w:t>材料比表面积测定</w:t>
                  </w:r>
                </w:p>
              </w:tc>
              <w:tc>
                <w:tcPr>
                  <w:tcW w:w="1347" w:type="dxa"/>
                  <w:tcBorders>
                    <w:tl2br w:val="nil"/>
                    <w:tr2bl w:val="nil"/>
                  </w:tcBorders>
                  <w:shd w:val="clear" w:color="auto" w:fill="auto"/>
                  <w:vAlign w:val="center"/>
                </w:tcPr>
                <w:p w14:paraId="57C3C793">
                  <w:pPr>
                    <w:keepNext w:val="0"/>
                    <w:keepLines w:val="0"/>
                    <w:widowControl/>
                    <w:suppressLineNumbers w:val="0"/>
                    <w:jc w:val="center"/>
                    <w:textAlignment w:val="center"/>
                    <w:rPr>
                      <w:rFonts w:hint="default" w:ascii="Times New Roman" w:hAnsi="Times New Roman" w:eastAsia="宋体" w:cs="Times New Roman"/>
                      <w:color w:val="auto"/>
                      <w:spacing w:val="-1"/>
                      <w:kern w:val="2"/>
                      <w:sz w:val="21"/>
                      <w:szCs w:val="21"/>
                      <w:highlight w:val="yellow"/>
                      <w:lang w:val="en-US" w:eastAsia="zh-CN" w:bidi="ar-SA"/>
                    </w:rPr>
                  </w:pPr>
                  <w:r>
                    <w:rPr>
                      <w:rFonts w:hint="default" w:ascii="Times New Roman" w:hAnsi="Times New Roman" w:cs="Times New Roman"/>
                      <w:color w:val="auto"/>
                      <w:spacing w:val="-1"/>
                      <w:kern w:val="2"/>
                      <w:sz w:val="21"/>
                      <w:szCs w:val="21"/>
                      <w:highlight w:val="yellow"/>
                      <w:lang w:val="en-US" w:eastAsia="zh-CN" w:bidi="ar-SA"/>
                    </w:rPr>
                    <w:t>材料表征间</w:t>
                  </w:r>
                </w:p>
              </w:tc>
            </w:tr>
            <w:tr w14:paraId="29C8C56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4E3473E3">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113B709E">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双分散轴真空行星搅拌机</w:t>
                  </w:r>
                </w:p>
              </w:tc>
              <w:tc>
                <w:tcPr>
                  <w:tcW w:w="1906" w:type="dxa"/>
                  <w:tcBorders>
                    <w:tl2br w:val="nil"/>
                    <w:tr2bl w:val="nil"/>
                  </w:tcBorders>
                  <w:shd w:val="clear" w:color="auto" w:fill="auto"/>
                  <w:vAlign w:val="center"/>
                </w:tcPr>
                <w:p w14:paraId="3A1E51B0">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MSK-SFM-9-5L-2</w:t>
                  </w:r>
                </w:p>
              </w:tc>
              <w:tc>
                <w:tcPr>
                  <w:tcW w:w="827" w:type="dxa"/>
                  <w:tcBorders>
                    <w:tl2br w:val="nil"/>
                    <w:tr2bl w:val="nil"/>
                  </w:tcBorders>
                  <w:shd w:val="clear" w:color="auto" w:fill="auto"/>
                  <w:vAlign w:val="center"/>
                </w:tcPr>
                <w:p w14:paraId="56A39D7C">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cs="Times New Roman"/>
                      <w:color w:val="auto"/>
                      <w:kern w:val="0"/>
                      <w:sz w:val="21"/>
                      <w:szCs w:val="21"/>
                      <w:highlight w:val="yellow"/>
                      <w:lang w:val="en-US" w:eastAsia="zh-CN" w:bidi="ar-SA"/>
                    </w:rPr>
                    <w:t>1</w:t>
                  </w:r>
                </w:p>
              </w:tc>
              <w:tc>
                <w:tcPr>
                  <w:tcW w:w="1400" w:type="dxa"/>
                  <w:tcBorders>
                    <w:tl2br w:val="nil"/>
                    <w:tr2bl w:val="nil"/>
                  </w:tcBorders>
                  <w:shd w:val="clear" w:color="auto" w:fill="auto"/>
                  <w:vAlign w:val="center"/>
                </w:tcPr>
                <w:p w14:paraId="440E20A7">
                  <w:pPr>
                    <w:keepNext w:val="0"/>
                    <w:keepLines w:val="0"/>
                    <w:widowControl/>
                    <w:suppressLineNumbers w:val="0"/>
                    <w:jc w:val="center"/>
                    <w:textAlignment w:val="center"/>
                    <w:rPr>
                      <w:rFonts w:hint="default" w:ascii="Times New Roman" w:hAnsi="Times New Roman" w:eastAsia="宋体" w:cs="Times New Roman"/>
                      <w:color w:val="auto"/>
                      <w:spacing w:val="-1"/>
                      <w:kern w:val="2"/>
                      <w:sz w:val="21"/>
                      <w:szCs w:val="21"/>
                      <w:highlight w:val="yellow"/>
                      <w:lang w:val="en-US" w:eastAsia="zh-CN" w:bidi="ar-SA"/>
                    </w:rPr>
                  </w:pPr>
                  <w:r>
                    <w:rPr>
                      <w:rFonts w:hint="default" w:ascii="Times New Roman" w:hAnsi="Times New Roman" w:cs="Times New Roman"/>
                      <w:color w:val="auto"/>
                      <w:spacing w:val="-1"/>
                      <w:kern w:val="2"/>
                      <w:sz w:val="21"/>
                      <w:szCs w:val="21"/>
                      <w:highlight w:val="yellow"/>
                      <w:lang w:val="en-US" w:eastAsia="zh-CN" w:bidi="ar-SA"/>
                    </w:rPr>
                    <w:t>搅拌</w:t>
                  </w:r>
                </w:p>
              </w:tc>
              <w:tc>
                <w:tcPr>
                  <w:tcW w:w="1347" w:type="dxa"/>
                  <w:tcBorders>
                    <w:tl2br w:val="nil"/>
                    <w:tr2bl w:val="nil"/>
                  </w:tcBorders>
                  <w:shd w:val="clear" w:color="auto" w:fill="auto"/>
                  <w:vAlign w:val="center"/>
                </w:tcPr>
                <w:p w14:paraId="1CEFEB91">
                  <w:pPr>
                    <w:keepNext w:val="0"/>
                    <w:keepLines w:val="0"/>
                    <w:widowControl/>
                    <w:suppressLineNumbers w:val="0"/>
                    <w:jc w:val="center"/>
                    <w:textAlignment w:val="center"/>
                    <w:rPr>
                      <w:rFonts w:hint="default" w:ascii="Times New Roman" w:hAnsi="Times New Roman" w:eastAsia="宋体" w:cs="Times New Roman"/>
                      <w:color w:val="auto"/>
                      <w:spacing w:val="-1"/>
                      <w:kern w:val="2"/>
                      <w:sz w:val="21"/>
                      <w:szCs w:val="21"/>
                      <w:highlight w:val="yellow"/>
                      <w:lang w:val="en-US" w:eastAsia="zh-CN" w:bidi="ar-SA"/>
                    </w:rPr>
                  </w:pPr>
                  <w:r>
                    <w:rPr>
                      <w:rFonts w:hint="default" w:ascii="Times New Roman" w:hAnsi="Times New Roman" w:cs="Times New Roman"/>
                      <w:color w:val="auto"/>
                      <w:spacing w:val="-1"/>
                      <w:kern w:val="2"/>
                      <w:sz w:val="21"/>
                      <w:szCs w:val="21"/>
                      <w:highlight w:val="yellow"/>
                      <w:lang w:val="en-US" w:eastAsia="zh-CN" w:bidi="ar-SA"/>
                    </w:rPr>
                    <w:t>正极制浆间</w:t>
                  </w:r>
                </w:p>
              </w:tc>
            </w:tr>
            <w:tr w14:paraId="78F4BD9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391D81C7">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65FF29AE">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双分散轴真空行星搅拌机</w:t>
                  </w:r>
                </w:p>
              </w:tc>
              <w:tc>
                <w:tcPr>
                  <w:tcW w:w="1906" w:type="dxa"/>
                  <w:tcBorders>
                    <w:tl2br w:val="nil"/>
                    <w:tr2bl w:val="nil"/>
                  </w:tcBorders>
                  <w:shd w:val="clear" w:color="auto" w:fill="auto"/>
                  <w:vAlign w:val="center"/>
                </w:tcPr>
                <w:p w14:paraId="74B61B8C">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MSK-SFM-9-2L-2</w:t>
                  </w:r>
                </w:p>
              </w:tc>
              <w:tc>
                <w:tcPr>
                  <w:tcW w:w="827" w:type="dxa"/>
                  <w:tcBorders>
                    <w:tl2br w:val="nil"/>
                    <w:tr2bl w:val="nil"/>
                  </w:tcBorders>
                  <w:shd w:val="clear" w:color="auto" w:fill="auto"/>
                  <w:vAlign w:val="center"/>
                </w:tcPr>
                <w:p w14:paraId="297B48A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cs="Times New Roman"/>
                      <w:color w:val="auto"/>
                      <w:kern w:val="0"/>
                      <w:sz w:val="21"/>
                      <w:szCs w:val="21"/>
                      <w:highlight w:val="yellow"/>
                      <w:lang w:val="en-US" w:eastAsia="zh-CN" w:bidi="ar-SA"/>
                    </w:rPr>
                    <w:t>1</w:t>
                  </w:r>
                </w:p>
              </w:tc>
              <w:tc>
                <w:tcPr>
                  <w:tcW w:w="1400" w:type="dxa"/>
                  <w:tcBorders>
                    <w:tl2br w:val="nil"/>
                    <w:tr2bl w:val="nil"/>
                  </w:tcBorders>
                  <w:shd w:val="clear" w:color="auto" w:fill="auto"/>
                  <w:vAlign w:val="center"/>
                </w:tcPr>
                <w:p w14:paraId="04AAA202">
                  <w:pPr>
                    <w:jc w:val="center"/>
                    <w:rPr>
                      <w:rFonts w:hint="default" w:ascii="Times New Roman" w:hAnsi="Times New Roman" w:eastAsia="宋体" w:cs="Times New Roman"/>
                      <w:color w:val="auto"/>
                      <w:spacing w:val="-1"/>
                      <w:kern w:val="2"/>
                      <w:sz w:val="21"/>
                      <w:szCs w:val="21"/>
                      <w:highlight w:val="yellow"/>
                      <w:lang w:val="en-US" w:eastAsia="zh-CN" w:bidi="ar-SA"/>
                    </w:rPr>
                  </w:pPr>
                  <w:r>
                    <w:rPr>
                      <w:rFonts w:hint="default" w:ascii="Times New Roman" w:hAnsi="Times New Roman" w:cs="Times New Roman"/>
                      <w:color w:val="auto"/>
                      <w:spacing w:val="-1"/>
                      <w:kern w:val="2"/>
                      <w:sz w:val="21"/>
                      <w:szCs w:val="21"/>
                      <w:highlight w:val="yellow"/>
                      <w:lang w:val="en-US" w:eastAsia="zh-CN" w:bidi="ar-SA"/>
                    </w:rPr>
                    <w:t>搅拌</w:t>
                  </w:r>
                </w:p>
              </w:tc>
              <w:tc>
                <w:tcPr>
                  <w:tcW w:w="1347" w:type="dxa"/>
                  <w:tcBorders>
                    <w:tl2br w:val="nil"/>
                    <w:tr2bl w:val="nil"/>
                  </w:tcBorders>
                  <w:shd w:val="clear" w:color="auto" w:fill="auto"/>
                  <w:vAlign w:val="center"/>
                </w:tcPr>
                <w:p w14:paraId="6DEF6D2D">
                  <w:pPr>
                    <w:keepNext w:val="0"/>
                    <w:keepLines w:val="0"/>
                    <w:widowControl/>
                    <w:suppressLineNumbers w:val="0"/>
                    <w:jc w:val="center"/>
                    <w:textAlignment w:val="center"/>
                    <w:rPr>
                      <w:rFonts w:hint="default" w:ascii="Times New Roman" w:hAnsi="Times New Roman" w:eastAsia="宋体" w:cs="Times New Roman"/>
                      <w:color w:val="auto"/>
                      <w:spacing w:val="-1"/>
                      <w:kern w:val="2"/>
                      <w:sz w:val="21"/>
                      <w:szCs w:val="21"/>
                      <w:highlight w:val="yellow"/>
                      <w:lang w:val="en-US" w:eastAsia="zh-CN" w:bidi="ar-SA"/>
                    </w:rPr>
                  </w:pPr>
                  <w:r>
                    <w:rPr>
                      <w:rFonts w:hint="default" w:ascii="Times New Roman" w:hAnsi="Times New Roman" w:cs="Times New Roman"/>
                      <w:color w:val="auto"/>
                      <w:spacing w:val="-1"/>
                      <w:kern w:val="2"/>
                      <w:sz w:val="21"/>
                      <w:szCs w:val="21"/>
                      <w:highlight w:val="yellow"/>
                      <w:lang w:val="en-US" w:eastAsia="zh-CN" w:bidi="ar-SA"/>
                    </w:rPr>
                    <w:t>正极制浆间</w:t>
                  </w:r>
                </w:p>
              </w:tc>
            </w:tr>
            <w:tr w14:paraId="75F66BC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29A59663">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6B98F908">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数字式粘度计</w:t>
                  </w:r>
                </w:p>
              </w:tc>
              <w:tc>
                <w:tcPr>
                  <w:tcW w:w="1906" w:type="dxa"/>
                  <w:tcBorders>
                    <w:tl2br w:val="nil"/>
                    <w:tr2bl w:val="nil"/>
                  </w:tcBorders>
                  <w:shd w:val="clear" w:color="auto" w:fill="auto"/>
                  <w:vAlign w:val="center"/>
                </w:tcPr>
                <w:p w14:paraId="06B78B5C">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MSK-SFM-VSSR</w:t>
                  </w:r>
                </w:p>
              </w:tc>
              <w:tc>
                <w:tcPr>
                  <w:tcW w:w="827" w:type="dxa"/>
                  <w:tcBorders>
                    <w:tl2br w:val="nil"/>
                    <w:tr2bl w:val="nil"/>
                  </w:tcBorders>
                  <w:shd w:val="clear" w:color="auto" w:fill="auto"/>
                  <w:vAlign w:val="center"/>
                </w:tcPr>
                <w:p w14:paraId="3CE17633">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cs="Times New Roman"/>
                      <w:color w:val="auto"/>
                      <w:kern w:val="0"/>
                      <w:sz w:val="21"/>
                      <w:szCs w:val="21"/>
                      <w:highlight w:val="yellow"/>
                      <w:lang w:val="en-US" w:eastAsia="zh-CN" w:bidi="ar-SA"/>
                    </w:rPr>
                    <w:t>1</w:t>
                  </w:r>
                </w:p>
              </w:tc>
              <w:tc>
                <w:tcPr>
                  <w:tcW w:w="1400" w:type="dxa"/>
                  <w:tcBorders>
                    <w:tl2br w:val="nil"/>
                    <w:tr2bl w:val="nil"/>
                  </w:tcBorders>
                  <w:shd w:val="clear" w:color="auto" w:fill="auto"/>
                  <w:vAlign w:val="center"/>
                </w:tcPr>
                <w:p w14:paraId="2A7E1C60">
                  <w:pPr>
                    <w:jc w:val="center"/>
                    <w:rPr>
                      <w:rFonts w:hint="default" w:ascii="Times New Roman" w:hAnsi="Times New Roman" w:eastAsia="宋体" w:cs="Times New Roman"/>
                      <w:color w:val="auto"/>
                      <w:spacing w:val="-1"/>
                      <w:kern w:val="2"/>
                      <w:sz w:val="21"/>
                      <w:szCs w:val="21"/>
                      <w:highlight w:val="yellow"/>
                      <w:lang w:val="en-US" w:eastAsia="zh-CN" w:bidi="ar-SA"/>
                    </w:rPr>
                  </w:pPr>
                  <w:r>
                    <w:rPr>
                      <w:rFonts w:hint="default" w:ascii="Times New Roman" w:hAnsi="Times New Roman" w:cs="Times New Roman"/>
                      <w:color w:val="auto"/>
                      <w:spacing w:val="-1"/>
                      <w:kern w:val="2"/>
                      <w:sz w:val="21"/>
                      <w:szCs w:val="21"/>
                      <w:highlight w:val="yellow"/>
                      <w:lang w:val="en-US" w:eastAsia="zh-CN" w:bidi="ar-SA"/>
                    </w:rPr>
                    <w:t>粘度测定</w:t>
                  </w:r>
                </w:p>
              </w:tc>
              <w:tc>
                <w:tcPr>
                  <w:tcW w:w="1347" w:type="dxa"/>
                  <w:tcBorders>
                    <w:tl2br w:val="nil"/>
                    <w:tr2bl w:val="nil"/>
                  </w:tcBorders>
                  <w:shd w:val="clear" w:color="auto" w:fill="auto"/>
                  <w:vAlign w:val="center"/>
                </w:tcPr>
                <w:p w14:paraId="763BF6DE">
                  <w:pPr>
                    <w:keepNext w:val="0"/>
                    <w:keepLines w:val="0"/>
                    <w:widowControl/>
                    <w:suppressLineNumbers w:val="0"/>
                    <w:jc w:val="center"/>
                    <w:textAlignment w:val="center"/>
                    <w:rPr>
                      <w:rFonts w:hint="default" w:ascii="Times New Roman" w:hAnsi="Times New Roman" w:eastAsia="宋体" w:cs="Times New Roman"/>
                      <w:color w:val="auto"/>
                      <w:spacing w:val="-1"/>
                      <w:kern w:val="2"/>
                      <w:sz w:val="21"/>
                      <w:szCs w:val="21"/>
                      <w:highlight w:val="yellow"/>
                      <w:lang w:val="en-US" w:eastAsia="zh-CN" w:bidi="ar-SA"/>
                    </w:rPr>
                  </w:pPr>
                  <w:r>
                    <w:rPr>
                      <w:rFonts w:hint="default" w:ascii="Times New Roman" w:hAnsi="Times New Roman" w:cs="Times New Roman"/>
                      <w:color w:val="auto"/>
                      <w:spacing w:val="-1"/>
                      <w:kern w:val="2"/>
                      <w:sz w:val="21"/>
                      <w:szCs w:val="21"/>
                      <w:highlight w:val="yellow"/>
                      <w:lang w:val="en-US" w:eastAsia="zh-CN" w:bidi="ar-SA"/>
                    </w:rPr>
                    <w:t>正极制浆间</w:t>
                  </w:r>
                </w:p>
              </w:tc>
            </w:tr>
            <w:tr w14:paraId="21323AE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4851DCFB">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0249E6FD">
                  <w:pPr>
                    <w:keepNext w:val="0"/>
                    <w:keepLines w:val="0"/>
                    <w:widowControl/>
                    <w:suppressLineNumbers w:val="0"/>
                    <w:jc w:val="center"/>
                    <w:textAlignment w:val="center"/>
                    <w:rPr>
                      <w:rFonts w:hint="default" w:ascii="Times New Roman" w:hAnsi="Times New Roman" w:cs="Times New Roman"/>
                      <w:color w:val="auto"/>
                      <w:kern w:val="0"/>
                      <w:sz w:val="21"/>
                      <w:szCs w:val="21"/>
                      <w:highlight w:val="yellow"/>
                      <w:lang w:val="en-US" w:eastAsia="zh-CN"/>
                    </w:rPr>
                  </w:pPr>
                  <w:r>
                    <w:rPr>
                      <w:rFonts w:hint="default" w:ascii="Times New Roman" w:hAnsi="Times New Roman" w:eastAsia="宋体" w:cs="Times New Roman"/>
                      <w:i w:val="0"/>
                      <w:iCs w:val="0"/>
                      <w:color w:val="000000"/>
                      <w:kern w:val="0"/>
                      <w:sz w:val="21"/>
                      <w:szCs w:val="21"/>
                      <w:highlight w:val="yellow"/>
                      <w:u w:val="none"/>
                      <w:lang w:val="en-US" w:eastAsia="zh-CN" w:bidi="ar"/>
                    </w:rPr>
                    <w:t>刮板细度计</w:t>
                  </w:r>
                </w:p>
              </w:tc>
              <w:tc>
                <w:tcPr>
                  <w:tcW w:w="1906" w:type="dxa"/>
                  <w:tcBorders>
                    <w:tl2br w:val="nil"/>
                    <w:tr2bl w:val="nil"/>
                  </w:tcBorders>
                  <w:shd w:val="clear" w:color="auto" w:fill="auto"/>
                  <w:vAlign w:val="center"/>
                </w:tcPr>
                <w:p w14:paraId="36BFEC23">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QXD0-150um</w:t>
                  </w:r>
                </w:p>
              </w:tc>
              <w:tc>
                <w:tcPr>
                  <w:tcW w:w="827" w:type="dxa"/>
                  <w:tcBorders>
                    <w:tl2br w:val="nil"/>
                    <w:tr2bl w:val="nil"/>
                  </w:tcBorders>
                  <w:shd w:val="clear" w:color="auto" w:fill="auto"/>
                  <w:vAlign w:val="center"/>
                </w:tcPr>
                <w:p w14:paraId="6ED75C91">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1</w:t>
                  </w:r>
                </w:p>
              </w:tc>
              <w:tc>
                <w:tcPr>
                  <w:tcW w:w="1400" w:type="dxa"/>
                  <w:tcBorders>
                    <w:tl2br w:val="nil"/>
                    <w:tr2bl w:val="nil"/>
                  </w:tcBorders>
                  <w:shd w:val="clear" w:color="auto" w:fill="auto"/>
                  <w:vAlign w:val="center"/>
                </w:tcPr>
                <w:p w14:paraId="5D4584CA">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细度测定</w:t>
                  </w:r>
                </w:p>
              </w:tc>
              <w:tc>
                <w:tcPr>
                  <w:tcW w:w="1347" w:type="dxa"/>
                  <w:tcBorders>
                    <w:tl2br w:val="nil"/>
                    <w:tr2bl w:val="nil"/>
                  </w:tcBorders>
                  <w:shd w:val="clear" w:color="auto" w:fill="auto"/>
                  <w:vAlign w:val="center"/>
                </w:tcPr>
                <w:p w14:paraId="682A0A79">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kern w:val="2"/>
                      <w:sz w:val="21"/>
                      <w:szCs w:val="21"/>
                      <w:highlight w:val="yellow"/>
                      <w:lang w:val="en-US" w:eastAsia="zh-CN" w:bidi="ar-SA"/>
                    </w:rPr>
                    <w:t>正极制浆间</w:t>
                  </w:r>
                </w:p>
              </w:tc>
            </w:tr>
            <w:tr w14:paraId="1283B94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4CAA72F3">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71E15BBD">
                  <w:pPr>
                    <w:keepNext w:val="0"/>
                    <w:keepLines w:val="0"/>
                    <w:widowControl/>
                    <w:suppressLineNumbers w:val="0"/>
                    <w:jc w:val="center"/>
                    <w:textAlignment w:val="center"/>
                    <w:rPr>
                      <w:rFonts w:hint="default" w:ascii="Times New Roman" w:hAnsi="Times New Roman" w:cs="Times New Roman"/>
                      <w:color w:val="auto"/>
                      <w:kern w:val="0"/>
                      <w:sz w:val="21"/>
                      <w:szCs w:val="21"/>
                      <w:highlight w:val="yellow"/>
                      <w:lang w:val="en-US" w:eastAsia="zh-CN"/>
                    </w:rPr>
                  </w:pPr>
                  <w:r>
                    <w:rPr>
                      <w:rFonts w:hint="default" w:ascii="Times New Roman" w:hAnsi="Times New Roman" w:eastAsia="宋体" w:cs="Times New Roman"/>
                      <w:i w:val="0"/>
                      <w:iCs w:val="0"/>
                      <w:color w:val="000000"/>
                      <w:kern w:val="0"/>
                      <w:sz w:val="21"/>
                      <w:szCs w:val="21"/>
                      <w:highlight w:val="yellow"/>
                      <w:u w:val="none"/>
                      <w:lang w:val="en-US" w:eastAsia="zh-CN" w:bidi="ar"/>
                    </w:rPr>
                    <w:t>水分测定仪</w:t>
                  </w:r>
                </w:p>
              </w:tc>
              <w:tc>
                <w:tcPr>
                  <w:tcW w:w="1906" w:type="dxa"/>
                  <w:tcBorders>
                    <w:tl2br w:val="nil"/>
                    <w:tr2bl w:val="nil"/>
                  </w:tcBorders>
                  <w:shd w:val="clear" w:color="auto" w:fill="auto"/>
                  <w:vAlign w:val="center"/>
                </w:tcPr>
                <w:p w14:paraId="46FCDB89">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MA37-1CN</w:t>
                  </w:r>
                </w:p>
              </w:tc>
              <w:tc>
                <w:tcPr>
                  <w:tcW w:w="827" w:type="dxa"/>
                  <w:tcBorders>
                    <w:tl2br w:val="nil"/>
                    <w:tr2bl w:val="nil"/>
                  </w:tcBorders>
                  <w:shd w:val="clear" w:color="auto" w:fill="auto"/>
                  <w:vAlign w:val="center"/>
                </w:tcPr>
                <w:p w14:paraId="4BBE4F46">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1</w:t>
                  </w:r>
                </w:p>
              </w:tc>
              <w:tc>
                <w:tcPr>
                  <w:tcW w:w="1400" w:type="dxa"/>
                  <w:tcBorders>
                    <w:tl2br w:val="nil"/>
                    <w:tr2bl w:val="nil"/>
                  </w:tcBorders>
                  <w:shd w:val="clear" w:color="auto" w:fill="auto"/>
                  <w:vAlign w:val="center"/>
                </w:tcPr>
                <w:p w14:paraId="636CE0B8">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水分测定</w:t>
                  </w:r>
                </w:p>
              </w:tc>
              <w:tc>
                <w:tcPr>
                  <w:tcW w:w="1347" w:type="dxa"/>
                  <w:tcBorders>
                    <w:tl2br w:val="nil"/>
                    <w:tr2bl w:val="nil"/>
                  </w:tcBorders>
                  <w:shd w:val="clear" w:color="auto" w:fill="auto"/>
                  <w:vAlign w:val="center"/>
                </w:tcPr>
                <w:p w14:paraId="1A4217F0">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kern w:val="2"/>
                      <w:sz w:val="21"/>
                      <w:szCs w:val="21"/>
                      <w:highlight w:val="yellow"/>
                      <w:lang w:val="en-US" w:eastAsia="zh-CN" w:bidi="ar-SA"/>
                    </w:rPr>
                    <w:t>正极制浆间</w:t>
                  </w:r>
                </w:p>
              </w:tc>
            </w:tr>
            <w:tr w14:paraId="79465D7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13D03340">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6CD0C6BC">
                  <w:pPr>
                    <w:keepNext w:val="0"/>
                    <w:keepLines w:val="0"/>
                    <w:widowControl/>
                    <w:suppressLineNumbers w:val="0"/>
                    <w:jc w:val="center"/>
                    <w:textAlignment w:val="center"/>
                    <w:rPr>
                      <w:rFonts w:hint="default" w:ascii="Times New Roman" w:hAnsi="Times New Roman" w:cs="Times New Roman"/>
                      <w:color w:val="auto"/>
                      <w:kern w:val="0"/>
                      <w:sz w:val="21"/>
                      <w:szCs w:val="21"/>
                      <w:highlight w:val="yellow"/>
                      <w:lang w:val="en-US" w:eastAsia="zh-CN"/>
                    </w:rPr>
                  </w:pPr>
                  <w:r>
                    <w:rPr>
                      <w:rFonts w:hint="default" w:ascii="Times New Roman" w:hAnsi="Times New Roman" w:eastAsia="宋体" w:cs="Times New Roman"/>
                      <w:i w:val="0"/>
                      <w:iCs w:val="0"/>
                      <w:color w:val="000000"/>
                      <w:kern w:val="0"/>
                      <w:sz w:val="21"/>
                      <w:szCs w:val="21"/>
                      <w:highlight w:val="yellow"/>
                      <w:u w:val="none"/>
                      <w:lang w:val="en-US" w:eastAsia="zh-CN" w:bidi="ar"/>
                    </w:rPr>
                    <w:t>真空干燥箱</w:t>
                  </w:r>
                </w:p>
              </w:tc>
              <w:tc>
                <w:tcPr>
                  <w:tcW w:w="1906" w:type="dxa"/>
                  <w:tcBorders>
                    <w:tl2br w:val="nil"/>
                    <w:tr2bl w:val="nil"/>
                  </w:tcBorders>
                  <w:shd w:val="clear" w:color="auto" w:fill="auto"/>
                  <w:vAlign w:val="center"/>
                </w:tcPr>
                <w:p w14:paraId="1774F2FD">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DZF-6210（含真空泵DRV-16）</w:t>
                  </w:r>
                </w:p>
              </w:tc>
              <w:tc>
                <w:tcPr>
                  <w:tcW w:w="827" w:type="dxa"/>
                  <w:tcBorders>
                    <w:tl2br w:val="nil"/>
                    <w:tr2bl w:val="nil"/>
                  </w:tcBorders>
                  <w:shd w:val="clear" w:color="auto" w:fill="auto"/>
                  <w:vAlign w:val="center"/>
                </w:tcPr>
                <w:p w14:paraId="4D831BAF">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1</w:t>
                  </w:r>
                </w:p>
              </w:tc>
              <w:tc>
                <w:tcPr>
                  <w:tcW w:w="1400" w:type="dxa"/>
                  <w:tcBorders>
                    <w:tl2br w:val="nil"/>
                    <w:tr2bl w:val="nil"/>
                  </w:tcBorders>
                  <w:shd w:val="clear" w:color="auto" w:fill="auto"/>
                  <w:vAlign w:val="center"/>
                </w:tcPr>
                <w:p w14:paraId="5EF215A6">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材料干燥</w:t>
                  </w:r>
                </w:p>
              </w:tc>
              <w:tc>
                <w:tcPr>
                  <w:tcW w:w="1347" w:type="dxa"/>
                  <w:tcBorders>
                    <w:tl2br w:val="nil"/>
                    <w:tr2bl w:val="nil"/>
                  </w:tcBorders>
                  <w:shd w:val="clear" w:color="auto" w:fill="auto"/>
                  <w:vAlign w:val="center"/>
                </w:tcPr>
                <w:p w14:paraId="6DFF2420">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kern w:val="2"/>
                      <w:sz w:val="21"/>
                      <w:szCs w:val="21"/>
                      <w:highlight w:val="yellow"/>
                      <w:lang w:val="en-US" w:eastAsia="zh-CN" w:bidi="ar-SA"/>
                    </w:rPr>
                    <w:t>正极制浆间</w:t>
                  </w:r>
                </w:p>
              </w:tc>
            </w:tr>
            <w:tr w14:paraId="212231B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44AB4618">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6347BE2D">
                  <w:pPr>
                    <w:keepNext w:val="0"/>
                    <w:keepLines w:val="0"/>
                    <w:widowControl/>
                    <w:suppressLineNumbers w:val="0"/>
                    <w:jc w:val="center"/>
                    <w:textAlignment w:val="center"/>
                    <w:rPr>
                      <w:rFonts w:hint="default" w:ascii="Times New Roman" w:hAnsi="Times New Roman" w:cs="Times New Roman"/>
                      <w:color w:val="auto"/>
                      <w:kern w:val="0"/>
                      <w:sz w:val="21"/>
                      <w:szCs w:val="21"/>
                      <w:highlight w:val="yellow"/>
                      <w:lang w:val="en-US" w:eastAsia="zh-CN"/>
                    </w:rPr>
                  </w:pPr>
                  <w:r>
                    <w:rPr>
                      <w:rFonts w:hint="default" w:ascii="Times New Roman" w:hAnsi="Times New Roman" w:eastAsia="宋体" w:cs="Times New Roman"/>
                      <w:i w:val="0"/>
                      <w:iCs w:val="0"/>
                      <w:color w:val="000000"/>
                      <w:kern w:val="0"/>
                      <w:sz w:val="21"/>
                      <w:szCs w:val="21"/>
                      <w:highlight w:val="yellow"/>
                      <w:u w:val="none"/>
                      <w:lang w:val="en-US" w:eastAsia="zh-CN" w:bidi="ar"/>
                    </w:rPr>
                    <w:t>真空干燥箱</w:t>
                  </w:r>
                </w:p>
              </w:tc>
              <w:tc>
                <w:tcPr>
                  <w:tcW w:w="1906" w:type="dxa"/>
                  <w:tcBorders>
                    <w:tl2br w:val="nil"/>
                    <w:tr2bl w:val="nil"/>
                  </w:tcBorders>
                  <w:shd w:val="clear" w:color="auto" w:fill="auto"/>
                  <w:vAlign w:val="center"/>
                </w:tcPr>
                <w:p w14:paraId="54F4C66E">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DZF-6050</w:t>
                  </w:r>
                </w:p>
              </w:tc>
              <w:tc>
                <w:tcPr>
                  <w:tcW w:w="827" w:type="dxa"/>
                  <w:tcBorders>
                    <w:tl2br w:val="nil"/>
                    <w:tr2bl w:val="nil"/>
                  </w:tcBorders>
                  <w:shd w:val="clear" w:color="auto" w:fill="auto"/>
                  <w:vAlign w:val="center"/>
                </w:tcPr>
                <w:p w14:paraId="510AB53D">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1</w:t>
                  </w:r>
                </w:p>
              </w:tc>
              <w:tc>
                <w:tcPr>
                  <w:tcW w:w="1400" w:type="dxa"/>
                  <w:tcBorders>
                    <w:tl2br w:val="nil"/>
                    <w:tr2bl w:val="nil"/>
                  </w:tcBorders>
                  <w:shd w:val="clear" w:color="auto" w:fill="auto"/>
                  <w:vAlign w:val="center"/>
                </w:tcPr>
                <w:p w14:paraId="59AFA067">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材料干燥</w:t>
                  </w:r>
                </w:p>
              </w:tc>
              <w:tc>
                <w:tcPr>
                  <w:tcW w:w="1347" w:type="dxa"/>
                  <w:tcBorders>
                    <w:tl2br w:val="nil"/>
                    <w:tr2bl w:val="nil"/>
                  </w:tcBorders>
                  <w:shd w:val="clear" w:color="auto" w:fill="auto"/>
                  <w:vAlign w:val="center"/>
                </w:tcPr>
                <w:p w14:paraId="2992711D">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kern w:val="2"/>
                      <w:sz w:val="21"/>
                      <w:szCs w:val="21"/>
                      <w:highlight w:val="yellow"/>
                      <w:lang w:val="en-US" w:eastAsia="zh-CN" w:bidi="ar-SA"/>
                    </w:rPr>
                    <w:t>正极制浆间</w:t>
                  </w:r>
                </w:p>
              </w:tc>
            </w:tr>
            <w:tr w14:paraId="2B70DA4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01CA67C4">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39C6955C">
                  <w:pPr>
                    <w:keepNext w:val="0"/>
                    <w:keepLines w:val="0"/>
                    <w:widowControl/>
                    <w:suppressLineNumbers w:val="0"/>
                    <w:jc w:val="center"/>
                    <w:textAlignment w:val="center"/>
                    <w:rPr>
                      <w:rFonts w:hint="default" w:ascii="Times New Roman" w:hAnsi="Times New Roman" w:cs="Times New Roman"/>
                      <w:color w:val="auto"/>
                      <w:kern w:val="0"/>
                      <w:sz w:val="21"/>
                      <w:szCs w:val="21"/>
                      <w:highlight w:val="yellow"/>
                      <w:lang w:val="en-US" w:eastAsia="zh-CN"/>
                    </w:rPr>
                  </w:pPr>
                  <w:r>
                    <w:rPr>
                      <w:rFonts w:hint="default" w:ascii="Times New Roman" w:hAnsi="Times New Roman" w:eastAsia="宋体" w:cs="Times New Roman"/>
                      <w:i w:val="0"/>
                      <w:iCs w:val="0"/>
                      <w:color w:val="000000"/>
                      <w:kern w:val="0"/>
                      <w:sz w:val="21"/>
                      <w:szCs w:val="21"/>
                      <w:highlight w:val="yellow"/>
                      <w:u w:val="none"/>
                      <w:lang w:val="en-US" w:eastAsia="zh-CN" w:bidi="ar"/>
                    </w:rPr>
                    <w:t>双分散轴真空行星搅拌机</w:t>
                  </w:r>
                </w:p>
              </w:tc>
              <w:tc>
                <w:tcPr>
                  <w:tcW w:w="1906" w:type="dxa"/>
                  <w:tcBorders>
                    <w:tl2br w:val="nil"/>
                    <w:tr2bl w:val="nil"/>
                  </w:tcBorders>
                  <w:shd w:val="clear" w:color="auto" w:fill="auto"/>
                  <w:vAlign w:val="center"/>
                </w:tcPr>
                <w:p w14:paraId="5CD0C56D">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MSK-SFM-9-5L-2</w:t>
                  </w:r>
                </w:p>
              </w:tc>
              <w:tc>
                <w:tcPr>
                  <w:tcW w:w="827" w:type="dxa"/>
                  <w:tcBorders>
                    <w:tl2br w:val="nil"/>
                    <w:tr2bl w:val="nil"/>
                  </w:tcBorders>
                  <w:shd w:val="clear" w:color="auto" w:fill="auto"/>
                  <w:vAlign w:val="center"/>
                </w:tcPr>
                <w:p w14:paraId="1D8BA750">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1</w:t>
                  </w:r>
                </w:p>
              </w:tc>
              <w:tc>
                <w:tcPr>
                  <w:tcW w:w="1400" w:type="dxa"/>
                  <w:tcBorders>
                    <w:tl2br w:val="nil"/>
                    <w:tr2bl w:val="nil"/>
                  </w:tcBorders>
                  <w:shd w:val="clear" w:color="auto" w:fill="auto"/>
                  <w:vAlign w:val="center"/>
                </w:tcPr>
                <w:p w14:paraId="5CF03EDD">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搅拌</w:t>
                  </w:r>
                </w:p>
              </w:tc>
              <w:tc>
                <w:tcPr>
                  <w:tcW w:w="1347" w:type="dxa"/>
                  <w:tcBorders>
                    <w:tl2br w:val="nil"/>
                    <w:tr2bl w:val="nil"/>
                  </w:tcBorders>
                  <w:shd w:val="clear" w:color="auto" w:fill="auto"/>
                  <w:vAlign w:val="center"/>
                </w:tcPr>
                <w:p w14:paraId="6E069610">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kern w:val="2"/>
                      <w:sz w:val="21"/>
                      <w:szCs w:val="21"/>
                      <w:highlight w:val="yellow"/>
                      <w:lang w:val="en-US" w:eastAsia="zh-CN" w:bidi="ar-SA"/>
                    </w:rPr>
                    <w:t>负极制浆间</w:t>
                  </w:r>
                </w:p>
              </w:tc>
            </w:tr>
            <w:tr w14:paraId="51E84AE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33367588">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019122DC">
                  <w:pPr>
                    <w:keepNext w:val="0"/>
                    <w:keepLines w:val="0"/>
                    <w:widowControl/>
                    <w:suppressLineNumbers w:val="0"/>
                    <w:jc w:val="center"/>
                    <w:textAlignment w:val="center"/>
                    <w:rPr>
                      <w:rFonts w:hint="default" w:ascii="Times New Roman" w:hAnsi="Times New Roman" w:cs="Times New Roman"/>
                      <w:color w:val="auto"/>
                      <w:kern w:val="0"/>
                      <w:sz w:val="21"/>
                      <w:szCs w:val="21"/>
                      <w:highlight w:val="yellow"/>
                      <w:lang w:val="en-US" w:eastAsia="zh-CN"/>
                    </w:rPr>
                  </w:pPr>
                  <w:r>
                    <w:rPr>
                      <w:rFonts w:hint="default" w:ascii="Times New Roman" w:hAnsi="Times New Roman" w:eastAsia="宋体" w:cs="Times New Roman"/>
                      <w:i w:val="0"/>
                      <w:iCs w:val="0"/>
                      <w:color w:val="000000"/>
                      <w:kern w:val="0"/>
                      <w:sz w:val="21"/>
                      <w:szCs w:val="21"/>
                      <w:highlight w:val="yellow"/>
                      <w:u w:val="none"/>
                      <w:lang w:val="en-US" w:eastAsia="zh-CN" w:bidi="ar"/>
                    </w:rPr>
                    <w:t>电子天平</w:t>
                  </w:r>
                </w:p>
              </w:tc>
              <w:tc>
                <w:tcPr>
                  <w:tcW w:w="1906" w:type="dxa"/>
                  <w:tcBorders>
                    <w:tl2br w:val="nil"/>
                    <w:tr2bl w:val="nil"/>
                  </w:tcBorders>
                  <w:shd w:val="clear" w:color="auto" w:fill="auto"/>
                  <w:vAlign w:val="center"/>
                </w:tcPr>
                <w:p w14:paraId="6C2672EC">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JS-15A</w:t>
                  </w:r>
                </w:p>
              </w:tc>
              <w:tc>
                <w:tcPr>
                  <w:tcW w:w="827" w:type="dxa"/>
                  <w:tcBorders>
                    <w:tl2br w:val="nil"/>
                    <w:tr2bl w:val="nil"/>
                  </w:tcBorders>
                  <w:shd w:val="clear" w:color="auto" w:fill="auto"/>
                  <w:vAlign w:val="center"/>
                </w:tcPr>
                <w:p w14:paraId="4BE7BBE3">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1</w:t>
                  </w:r>
                </w:p>
              </w:tc>
              <w:tc>
                <w:tcPr>
                  <w:tcW w:w="1400" w:type="dxa"/>
                  <w:tcBorders>
                    <w:tl2br w:val="nil"/>
                    <w:tr2bl w:val="nil"/>
                  </w:tcBorders>
                  <w:shd w:val="clear" w:color="auto" w:fill="auto"/>
                  <w:vAlign w:val="center"/>
                </w:tcPr>
                <w:p w14:paraId="656E94DA">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称量</w:t>
                  </w:r>
                </w:p>
              </w:tc>
              <w:tc>
                <w:tcPr>
                  <w:tcW w:w="1347" w:type="dxa"/>
                  <w:tcBorders>
                    <w:tl2br w:val="nil"/>
                    <w:tr2bl w:val="nil"/>
                  </w:tcBorders>
                  <w:shd w:val="clear" w:color="auto" w:fill="auto"/>
                  <w:vAlign w:val="center"/>
                </w:tcPr>
                <w:p w14:paraId="639EAA66">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kern w:val="2"/>
                      <w:sz w:val="21"/>
                      <w:szCs w:val="21"/>
                      <w:highlight w:val="yellow"/>
                      <w:lang w:val="en-US" w:eastAsia="zh-CN" w:bidi="ar-SA"/>
                    </w:rPr>
                    <w:t>负极制浆间</w:t>
                  </w:r>
                </w:p>
              </w:tc>
            </w:tr>
            <w:tr w14:paraId="782B93B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04AB3066">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076ADA07">
                  <w:pPr>
                    <w:keepNext w:val="0"/>
                    <w:keepLines w:val="0"/>
                    <w:widowControl/>
                    <w:suppressLineNumbers w:val="0"/>
                    <w:jc w:val="center"/>
                    <w:textAlignment w:val="center"/>
                    <w:rPr>
                      <w:rFonts w:hint="default" w:ascii="Times New Roman" w:hAnsi="Times New Roman" w:cs="Times New Roman"/>
                      <w:color w:val="auto"/>
                      <w:kern w:val="0"/>
                      <w:sz w:val="21"/>
                      <w:szCs w:val="21"/>
                      <w:highlight w:val="yellow"/>
                      <w:lang w:val="en-US" w:eastAsia="zh-CN"/>
                    </w:rPr>
                  </w:pPr>
                  <w:r>
                    <w:rPr>
                      <w:rFonts w:hint="default" w:ascii="Times New Roman" w:hAnsi="Times New Roman" w:eastAsia="宋体" w:cs="Times New Roman"/>
                      <w:i w:val="0"/>
                      <w:iCs w:val="0"/>
                      <w:color w:val="000000"/>
                      <w:kern w:val="0"/>
                      <w:sz w:val="21"/>
                      <w:szCs w:val="21"/>
                      <w:highlight w:val="yellow"/>
                      <w:u w:val="none"/>
                      <w:lang w:val="en-US" w:eastAsia="zh-CN" w:bidi="ar"/>
                    </w:rPr>
                    <w:t>台式超纯水机</w:t>
                  </w:r>
                </w:p>
              </w:tc>
              <w:tc>
                <w:tcPr>
                  <w:tcW w:w="1906" w:type="dxa"/>
                  <w:tcBorders>
                    <w:tl2br w:val="nil"/>
                    <w:tr2bl w:val="nil"/>
                  </w:tcBorders>
                  <w:shd w:val="clear" w:color="auto" w:fill="auto"/>
                  <w:vAlign w:val="center"/>
                </w:tcPr>
                <w:p w14:paraId="7354474C">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AXLM1820</w:t>
                  </w:r>
                </w:p>
              </w:tc>
              <w:tc>
                <w:tcPr>
                  <w:tcW w:w="827" w:type="dxa"/>
                  <w:tcBorders>
                    <w:tl2br w:val="nil"/>
                    <w:tr2bl w:val="nil"/>
                  </w:tcBorders>
                  <w:shd w:val="clear" w:color="auto" w:fill="auto"/>
                  <w:vAlign w:val="center"/>
                </w:tcPr>
                <w:p w14:paraId="4E95D7E9">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1</w:t>
                  </w:r>
                </w:p>
              </w:tc>
              <w:tc>
                <w:tcPr>
                  <w:tcW w:w="1400" w:type="dxa"/>
                  <w:tcBorders>
                    <w:tl2br w:val="nil"/>
                    <w:tr2bl w:val="nil"/>
                  </w:tcBorders>
                  <w:shd w:val="clear" w:color="auto" w:fill="auto"/>
                  <w:vAlign w:val="center"/>
                </w:tcPr>
                <w:p w14:paraId="32A67376">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制备超纯水</w:t>
                  </w:r>
                </w:p>
              </w:tc>
              <w:tc>
                <w:tcPr>
                  <w:tcW w:w="1347" w:type="dxa"/>
                  <w:tcBorders>
                    <w:tl2br w:val="nil"/>
                    <w:tr2bl w:val="nil"/>
                  </w:tcBorders>
                  <w:shd w:val="clear" w:color="auto" w:fill="auto"/>
                  <w:vAlign w:val="center"/>
                </w:tcPr>
                <w:p w14:paraId="49235989">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kern w:val="2"/>
                      <w:sz w:val="21"/>
                      <w:szCs w:val="21"/>
                      <w:highlight w:val="yellow"/>
                      <w:lang w:val="en-US" w:eastAsia="zh-CN" w:bidi="ar-SA"/>
                    </w:rPr>
                    <w:t>负极制浆间</w:t>
                  </w:r>
                </w:p>
              </w:tc>
            </w:tr>
            <w:tr w14:paraId="6FD3EF9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0F41D89F">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1FAF2DCB">
                  <w:pPr>
                    <w:keepNext w:val="0"/>
                    <w:keepLines w:val="0"/>
                    <w:widowControl/>
                    <w:suppressLineNumbers w:val="0"/>
                    <w:jc w:val="center"/>
                    <w:textAlignment w:val="center"/>
                    <w:rPr>
                      <w:rFonts w:hint="default" w:ascii="Times New Roman" w:hAnsi="Times New Roman" w:cs="Times New Roman"/>
                      <w:color w:val="auto"/>
                      <w:kern w:val="0"/>
                      <w:sz w:val="21"/>
                      <w:szCs w:val="21"/>
                      <w:highlight w:val="yellow"/>
                      <w:lang w:val="en-US" w:eastAsia="zh-CN"/>
                    </w:rPr>
                  </w:pPr>
                  <w:r>
                    <w:rPr>
                      <w:rFonts w:hint="default" w:ascii="Times New Roman" w:hAnsi="Times New Roman" w:eastAsia="宋体" w:cs="Times New Roman"/>
                      <w:i w:val="0"/>
                      <w:iCs w:val="0"/>
                      <w:color w:val="000000"/>
                      <w:kern w:val="0"/>
                      <w:sz w:val="21"/>
                      <w:szCs w:val="21"/>
                      <w:highlight w:val="yellow"/>
                      <w:u w:val="none"/>
                      <w:lang w:val="en-US" w:eastAsia="zh-CN" w:bidi="ar"/>
                    </w:rPr>
                    <w:t>超声波清洗机</w:t>
                  </w:r>
                </w:p>
              </w:tc>
              <w:tc>
                <w:tcPr>
                  <w:tcW w:w="1906" w:type="dxa"/>
                  <w:tcBorders>
                    <w:tl2br w:val="nil"/>
                    <w:tr2bl w:val="nil"/>
                  </w:tcBorders>
                  <w:shd w:val="clear" w:color="auto" w:fill="auto"/>
                  <w:vAlign w:val="center"/>
                </w:tcPr>
                <w:p w14:paraId="0D8C8CC9">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VGT-2013QTD</w:t>
                  </w:r>
                </w:p>
              </w:tc>
              <w:tc>
                <w:tcPr>
                  <w:tcW w:w="827" w:type="dxa"/>
                  <w:tcBorders>
                    <w:tl2br w:val="nil"/>
                    <w:tr2bl w:val="nil"/>
                  </w:tcBorders>
                  <w:shd w:val="clear" w:color="auto" w:fill="auto"/>
                  <w:vAlign w:val="center"/>
                </w:tcPr>
                <w:p w14:paraId="31DAFAB1">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1</w:t>
                  </w:r>
                </w:p>
              </w:tc>
              <w:tc>
                <w:tcPr>
                  <w:tcW w:w="1400" w:type="dxa"/>
                  <w:tcBorders>
                    <w:tl2br w:val="nil"/>
                    <w:tr2bl w:val="nil"/>
                  </w:tcBorders>
                  <w:shd w:val="clear" w:color="auto" w:fill="auto"/>
                  <w:vAlign w:val="center"/>
                </w:tcPr>
                <w:p w14:paraId="0D987842">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仪器清洗</w:t>
                  </w:r>
                </w:p>
              </w:tc>
              <w:tc>
                <w:tcPr>
                  <w:tcW w:w="1347" w:type="dxa"/>
                  <w:tcBorders>
                    <w:tl2br w:val="nil"/>
                    <w:tr2bl w:val="nil"/>
                  </w:tcBorders>
                  <w:shd w:val="clear" w:color="auto" w:fill="auto"/>
                  <w:vAlign w:val="center"/>
                </w:tcPr>
                <w:p w14:paraId="5BA0C288">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kern w:val="2"/>
                      <w:sz w:val="21"/>
                      <w:szCs w:val="21"/>
                      <w:highlight w:val="yellow"/>
                      <w:lang w:val="en-US" w:eastAsia="zh-CN" w:bidi="ar-SA"/>
                    </w:rPr>
                    <w:t>负极制浆间</w:t>
                  </w:r>
                </w:p>
              </w:tc>
            </w:tr>
            <w:tr w14:paraId="45164E5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2073F7D9">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21243E95">
                  <w:pPr>
                    <w:keepNext w:val="0"/>
                    <w:keepLines w:val="0"/>
                    <w:widowControl/>
                    <w:suppressLineNumbers w:val="0"/>
                    <w:jc w:val="center"/>
                    <w:textAlignment w:val="center"/>
                    <w:rPr>
                      <w:rFonts w:hint="default" w:ascii="Times New Roman" w:hAnsi="Times New Roman" w:cs="Times New Roman"/>
                      <w:color w:val="auto"/>
                      <w:kern w:val="0"/>
                      <w:sz w:val="21"/>
                      <w:szCs w:val="21"/>
                      <w:highlight w:val="yellow"/>
                      <w:lang w:val="en-US" w:eastAsia="zh-CN"/>
                    </w:rPr>
                  </w:pPr>
                  <w:r>
                    <w:rPr>
                      <w:rFonts w:hint="default" w:ascii="Times New Roman" w:hAnsi="Times New Roman" w:eastAsia="宋体" w:cs="Times New Roman"/>
                      <w:i w:val="0"/>
                      <w:iCs w:val="0"/>
                      <w:color w:val="000000"/>
                      <w:kern w:val="0"/>
                      <w:sz w:val="21"/>
                      <w:szCs w:val="21"/>
                      <w:highlight w:val="yellow"/>
                      <w:u w:val="none"/>
                      <w:lang w:val="en-US" w:eastAsia="zh-CN" w:bidi="ar"/>
                    </w:rPr>
                    <w:t>鼓风干燥箱</w:t>
                  </w:r>
                </w:p>
              </w:tc>
              <w:tc>
                <w:tcPr>
                  <w:tcW w:w="1906" w:type="dxa"/>
                  <w:tcBorders>
                    <w:tl2br w:val="nil"/>
                    <w:tr2bl w:val="nil"/>
                  </w:tcBorders>
                  <w:shd w:val="clear" w:color="auto" w:fill="auto"/>
                  <w:vAlign w:val="center"/>
                </w:tcPr>
                <w:p w14:paraId="021CA1B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DHG-9030A</w:t>
                  </w:r>
                </w:p>
              </w:tc>
              <w:tc>
                <w:tcPr>
                  <w:tcW w:w="827" w:type="dxa"/>
                  <w:tcBorders>
                    <w:tl2br w:val="nil"/>
                    <w:tr2bl w:val="nil"/>
                  </w:tcBorders>
                  <w:shd w:val="clear" w:color="auto" w:fill="auto"/>
                  <w:vAlign w:val="center"/>
                </w:tcPr>
                <w:p w14:paraId="7E1515CD">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1</w:t>
                  </w:r>
                </w:p>
              </w:tc>
              <w:tc>
                <w:tcPr>
                  <w:tcW w:w="1400" w:type="dxa"/>
                  <w:tcBorders>
                    <w:tl2br w:val="nil"/>
                    <w:tr2bl w:val="nil"/>
                  </w:tcBorders>
                  <w:shd w:val="clear" w:color="auto" w:fill="auto"/>
                  <w:vAlign w:val="center"/>
                </w:tcPr>
                <w:p w14:paraId="372BF650">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仪器干燥</w:t>
                  </w:r>
                </w:p>
              </w:tc>
              <w:tc>
                <w:tcPr>
                  <w:tcW w:w="1347" w:type="dxa"/>
                  <w:tcBorders>
                    <w:tl2br w:val="nil"/>
                    <w:tr2bl w:val="nil"/>
                  </w:tcBorders>
                  <w:shd w:val="clear" w:color="auto" w:fill="auto"/>
                  <w:vAlign w:val="center"/>
                </w:tcPr>
                <w:p w14:paraId="0277590F">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kern w:val="2"/>
                      <w:sz w:val="21"/>
                      <w:szCs w:val="21"/>
                      <w:highlight w:val="yellow"/>
                      <w:lang w:val="en-US" w:eastAsia="zh-CN" w:bidi="ar-SA"/>
                    </w:rPr>
                    <w:t>负极制浆间</w:t>
                  </w:r>
                </w:p>
              </w:tc>
            </w:tr>
            <w:tr w14:paraId="0E63831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47AE3D6A">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21624818">
                  <w:pPr>
                    <w:keepNext w:val="0"/>
                    <w:keepLines w:val="0"/>
                    <w:widowControl/>
                    <w:suppressLineNumbers w:val="0"/>
                    <w:jc w:val="center"/>
                    <w:textAlignment w:val="center"/>
                    <w:rPr>
                      <w:rFonts w:hint="default" w:ascii="Times New Roman" w:hAnsi="Times New Roman" w:cs="Times New Roman"/>
                      <w:color w:val="auto"/>
                      <w:kern w:val="0"/>
                      <w:sz w:val="21"/>
                      <w:szCs w:val="21"/>
                      <w:highlight w:val="yellow"/>
                      <w:lang w:val="en-US" w:eastAsia="zh-CN"/>
                    </w:rPr>
                  </w:pPr>
                  <w:r>
                    <w:rPr>
                      <w:rFonts w:hint="default" w:ascii="Times New Roman" w:hAnsi="Times New Roman" w:eastAsia="宋体" w:cs="Times New Roman"/>
                      <w:i w:val="0"/>
                      <w:iCs w:val="0"/>
                      <w:color w:val="000000"/>
                      <w:kern w:val="0"/>
                      <w:sz w:val="21"/>
                      <w:szCs w:val="21"/>
                      <w:highlight w:val="yellow"/>
                      <w:u w:val="none"/>
                      <w:lang w:val="en-US" w:eastAsia="zh-CN" w:bidi="ar"/>
                    </w:rPr>
                    <w:t>电子天平</w:t>
                  </w:r>
                </w:p>
              </w:tc>
              <w:tc>
                <w:tcPr>
                  <w:tcW w:w="1906" w:type="dxa"/>
                  <w:tcBorders>
                    <w:tl2br w:val="nil"/>
                    <w:tr2bl w:val="nil"/>
                  </w:tcBorders>
                  <w:shd w:val="clear" w:color="auto" w:fill="auto"/>
                  <w:vAlign w:val="center"/>
                </w:tcPr>
                <w:p w14:paraId="0E3BAEC6">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BSA623S-CW</w:t>
                  </w:r>
                </w:p>
              </w:tc>
              <w:tc>
                <w:tcPr>
                  <w:tcW w:w="827" w:type="dxa"/>
                  <w:tcBorders>
                    <w:tl2br w:val="nil"/>
                    <w:tr2bl w:val="nil"/>
                  </w:tcBorders>
                  <w:shd w:val="clear" w:color="auto" w:fill="auto"/>
                  <w:vAlign w:val="center"/>
                </w:tcPr>
                <w:p w14:paraId="283A0BEC">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1</w:t>
                  </w:r>
                </w:p>
              </w:tc>
              <w:tc>
                <w:tcPr>
                  <w:tcW w:w="1400" w:type="dxa"/>
                  <w:tcBorders>
                    <w:tl2br w:val="nil"/>
                    <w:tr2bl w:val="nil"/>
                  </w:tcBorders>
                  <w:shd w:val="clear" w:color="auto" w:fill="auto"/>
                  <w:vAlign w:val="center"/>
                </w:tcPr>
                <w:p w14:paraId="30485BE5">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称量</w:t>
                  </w:r>
                </w:p>
              </w:tc>
              <w:tc>
                <w:tcPr>
                  <w:tcW w:w="1347" w:type="dxa"/>
                  <w:tcBorders>
                    <w:tl2br w:val="nil"/>
                    <w:tr2bl w:val="nil"/>
                  </w:tcBorders>
                  <w:shd w:val="clear" w:color="auto" w:fill="auto"/>
                  <w:vAlign w:val="center"/>
                </w:tcPr>
                <w:p w14:paraId="16D8BEB0">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kern w:val="2"/>
                      <w:sz w:val="21"/>
                      <w:szCs w:val="21"/>
                      <w:highlight w:val="yellow"/>
                      <w:lang w:val="en-US" w:eastAsia="zh-CN" w:bidi="ar-SA"/>
                    </w:rPr>
                    <w:t>负极制浆间</w:t>
                  </w:r>
                </w:p>
              </w:tc>
            </w:tr>
            <w:tr w14:paraId="47FDF51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54694903">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33887779">
                  <w:pPr>
                    <w:keepNext w:val="0"/>
                    <w:keepLines w:val="0"/>
                    <w:widowControl/>
                    <w:suppressLineNumbers w:val="0"/>
                    <w:jc w:val="center"/>
                    <w:textAlignment w:val="center"/>
                    <w:rPr>
                      <w:rFonts w:hint="default" w:ascii="Times New Roman" w:hAnsi="Times New Roman" w:cs="Times New Roman"/>
                      <w:color w:val="auto"/>
                      <w:kern w:val="0"/>
                      <w:sz w:val="21"/>
                      <w:szCs w:val="21"/>
                      <w:highlight w:val="yellow"/>
                      <w:lang w:val="en-US" w:eastAsia="zh-CN"/>
                    </w:rPr>
                  </w:pPr>
                  <w:r>
                    <w:rPr>
                      <w:rFonts w:hint="default" w:ascii="Times New Roman" w:hAnsi="Times New Roman" w:eastAsia="宋体" w:cs="Times New Roman"/>
                      <w:i w:val="0"/>
                      <w:iCs w:val="0"/>
                      <w:color w:val="000000"/>
                      <w:kern w:val="0"/>
                      <w:sz w:val="21"/>
                      <w:szCs w:val="21"/>
                      <w:highlight w:val="yellow"/>
                      <w:u w:val="none"/>
                      <w:lang w:val="en-US" w:eastAsia="zh-CN" w:bidi="ar"/>
                    </w:rPr>
                    <w:t>多功能涂布机</w:t>
                  </w:r>
                </w:p>
              </w:tc>
              <w:tc>
                <w:tcPr>
                  <w:tcW w:w="1906" w:type="dxa"/>
                  <w:tcBorders>
                    <w:tl2br w:val="nil"/>
                    <w:tr2bl w:val="nil"/>
                  </w:tcBorders>
                  <w:shd w:val="clear" w:color="auto" w:fill="auto"/>
                  <w:vAlign w:val="center"/>
                </w:tcPr>
                <w:p w14:paraId="3B34CA21">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MSK-AFA-MC400-DE-M3-CAN</w:t>
                  </w:r>
                </w:p>
              </w:tc>
              <w:tc>
                <w:tcPr>
                  <w:tcW w:w="827" w:type="dxa"/>
                  <w:tcBorders>
                    <w:tl2br w:val="nil"/>
                    <w:tr2bl w:val="nil"/>
                  </w:tcBorders>
                  <w:shd w:val="clear" w:color="auto" w:fill="auto"/>
                  <w:vAlign w:val="center"/>
                </w:tcPr>
                <w:p w14:paraId="7A46C8E3">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1</w:t>
                  </w:r>
                </w:p>
              </w:tc>
              <w:tc>
                <w:tcPr>
                  <w:tcW w:w="1400" w:type="dxa"/>
                  <w:tcBorders>
                    <w:tl2br w:val="nil"/>
                    <w:tr2bl w:val="nil"/>
                  </w:tcBorders>
                  <w:shd w:val="clear" w:color="auto" w:fill="auto"/>
                  <w:vAlign w:val="center"/>
                </w:tcPr>
                <w:p w14:paraId="557D6289">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涂布</w:t>
                  </w:r>
                </w:p>
              </w:tc>
              <w:tc>
                <w:tcPr>
                  <w:tcW w:w="1347" w:type="dxa"/>
                  <w:tcBorders>
                    <w:tl2br w:val="nil"/>
                    <w:tr2bl w:val="nil"/>
                  </w:tcBorders>
                  <w:shd w:val="clear" w:color="auto" w:fill="auto"/>
                  <w:vAlign w:val="center"/>
                </w:tcPr>
                <w:p w14:paraId="7ED893C6">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涂布间</w:t>
                  </w:r>
                </w:p>
              </w:tc>
            </w:tr>
            <w:tr w14:paraId="64D4326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527E4A8C">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4D2AF6C1">
                  <w:pPr>
                    <w:keepNext w:val="0"/>
                    <w:keepLines w:val="0"/>
                    <w:widowControl/>
                    <w:suppressLineNumbers w:val="0"/>
                    <w:jc w:val="center"/>
                    <w:textAlignment w:val="center"/>
                    <w:rPr>
                      <w:rFonts w:hint="default" w:ascii="Times New Roman" w:hAnsi="Times New Roman" w:cs="Times New Roman"/>
                      <w:color w:val="auto"/>
                      <w:kern w:val="0"/>
                      <w:sz w:val="21"/>
                      <w:szCs w:val="21"/>
                      <w:highlight w:val="yellow"/>
                      <w:lang w:val="en-US" w:eastAsia="zh-CN"/>
                    </w:rPr>
                  </w:pPr>
                  <w:r>
                    <w:rPr>
                      <w:rFonts w:hint="default" w:ascii="Times New Roman" w:hAnsi="Times New Roman" w:eastAsia="宋体" w:cs="Times New Roman"/>
                      <w:i w:val="0"/>
                      <w:iCs w:val="0"/>
                      <w:color w:val="000000"/>
                      <w:kern w:val="0"/>
                      <w:sz w:val="21"/>
                      <w:szCs w:val="21"/>
                      <w:highlight w:val="yellow"/>
                      <w:u w:val="none"/>
                      <w:lang w:val="en-US" w:eastAsia="zh-CN" w:bidi="ar"/>
                    </w:rPr>
                    <w:t>浆液供料装置</w:t>
                  </w:r>
                </w:p>
              </w:tc>
              <w:tc>
                <w:tcPr>
                  <w:tcW w:w="1906" w:type="dxa"/>
                  <w:tcBorders>
                    <w:tl2br w:val="nil"/>
                    <w:tr2bl w:val="nil"/>
                  </w:tcBorders>
                  <w:shd w:val="clear" w:color="auto" w:fill="auto"/>
                  <w:vAlign w:val="center"/>
                </w:tcPr>
                <w:p w14:paraId="7AEDAD5B">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MSK-156/08</w:t>
                  </w:r>
                </w:p>
              </w:tc>
              <w:tc>
                <w:tcPr>
                  <w:tcW w:w="827" w:type="dxa"/>
                  <w:tcBorders>
                    <w:tl2br w:val="nil"/>
                    <w:tr2bl w:val="nil"/>
                  </w:tcBorders>
                  <w:shd w:val="clear" w:color="auto" w:fill="auto"/>
                  <w:vAlign w:val="center"/>
                </w:tcPr>
                <w:p w14:paraId="0EBA47D5">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2</w:t>
                  </w:r>
                </w:p>
              </w:tc>
              <w:tc>
                <w:tcPr>
                  <w:tcW w:w="1400" w:type="dxa"/>
                  <w:tcBorders>
                    <w:tl2br w:val="nil"/>
                    <w:tr2bl w:val="nil"/>
                  </w:tcBorders>
                  <w:shd w:val="clear" w:color="auto" w:fill="auto"/>
                  <w:vAlign w:val="center"/>
                </w:tcPr>
                <w:p w14:paraId="047E5C8A">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供料</w:t>
                  </w:r>
                </w:p>
              </w:tc>
              <w:tc>
                <w:tcPr>
                  <w:tcW w:w="1347" w:type="dxa"/>
                  <w:tcBorders>
                    <w:tl2br w:val="nil"/>
                    <w:tr2bl w:val="nil"/>
                  </w:tcBorders>
                  <w:shd w:val="clear" w:color="auto" w:fill="auto"/>
                  <w:vAlign w:val="center"/>
                </w:tcPr>
                <w:p w14:paraId="69A8DEE1">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涂布间</w:t>
                  </w:r>
                </w:p>
              </w:tc>
            </w:tr>
            <w:tr w14:paraId="1619974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0510898C">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3D28E6AA">
                  <w:pPr>
                    <w:keepNext w:val="0"/>
                    <w:keepLines w:val="0"/>
                    <w:widowControl/>
                    <w:suppressLineNumbers w:val="0"/>
                    <w:jc w:val="center"/>
                    <w:textAlignment w:val="center"/>
                    <w:rPr>
                      <w:rFonts w:hint="default" w:ascii="Times New Roman" w:hAnsi="Times New Roman" w:cs="Times New Roman"/>
                      <w:color w:val="auto"/>
                      <w:kern w:val="0"/>
                      <w:sz w:val="21"/>
                      <w:szCs w:val="21"/>
                      <w:highlight w:val="yellow"/>
                      <w:lang w:val="en-US" w:eastAsia="zh-CN"/>
                    </w:rPr>
                  </w:pPr>
                  <w:r>
                    <w:rPr>
                      <w:rFonts w:hint="default" w:ascii="Times New Roman" w:hAnsi="Times New Roman" w:eastAsia="宋体" w:cs="Times New Roman"/>
                      <w:i w:val="0"/>
                      <w:iCs w:val="0"/>
                      <w:color w:val="000000"/>
                      <w:kern w:val="0"/>
                      <w:sz w:val="21"/>
                      <w:szCs w:val="21"/>
                      <w:highlight w:val="yellow"/>
                      <w:u w:val="none"/>
                      <w:lang w:val="en-US" w:eastAsia="zh-CN" w:bidi="ar"/>
                    </w:rPr>
                    <w:t>真空干燥箱</w:t>
                  </w:r>
                </w:p>
              </w:tc>
              <w:tc>
                <w:tcPr>
                  <w:tcW w:w="1906" w:type="dxa"/>
                  <w:tcBorders>
                    <w:tl2br w:val="nil"/>
                    <w:tr2bl w:val="nil"/>
                  </w:tcBorders>
                  <w:shd w:val="clear" w:color="auto" w:fill="auto"/>
                  <w:vAlign w:val="center"/>
                </w:tcPr>
                <w:p w14:paraId="0DBC499C">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DZF-6050</w:t>
                  </w:r>
                </w:p>
              </w:tc>
              <w:tc>
                <w:tcPr>
                  <w:tcW w:w="827" w:type="dxa"/>
                  <w:tcBorders>
                    <w:tl2br w:val="nil"/>
                    <w:tr2bl w:val="nil"/>
                  </w:tcBorders>
                  <w:shd w:val="clear" w:color="auto" w:fill="auto"/>
                  <w:vAlign w:val="center"/>
                </w:tcPr>
                <w:p w14:paraId="73820F38">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3</w:t>
                  </w:r>
                </w:p>
              </w:tc>
              <w:tc>
                <w:tcPr>
                  <w:tcW w:w="1400" w:type="dxa"/>
                  <w:tcBorders>
                    <w:tl2br w:val="nil"/>
                    <w:tr2bl w:val="nil"/>
                  </w:tcBorders>
                  <w:shd w:val="clear" w:color="auto" w:fill="auto"/>
                  <w:vAlign w:val="center"/>
                </w:tcPr>
                <w:p w14:paraId="6EB3F403">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材料干燥</w:t>
                  </w:r>
                </w:p>
              </w:tc>
              <w:tc>
                <w:tcPr>
                  <w:tcW w:w="1347" w:type="dxa"/>
                  <w:tcBorders>
                    <w:tl2br w:val="nil"/>
                    <w:tr2bl w:val="nil"/>
                  </w:tcBorders>
                  <w:shd w:val="clear" w:color="auto" w:fill="auto"/>
                  <w:vAlign w:val="center"/>
                </w:tcPr>
                <w:p w14:paraId="2A1AAF81">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涂布间</w:t>
                  </w:r>
                </w:p>
              </w:tc>
            </w:tr>
            <w:tr w14:paraId="0C7B61D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05453417">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401C644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yellow"/>
                      <w:u w:val="none"/>
                      <w:lang w:val="en-US" w:eastAsia="zh-CN" w:bidi="ar"/>
                    </w:rPr>
                  </w:pPr>
                  <w:r>
                    <w:rPr>
                      <w:rFonts w:hint="default" w:ascii="Times New Roman" w:hAnsi="Times New Roman" w:eastAsia="宋体" w:cs="Times New Roman"/>
                      <w:i w:val="0"/>
                      <w:iCs w:val="0"/>
                      <w:color w:val="000000"/>
                      <w:kern w:val="0"/>
                      <w:sz w:val="21"/>
                      <w:szCs w:val="21"/>
                      <w:highlight w:val="yellow"/>
                      <w:u w:val="none"/>
                      <w:lang w:val="en-US" w:eastAsia="zh-CN" w:bidi="ar"/>
                    </w:rPr>
                    <w:t>转轮式NMP溶剂回收系统</w:t>
                  </w:r>
                </w:p>
              </w:tc>
              <w:tc>
                <w:tcPr>
                  <w:tcW w:w="1906" w:type="dxa"/>
                  <w:tcBorders>
                    <w:tl2br w:val="nil"/>
                    <w:tr2bl w:val="nil"/>
                  </w:tcBorders>
                  <w:shd w:val="clear" w:color="auto" w:fill="auto"/>
                  <w:vAlign w:val="center"/>
                </w:tcPr>
                <w:p w14:paraId="793B577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highlight w:val="yellow"/>
                      <w:u w:val="none"/>
                      <w:lang w:val="en-US" w:eastAsia="zh-CN" w:bidi="ar"/>
                    </w:rPr>
                  </w:pPr>
                  <w:r>
                    <w:rPr>
                      <w:rFonts w:hint="default" w:ascii="Times New Roman" w:hAnsi="Times New Roman" w:eastAsia="宋体" w:cs="Times New Roman"/>
                      <w:i w:val="0"/>
                      <w:iCs w:val="0"/>
                      <w:color w:val="000000"/>
                      <w:kern w:val="0"/>
                      <w:sz w:val="21"/>
                      <w:szCs w:val="21"/>
                      <w:highlight w:val="yellow"/>
                      <w:u w:val="none"/>
                      <w:lang w:val="en-US" w:eastAsia="zh-CN" w:bidi="ar"/>
                    </w:rPr>
                    <w:t>MSK-NMP-RT1800</w:t>
                  </w:r>
                </w:p>
              </w:tc>
              <w:tc>
                <w:tcPr>
                  <w:tcW w:w="827" w:type="dxa"/>
                  <w:tcBorders>
                    <w:tl2br w:val="nil"/>
                    <w:tr2bl w:val="nil"/>
                  </w:tcBorders>
                  <w:shd w:val="clear" w:color="auto" w:fill="auto"/>
                  <w:vAlign w:val="center"/>
                </w:tcPr>
                <w:p w14:paraId="438B7F9B">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1</w:t>
                  </w:r>
                </w:p>
              </w:tc>
              <w:tc>
                <w:tcPr>
                  <w:tcW w:w="1400" w:type="dxa"/>
                  <w:tcBorders>
                    <w:tl2br w:val="nil"/>
                    <w:tr2bl w:val="nil"/>
                  </w:tcBorders>
                  <w:shd w:val="clear" w:color="auto" w:fill="auto"/>
                  <w:vAlign w:val="center"/>
                </w:tcPr>
                <w:p w14:paraId="13EF71D8">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eastAsia="宋体" w:cs="Times New Roman"/>
                      <w:i w:val="0"/>
                      <w:iCs w:val="0"/>
                      <w:color w:val="000000"/>
                      <w:kern w:val="0"/>
                      <w:sz w:val="21"/>
                      <w:szCs w:val="21"/>
                      <w:highlight w:val="yellow"/>
                      <w:u w:val="none"/>
                      <w:lang w:val="en-US" w:eastAsia="zh-CN" w:bidi="ar"/>
                    </w:rPr>
                    <w:t>NMP溶剂回收</w:t>
                  </w:r>
                </w:p>
              </w:tc>
              <w:tc>
                <w:tcPr>
                  <w:tcW w:w="1347" w:type="dxa"/>
                  <w:tcBorders>
                    <w:tl2br w:val="nil"/>
                    <w:tr2bl w:val="nil"/>
                  </w:tcBorders>
                  <w:shd w:val="clear" w:color="auto" w:fill="auto"/>
                  <w:vAlign w:val="center"/>
                </w:tcPr>
                <w:p w14:paraId="25520FEC">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室外</w:t>
                  </w:r>
                </w:p>
              </w:tc>
            </w:tr>
            <w:tr w14:paraId="40DB68B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5F5FAA1A">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0218928B">
                  <w:pPr>
                    <w:keepNext w:val="0"/>
                    <w:keepLines w:val="0"/>
                    <w:widowControl/>
                    <w:suppressLineNumbers w:val="0"/>
                    <w:jc w:val="center"/>
                    <w:textAlignment w:val="center"/>
                    <w:rPr>
                      <w:rFonts w:hint="default" w:ascii="Times New Roman" w:hAnsi="Times New Roman" w:cs="Times New Roman"/>
                      <w:color w:val="auto"/>
                      <w:kern w:val="0"/>
                      <w:sz w:val="21"/>
                      <w:szCs w:val="21"/>
                      <w:highlight w:val="yellow"/>
                      <w:lang w:val="en-US" w:eastAsia="zh-CN"/>
                    </w:rPr>
                  </w:pPr>
                  <w:r>
                    <w:rPr>
                      <w:rFonts w:hint="default" w:ascii="Times New Roman" w:hAnsi="Times New Roman" w:eastAsia="宋体" w:cs="Times New Roman"/>
                      <w:i w:val="0"/>
                      <w:iCs w:val="0"/>
                      <w:color w:val="000000"/>
                      <w:kern w:val="0"/>
                      <w:sz w:val="21"/>
                      <w:szCs w:val="21"/>
                      <w:highlight w:val="yellow"/>
                      <w:u w:val="none"/>
                      <w:lang w:val="en-US" w:eastAsia="zh-CN" w:bidi="ar"/>
                    </w:rPr>
                    <w:t>自动裁切机</w:t>
                  </w:r>
                </w:p>
              </w:tc>
              <w:tc>
                <w:tcPr>
                  <w:tcW w:w="1906" w:type="dxa"/>
                  <w:tcBorders>
                    <w:tl2br w:val="nil"/>
                    <w:tr2bl w:val="nil"/>
                  </w:tcBorders>
                  <w:shd w:val="clear" w:color="auto" w:fill="auto"/>
                  <w:vAlign w:val="center"/>
                </w:tcPr>
                <w:p w14:paraId="2C9104C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MSK-520A</w:t>
                  </w:r>
                </w:p>
              </w:tc>
              <w:tc>
                <w:tcPr>
                  <w:tcW w:w="827" w:type="dxa"/>
                  <w:tcBorders>
                    <w:tl2br w:val="nil"/>
                    <w:tr2bl w:val="nil"/>
                  </w:tcBorders>
                  <w:shd w:val="clear" w:color="auto" w:fill="auto"/>
                  <w:vAlign w:val="center"/>
                </w:tcPr>
                <w:p w14:paraId="0B9AC939">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1</w:t>
                  </w:r>
                </w:p>
              </w:tc>
              <w:tc>
                <w:tcPr>
                  <w:tcW w:w="1400" w:type="dxa"/>
                  <w:tcBorders>
                    <w:tl2br w:val="nil"/>
                    <w:tr2bl w:val="nil"/>
                  </w:tcBorders>
                  <w:shd w:val="clear" w:color="auto" w:fill="auto"/>
                  <w:vAlign w:val="center"/>
                </w:tcPr>
                <w:p w14:paraId="3370F3B7">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电极裁切</w:t>
                  </w:r>
                </w:p>
              </w:tc>
              <w:tc>
                <w:tcPr>
                  <w:tcW w:w="1347" w:type="dxa"/>
                  <w:tcBorders>
                    <w:tl2br w:val="nil"/>
                    <w:tr2bl w:val="nil"/>
                  </w:tcBorders>
                  <w:shd w:val="clear" w:color="auto" w:fill="auto"/>
                  <w:vAlign w:val="center"/>
                </w:tcPr>
                <w:p w14:paraId="1770C67E">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模切间</w:t>
                  </w:r>
                </w:p>
              </w:tc>
            </w:tr>
            <w:tr w14:paraId="568CC3B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57861D6C">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10C49929">
                  <w:pPr>
                    <w:keepNext w:val="0"/>
                    <w:keepLines w:val="0"/>
                    <w:widowControl/>
                    <w:suppressLineNumbers w:val="0"/>
                    <w:jc w:val="center"/>
                    <w:textAlignment w:val="center"/>
                    <w:rPr>
                      <w:rFonts w:hint="default" w:ascii="Times New Roman" w:hAnsi="Times New Roman" w:cs="Times New Roman"/>
                      <w:color w:val="auto"/>
                      <w:kern w:val="0"/>
                      <w:sz w:val="21"/>
                      <w:szCs w:val="21"/>
                      <w:highlight w:val="yellow"/>
                      <w:lang w:val="en-US" w:eastAsia="zh-CN"/>
                    </w:rPr>
                  </w:pPr>
                  <w:r>
                    <w:rPr>
                      <w:rFonts w:hint="default" w:ascii="Times New Roman" w:hAnsi="Times New Roman" w:eastAsia="宋体" w:cs="Times New Roman"/>
                      <w:i w:val="0"/>
                      <w:iCs w:val="0"/>
                      <w:color w:val="000000"/>
                      <w:kern w:val="0"/>
                      <w:sz w:val="21"/>
                      <w:szCs w:val="21"/>
                      <w:highlight w:val="yellow"/>
                      <w:u w:val="none"/>
                      <w:lang w:val="en-US" w:eastAsia="zh-CN" w:bidi="ar"/>
                    </w:rPr>
                    <w:t>精密辊压机</w:t>
                  </w:r>
                </w:p>
              </w:tc>
              <w:tc>
                <w:tcPr>
                  <w:tcW w:w="1906" w:type="dxa"/>
                  <w:tcBorders>
                    <w:tl2br w:val="nil"/>
                    <w:tr2bl w:val="nil"/>
                  </w:tcBorders>
                  <w:shd w:val="clear" w:color="auto" w:fill="auto"/>
                  <w:vAlign w:val="center"/>
                </w:tcPr>
                <w:p w14:paraId="1698D590">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MSK-DPC-B320-CAN</w:t>
                  </w:r>
                </w:p>
              </w:tc>
              <w:tc>
                <w:tcPr>
                  <w:tcW w:w="827" w:type="dxa"/>
                  <w:tcBorders>
                    <w:tl2br w:val="nil"/>
                    <w:tr2bl w:val="nil"/>
                  </w:tcBorders>
                  <w:shd w:val="clear" w:color="auto" w:fill="auto"/>
                  <w:vAlign w:val="center"/>
                </w:tcPr>
                <w:p w14:paraId="0F20159A">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1</w:t>
                  </w:r>
                </w:p>
              </w:tc>
              <w:tc>
                <w:tcPr>
                  <w:tcW w:w="1400" w:type="dxa"/>
                  <w:tcBorders>
                    <w:tl2br w:val="nil"/>
                    <w:tr2bl w:val="nil"/>
                  </w:tcBorders>
                  <w:shd w:val="clear" w:color="auto" w:fill="auto"/>
                  <w:vAlign w:val="center"/>
                </w:tcPr>
                <w:p w14:paraId="1BF96CCB">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电极辊压</w:t>
                  </w:r>
                </w:p>
              </w:tc>
              <w:tc>
                <w:tcPr>
                  <w:tcW w:w="1347" w:type="dxa"/>
                  <w:tcBorders>
                    <w:tl2br w:val="nil"/>
                    <w:tr2bl w:val="nil"/>
                  </w:tcBorders>
                  <w:shd w:val="clear" w:color="auto" w:fill="auto"/>
                  <w:vAlign w:val="center"/>
                </w:tcPr>
                <w:p w14:paraId="1DECE02E">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模切间</w:t>
                  </w:r>
                </w:p>
              </w:tc>
            </w:tr>
            <w:tr w14:paraId="4D81859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57929F06">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644C2EB9">
                  <w:pPr>
                    <w:keepNext w:val="0"/>
                    <w:keepLines w:val="0"/>
                    <w:widowControl/>
                    <w:suppressLineNumbers w:val="0"/>
                    <w:jc w:val="center"/>
                    <w:textAlignment w:val="center"/>
                    <w:rPr>
                      <w:rFonts w:hint="default" w:ascii="Times New Roman" w:hAnsi="Times New Roman" w:cs="Times New Roman"/>
                      <w:color w:val="auto"/>
                      <w:kern w:val="0"/>
                      <w:sz w:val="21"/>
                      <w:szCs w:val="21"/>
                      <w:highlight w:val="yellow"/>
                      <w:lang w:val="en-US" w:eastAsia="zh-CN"/>
                    </w:rPr>
                  </w:pPr>
                  <w:r>
                    <w:rPr>
                      <w:rFonts w:hint="default" w:ascii="Times New Roman" w:hAnsi="Times New Roman" w:eastAsia="宋体" w:cs="Times New Roman"/>
                      <w:i w:val="0"/>
                      <w:iCs w:val="0"/>
                      <w:color w:val="000000"/>
                      <w:kern w:val="0"/>
                      <w:sz w:val="21"/>
                      <w:szCs w:val="21"/>
                      <w:highlight w:val="yellow"/>
                      <w:u w:val="none"/>
                      <w:lang w:val="en-US" w:eastAsia="zh-CN" w:bidi="ar"/>
                    </w:rPr>
                    <w:t>手动切片机</w:t>
                  </w:r>
                </w:p>
              </w:tc>
              <w:tc>
                <w:tcPr>
                  <w:tcW w:w="1906" w:type="dxa"/>
                  <w:tcBorders>
                    <w:tl2br w:val="nil"/>
                    <w:tr2bl w:val="nil"/>
                  </w:tcBorders>
                  <w:shd w:val="clear" w:color="auto" w:fill="auto"/>
                  <w:vAlign w:val="center"/>
                </w:tcPr>
                <w:p w14:paraId="03F31BD0">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MSK-T10/含Ф16mm</w:t>
                  </w:r>
                </w:p>
              </w:tc>
              <w:tc>
                <w:tcPr>
                  <w:tcW w:w="827" w:type="dxa"/>
                  <w:tcBorders>
                    <w:tl2br w:val="nil"/>
                    <w:tr2bl w:val="nil"/>
                  </w:tcBorders>
                  <w:shd w:val="clear" w:color="auto" w:fill="auto"/>
                  <w:vAlign w:val="center"/>
                </w:tcPr>
                <w:p w14:paraId="60499F1E">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1</w:t>
                  </w:r>
                </w:p>
              </w:tc>
              <w:tc>
                <w:tcPr>
                  <w:tcW w:w="1400" w:type="dxa"/>
                  <w:tcBorders>
                    <w:tl2br w:val="nil"/>
                    <w:tr2bl w:val="nil"/>
                  </w:tcBorders>
                  <w:shd w:val="clear" w:color="auto" w:fill="auto"/>
                  <w:vAlign w:val="center"/>
                </w:tcPr>
                <w:p w14:paraId="33A4F21B">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电极切片</w:t>
                  </w:r>
                </w:p>
              </w:tc>
              <w:tc>
                <w:tcPr>
                  <w:tcW w:w="1347" w:type="dxa"/>
                  <w:tcBorders>
                    <w:tl2br w:val="nil"/>
                    <w:tr2bl w:val="nil"/>
                  </w:tcBorders>
                  <w:shd w:val="clear" w:color="auto" w:fill="auto"/>
                  <w:vAlign w:val="center"/>
                </w:tcPr>
                <w:p w14:paraId="6A589725">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模切间</w:t>
                  </w:r>
                </w:p>
              </w:tc>
            </w:tr>
            <w:tr w14:paraId="42C4B7A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797619CA">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601B4263">
                  <w:pPr>
                    <w:keepNext w:val="0"/>
                    <w:keepLines w:val="0"/>
                    <w:widowControl/>
                    <w:suppressLineNumbers w:val="0"/>
                    <w:jc w:val="center"/>
                    <w:textAlignment w:val="center"/>
                    <w:rPr>
                      <w:rFonts w:hint="default" w:ascii="Times New Roman" w:hAnsi="Times New Roman" w:cs="Times New Roman"/>
                      <w:color w:val="auto"/>
                      <w:kern w:val="0"/>
                      <w:sz w:val="21"/>
                      <w:szCs w:val="21"/>
                      <w:highlight w:val="yellow"/>
                      <w:lang w:val="en-US" w:eastAsia="zh-CN"/>
                    </w:rPr>
                  </w:pPr>
                  <w:r>
                    <w:rPr>
                      <w:rFonts w:hint="default" w:ascii="Times New Roman" w:hAnsi="Times New Roman" w:eastAsia="宋体" w:cs="Times New Roman"/>
                      <w:i w:val="0"/>
                      <w:iCs w:val="0"/>
                      <w:color w:val="000000"/>
                      <w:kern w:val="0"/>
                      <w:sz w:val="21"/>
                      <w:szCs w:val="21"/>
                      <w:highlight w:val="yellow"/>
                      <w:u w:val="none"/>
                      <w:lang w:val="en-US" w:eastAsia="zh-CN" w:bidi="ar"/>
                    </w:rPr>
                    <w:t>半自动模切机</w:t>
                  </w:r>
                </w:p>
              </w:tc>
              <w:tc>
                <w:tcPr>
                  <w:tcW w:w="1906" w:type="dxa"/>
                  <w:tcBorders>
                    <w:tl2br w:val="nil"/>
                    <w:tr2bl w:val="nil"/>
                  </w:tcBorders>
                  <w:shd w:val="clear" w:color="auto" w:fill="auto"/>
                  <w:vAlign w:val="center"/>
                </w:tcPr>
                <w:p w14:paraId="6852D28D">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MSK-180-N</w:t>
                  </w:r>
                </w:p>
              </w:tc>
              <w:tc>
                <w:tcPr>
                  <w:tcW w:w="827" w:type="dxa"/>
                  <w:tcBorders>
                    <w:tl2br w:val="nil"/>
                    <w:tr2bl w:val="nil"/>
                  </w:tcBorders>
                  <w:shd w:val="clear" w:color="auto" w:fill="auto"/>
                  <w:vAlign w:val="center"/>
                </w:tcPr>
                <w:p w14:paraId="00887767">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2</w:t>
                  </w:r>
                </w:p>
              </w:tc>
              <w:tc>
                <w:tcPr>
                  <w:tcW w:w="1400" w:type="dxa"/>
                  <w:tcBorders>
                    <w:tl2br w:val="nil"/>
                    <w:tr2bl w:val="nil"/>
                  </w:tcBorders>
                  <w:shd w:val="clear" w:color="auto" w:fill="auto"/>
                  <w:vAlign w:val="center"/>
                </w:tcPr>
                <w:p w14:paraId="3A57DCF9">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电极模切</w:t>
                  </w:r>
                </w:p>
              </w:tc>
              <w:tc>
                <w:tcPr>
                  <w:tcW w:w="1347" w:type="dxa"/>
                  <w:tcBorders>
                    <w:tl2br w:val="nil"/>
                    <w:tr2bl w:val="nil"/>
                  </w:tcBorders>
                  <w:shd w:val="clear" w:color="auto" w:fill="auto"/>
                  <w:vAlign w:val="center"/>
                </w:tcPr>
                <w:p w14:paraId="15188678">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模切间</w:t>
                  </w:r>
                </w:p>
              </w:tc>
            </w:tr>
            <w:tr w14:paraId="0F61351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641E4F18">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4171DF9D">
                  <w:pPr>
                    <w:keepNext w:val="0"/>
                    <w:keepLines w:val="0"/>
                    <w:widowControl/>
                    <w:suppressLineNumbers w:val="0"/>
                    <w:jc w:val="center"/>
                    <w:textAlignment w:val="center"/>
                    <w:rPr>
                      <w:rFonts w:hint="default" w:ascii="Times New Roman" w:hAnsi="Times New Roman" w:cs="Times New Roman"/>
                      <w:color w:val="auto"/>
                      <w:kern w:val="0"/>
                      <w:sz w:val="21"/>
                      <w:szCs w:val="21"/>
                      <w:highlight w:val="yellow"/>
                      <w:lang w:val="en-US" w:eastAsia="zh-CN"/>
                    </w:rPr>
                  </w:pPr>
                  <w:r>
                    <w:rPr>
                      <w:rFonts w:hint="default" w:ascii="Times New Roman" w:hAnsi="Times New Roman" w:eastAsia="宋体" w:cs="Times New Roman"/>
                      <w:i w:val="0"/>
                      <w:iCs w:val="0"/>
                      <w:color w:val="000000"/>
                      <w:kern w:val="0"/>
                      <w:sz w:val="21"/>
                      <w:szCs w:val="21"/>
                      <w:highlight w:val="yellow"/>
                      <w:u w:val="none"/>
                      <w:lang w:val="en-US" w:eastAsia="zh-CN" w:bidi="ar"/>
                    </w:rPr>
                    <w:t>自动叠片机</w:t>
                  </w:r>
                </w:p>
              </w:tc>
              <w:tc>
                <w:tcPr>
                  <w:tcW w:w="1906" w:type="dxa"/>
                  <w:tcBorders>
                    <w:tl2br w:val="nil"/>
                    <w:tr2bl w:val="nil"/>
                  </w:tcBorders>
                  <w:shd w:val="clear" w:color="auto" w:fill="auto"/>
                  <w:vAlign w:val="center"/>
                </w:tcPr>
                <w:p w14:paraId="0992DA8D">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MSK-111A-PEM-CAN</w:t>
                  </w:r>
                </w:p>
              </w:tc>
              <w:tc>
                <w:tcPr>
                  <w:tcW w:w="827" w:type="dxa"/>
                  <w:tcBorders>
                    <w:tl2br w:val="nil"/>
                    <w:tr2bl w:val="nil"/>
                  </w:tcBorders>
                  <w:shd w:val="clear" w:color="auto" w:fill="auto"/>
                  <w:vAlign w:val="center"/>
                </w:tcPr>
                <w:p w14:paraId="4F26FFAF">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1</w:t>
                  </w:r>
                </w:p>
              </w:tc>
              <w:tc>
                <w:tcPr>
                  <w:tcW w:w="1400" w:type="dxa"/>
                  <w:tcBorders>
                    <w:tl2br w:val="nil"/>
                    <w:tr2bl w:val="nil"/>
                  </w:tcBorders>
                  <w:shd w:val="clear" w:color="auto" w:fill="auto"/>
                  <w:vAlign w:val="center"/>
                </w:tcPr>
                <w:p w14:paraId="7C337513">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电极叠片</w:t>
                  </w:r>
                </w:p>
              </w:tc>
              <w:tc>
                <w:tcPr>
                  <w:tcW w:w="1347" w:type="dxa"/>
                  <w:tcBorders>
                    <w:tl2br w:val="nil"/>
                    <w:tr2bl w:val="nil"/>
                  </w:tcBorders>
                  <w:shd w:val="clear" w:color="auto" w:fill="auto"/>
                  <w:vAlign w:val="center"/>
                </w:tcPr>
                <w:p w14:paraId="1F3A4197">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电芯封装间</w:t>
                  </w:r>
                </w:p>
              </w:tc>
            </w:tr>
            <w:tr w14:paraId="67E91F7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62CBA5D8">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24A99D81">
                  <w:pPr>
                    <w:keepNext w:val="0"/>
                    <w:keepLines w:val="0"/>
                    <w:widowControl/>
                    <w:suppressLineNumbers w:val="0"/>
                    <w:jc w:val="center"/>
                    <w:textAlignment w:val="center"/>
                    <w:rPr>
                      <w:rFonts w:hint="default" w:ascii="Times New Roman" w:hAnsi="Times New Roman" w:cs="Times New Roman"/>
                      <w:color w:val="auto"/>
                      <w:kern w:val="0"/>
                      <w:sz w:val="21"/>
                      <w:szCs w:val="21"/>
                      <w:highlight w:val="yellow"/>
                      <w:lang w:val="en-US" w:eastAsia="zh-CN"/>
                    </w:rPr>
                  </w:pPr>
                  <w:r>
                    <w:rPr>
                      <w:rFonts w:hint="default" w:ascii="Times New Roman" w:hAnsi="Times New Roman" w:eastAsia="宋体" w:cs="Times New Roman"/>
                      <w:i w:val="0"/>
                      <w:iCs w:val="0"/>
                      <w:color w:val="000000"/>
                      <w:kern w:val="0"/>
                      <w:sz w:val="21"/>
                      <w:szCs w:val="21"/>
                      <w:highlight w:val="yellow"/>
                      <w:u w:val="none"/>
                      <w:lang w:val="en-US" w:eastAsia="zh-CN" w:bidi="ar"/>
                    </w:rPr>
                    <w:t>平板热压机</w:t>
                  </w:r>
                </w:p>
              </w:tc>
              <w:tc>
                <w:tcPr>
                  <w:tcW w:w="1906" w:type="dxa"/>
                  <w:tcBorders>
                    <w:tl2br w:val="nil"/>
                    <w:tr2bl w:val="nil"/>
                  </w:tcBorders>
                  <w:shd w:val="clear" w:color="auto" w:fill="auto"/>
                  <w:vAlign w:val="center"/>
                </w:tcPr>
                <w:p w14:paraId="16B74F39">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MSK-YLJ-HP20T</w:t>
                  </w:r>
                </w:p>
              </w:tc>
              <w:tc>
                <w:tcPr>
                  <w:tcW w:w="827" w:type="dxa"/>
                  <w:tcBorders>
                    <w:tl2br w:val="nil"/>
                    <w:tr2bl w:val="nil"/>
                  </w:tcBorders>
                  <w:shd w:val="clear" w:color="auto" w:fill="auto"/>
                  <w:vAlign w:val="center"/>
                </w:tcPr>
                <w:p w14:paraId="0C717F21">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1</w:t>
                  </w:r>
                </w:p>
              </w:tc>
              <w:tc>
                <w:tcPr>
                  <w:tcW w:w="1400" w:type="dxa"/>
                  <w:tcBorders>
                    <w:tl2br w:val="nil"/>
                    <w:tr2bl w:val="nil"/>
                  </w:tcBorders>
                  <w:shd w:val="clear" w:color="auto" w:fill="auto"/>
                  <w:vAlign w:val="center"/>
                </w:tcPr>
                <w:p w14:paraId="3FEEED47">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电极热压</w:t>
                  </w:r>
                </w:p>
              </w:tc>
              <w:tc>
                <w:tcPr>
                  <w:tcW w:w="1347" w:type="dxa"/>
                  <w:tcBorders>
                    <w:tl2br w:val="nil"/>
                    <w:tr2bl w:val="nil"/>
                  </w:tcBorders>
                  <w:shd w:val="clear" w:color="auto" w:fill="auto"/>
                  <w:vAlign w:val="center"/>
                </w:tcPr>
                <w:p w14:paraId="0C7C6AE3">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电芯封装间</w:t>
                  </w:r>
                </w:p>
              </w:tc>
            </w:tr>
            <w:tr w14:paraId="1668228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02D1854A">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4DC08079">
                  <w:pPr>
                    <w:keepNext w:val="0"/>
                    <w:keepLines w:val="0"/>
                    <w:widowControl/>
                    <w:suppressLineNumbers w:val="0"/>
                    <w:jc w:val="center"/>
                    <w:textAlignment w:val="center"/>
                    <w:rPr>
                      <w:rFonts w:hint="default" w:ascii="Times New Roman" w:hAnsi="Times New Roman" w:cs="Times New Roman"/>
                      <w:color w:val="auto"/>
                      <w:kern w:val="0"/>
                      <w:sz w:val="21"/>
                      <w:szCs w:val="21"/>
                      <w:highlight w:val="yellow"/>
                      <w:lang w:val="en-US" w:eastAsia="zh-CN"/>
                    </w:rPr>
                  </w:pPr>
                  <w:r>
                    <w:rPr>
                      <w:rFonts w:hint="default" w:ascii="Times New Roman" w:hAnsi="Times New Roman" w:eastAsia="宋体" w:cs="Times New Roman"/>
                      <w:i w:val="0"/>
                      <w:iCs w:val="0"/>
                      <w:color w:val="000000"/>
                      <w:kern w:val="0"/>
                      <w:sz w:val="21"/>
                      <w:szCs w:val="21"/>
                      <w:highlight w:val="yellow"/>
                      <w:u w:val="none"/>
                      <w:lang w:val="en-US" w:eastAsia="zh-CN" w:bidi="ar"/>
                    </w:rPr>
                    <w:t>高速绝缘电阻测试仪</w:t>
                  </w:r>
                </w:p>
              </w:tc>
              <w:tc>
                <w:tcPr>
                  <w:tcW w:w="1906" w:type="dxa"/>
                  <w:tcBorders>
                    <w:tl2br w:val="nil"/>
                    <w:tr2bl w:val="nil"/>
                  </w:tcBorders>
                  <w:shd w:val="clear" w:color="auto" w:fill="auto"/>
                  <w:vAlign w:val="center"/>
                </w:tcPr>
                <w:p w14:paraId="4B3ADA82">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MSK-9920</w:t>
                  </w:r>
                </w:p>
              </w:tc>
              <w:tc>
                <w:tcPr>
                  <w:tcW w:w="827" w:type="dxa"/>
                  <w:tcBorders>
                    <w:tl2br w:val="nil"/>
                    <w:tr2bl w:val="nil"/>
                  </w:tcBorders>
                  <w:shd w:val="clear" w:color="auto" w:fill="auto"/>
                  <w:vAlign w:val="center"/>
                </w:tcPr>
                <w:p w14:paraId="712A0E73">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1</w:t>
                  </w:r>
                </w:p>
              </w:tc>
              <w:tc>
                <w:tcPr>
                  <w:tcW w:w="1400" w:type="dxa"/>
                  <w:tcBorders>
                    <w:tl2br w:val="nil"/>
                    <w:tr2bl w:val="nil"/>
                  </w:tcBorders>
                  <w:shd w:val="clear" w:color="auto" w:fill="auto"/>
                  <w:vAlign w:val="center"/>
                </w:tcPr>
                <w:p w14:paraId="6CF94481">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电芯电阻测定</w:t>
                  </w:r>
                </w:p>
              </w:tc>
              <w:tc>
                <w:tcPr>
                  <w:tcW w:w="1347" w:type="dxa"/>
                  <w:tcBorders>
                    <w:tl2br w:val="nil"/>
                    <w:tr2bl w:val="nil"/>
                  </w:tcBorders>
                  <w:shd w:val="clear" w:color="auto" w:fill="auto"/>
                  <w:vAlign w:val="center"/>
                </w:tcPr>
                <w:p w14:paraId="3308919B">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电芯封装间</w:t>
                  </w:r>
                </w:p>
              </w:tc>
            </w:tr>
            <w:tr w14:paraId="61B4BDF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0821A7FF">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69A3B33C">
                  <w:pPr>
                    <w:keepNext w:val="0"/>
                    <w:keepLines w:val="0"/>
                    <w:widowControl/>
                    <w:suppressLineNumbers w:val="0"/>
                    <w:jc w:val="center"/>
                    <w:textAlignment w:val="center"/>
                    <w:rPr>
                      <w:rFonts w:hint="default" w:ascii="Times New Roman" w:hAnsi="Times New Roman" w:cs="Times New Roman"/>
                      <w:color w:val="auto"/>
                      <w:kern w:val="0"/>
                      <w:sz w:val="21"/>
                      <w:szCs w:val="21"/>
                      <w:highlight w:val="yellow"/>
                      <w:lang w:val="en-US" w:eastAsia="zh-CN"/>
                    </w:rPr>
                  </w:pPr>
                  <w:r>
                    <w:rPr>
                      <w:rFonts w:hint="default" w:ascii="Times New Roman" w:hAnsi="Times New Roman" w:eastAsia="宋体" w:cs="Times New Roman"/>
                      <w:i w:val="0"/>
                      <w:iCs w:val="0"/>
                      <w:color w:val="000000"/>
                      <w:kern w:val="0"/>
                      <w:sz w:val="21"/>
                      <w:szCs w:val="21"/>
                      <w:highlight w:val="yellow"/>
                      <w:u w:val="none"/>
                      <w:lang w:val="en-US" w:eastAsia="zh-CN" w:bidi="ar"/>
                    </w:rPr>
                    <w:t>超声波极耳焊接机</w:t>
                  </w:r>
                </w:p>
              </w:tc>
              <w:tc>
                <w:tcPr>
                  <w:tcW w:w="1906" w:type="dxa"/>
                  <w:tcBorders>
                    <w:tl2br w:val="nil"/>
                    <w:tr2bl w:val="nil"/>
                  </w:tcBorders>
                  <w:shd w:val="clear" w:color="auto" w:fill="auto"/>
                  <w:vAlign w:val="center"/>
                </w:tcPr>
                <w:p w14:paraId="0F4AF6EF">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MSK-UW-D4200W</w:t>
                  </w:r>
                </w:p>
              </w:tc>
              <w:tc>
                <w:tcPr>
                  <w:tcW w:w="827" w:type="dxa"/>
                  <w:tcBorders>
                    <w:tl2br w:val="nil"/>
                    <w:tr2bl w:val="nil"/>
                  </w:tcBorders>
                  <w:shd w:val="clear" w:color="auto" w:fill="auto"/>
                  <w:vAlign w:val="center"/>
                </w:tcPr>
                <w:p w14:paraId="50B32910">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1</w:t>
                  </w:r>
                </w:p>
              </w:tc>
              <w:tc>
                <w:tcPr>
                  <w:tcW w:w="1400" w:type="dxa"/>
                  <w:tcBorders>
                    <w:tl2br w:val="nil"/>
                    <w:tr2bl w:val="nil"/>
                  </w:tcBorders>
                  <w:shd w:val="clear" w:color="auto" w:fill="auto"/>
                  <w:vAlign w:val="center"/>
                </w:tcPr>
                <w:p w14:paraId="28CBD5BB">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极耳焊接</w:t>
                  </w:r>
                </w:p>
              </w:tc>
              <w:tc>
                <w:tcPr>
                  <w:tcW w:w="1347" w:type="dxa"/>
                  <w:tcBorders>
                    <w:tl2br w:val="nil"/>
                    <w:tr2bl w:val="nil"/>
                  </w:tcBorders>
                  <w:shd w:val="clear" w:color="auto" w:fill="auto"/>
                  <w:vAlign w:val="center"/>
                </w:tcPr>
                <w:p w14:paraId="53CF8F7F">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电芯封装间</w:t>
                  </w:r>
                </w:p>
              </w:tc>
            </w:tr>
            <w:tr w14:paraId="4618E0E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2E312A52">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2002CCFE">
                  <w:pPr>
                    <w:keepNext w:val="0"/>
                    <w:keepLines w:val="0"/>
                    <w:widowControl/>
                    <w:suppressLineNumbers w:val="0"/>
                    <w:jc w:val="center"/>
                    <w:textAlignment w:val="center"/>
                    <w:rPr>
                      <w:rFonts w:hint="default" w:ascii="Times New Roman" w:hAnsi="Times New Roman" w:cs="Times New Roman"/>
                      <w:color w:val="auto"/>
                      <w:kern w:val="0"/>
                      <w:sz w:val="21"/>
                      <w:szCs w:val="21"/>
                      <w:highlight w:val="yellow"/>
                      <w:lang w:val="en-US" w:eastAsia="zh-CN"/>
                    </w:rPr>
                  </w:pPr>
                  <w:r>
                    <w:rPr>
                      <w:rFonts w:hint="default" w:ascii="Times New Roman" w:hAnsi="Times New Roman" w:eastAsia="宋体" w:cs="Times New Roman"/>
                      <w:i w:val="0"/>
                      <w:iCs w:val="0"/>
                      <w:color w:val="000000"/>
                      <w:kern w:val="0"/>
                      <w:sz w:val="21"/>
                      <w:szCs w:val="21"/>
                      <w:highlight w:val="yellow"/>
                      <w:u w:val="none"/>
                      <w:lang w:val="en-US" w:eastAsia="zh-CN" w:bidi="ar"/>
                    </w:rPr>
                    <w:t>极耳裁切整形机</w:t>
                  </w:r>
                </w:p>
              </w:tc>
              <w:tc>
                <w:tcPr>
                  <w:tcW w:w="1906" w:type="dxa"/>
                  <w:tcBorders>
                    <w:tl2br w:val="nil"/>
                    <w:tr2bl w:val="nil"/>
                  </w:tcBorders>
                  <w:shd w:val="clear" w:color="auto" w:fill="auto"/>
                  <w:vAlign w:val="center"/>
                </w:tcPr>
                <w:p w14:paraId="32110D69">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MSK-121</w:t>
                  </w:r>
                </w:p>
              </w:tc>
              <w:tc>
                <w:tcPr>
                  <w:tcW w:w="827" w:type="dxa"/>
                  <w:tcBorders>
                    <w:tl2br w:val="nil"/>
                    <w:tr2bl w:val="nil"/>
                  </w:tcBorders>
                  <w:shd w:val="clear" w:color="auto" w:fill="auto"/>
                  <w:vAlign w:val="center"/>
                </w:tcPr>
                <w:p w14:paraId="6F3F2767">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1</w:t>
                  </w:r>
                </w:p>
              </w:tc>
              <w:tc>
                <w:tcPr>
                  <w:tcW w:w="1400" w:type="dxa"/>
                  <w:tcBorders>
                    <w:tl2br w:val="nil"/>
                    <w:tr2bl w:val="nil"/>
                  </w:tcBorders>
                  <w:shd w:val="clear" w:color="auto" w:fill="auto"/>
                  <w:vAlign w:val="center"/>
                </w:tcPr>
                <w:p w14:paraId="37B84B7A">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极耳裁切</w:t>
                  </w:r>
                </w:p>
              </w:tc>
              <w:tc>
                <w:tcPr>
                  <w:tcW w:w="1347" w:type="dxa"/>
                  <w:tcBorders>
                    <w:tl2br w:val="nil"/>
                    <w:tr2bl w:val="nil"/>
                  </w:tcBorders>
                  <w:shd w:val="clear" w:color="auto" w:fill="auto"/>
                  <w:vAlign w:val="center"/>
                </w:tcPr>
                <w:p w14:paraId="0DE350F5">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电芯封装间</w:t>
                  </w:r>
                </w:p>
              </w:tc>
            </w:tr>
            <w:tr w14:paraId="0F4B045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341A7EE8">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55866ED4">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铝塑膜成型机</w:t>
                  </w:r>
                </w:p>
              </w:tc>
              <w:tc>
                <w:tcPr>
                  <w:tcW w:w="1906" w:type="dxa"/>
                  <w:tcBorders>
                    <w:tl2br w:val="nil"/>
                    <w:tr2bl w:val="nil"/>
                  </w:tcBorders>
                  <w:shd w:val="clear" w:color="auto" w:fill="auto"/>
                  <w:vAlign w:val="center"/>
                </w:tcPr>
                <w:p w14:paraId="3131D680">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MSK-120L</w:t>
                  </w:r>
                </w:p>
              </w:tc>
              <w:tc>
                <w:tcPr>
                  <w:tcW w:w="827" w:type="dxa"/>
                  <w:tcBorders>
                    <w:tl2br w:val="nil"/>
                    <w:tr2bl w:val="nil"/>
                  </w:tcBorders>
                  <w:shd w:val="clear" w:color="auto" w:fill="auto"/>
                  <w:vAlign w:val="center"/>
                </w:tcPr>
                <w:p w14:paraId="7B13FE75">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1</w:t>
                  </w:r>
                </w:p>
              </w:tc>
              <w:tc>
                <w:tcPr>
                  <w:tcW w:w="1400" w:type="dxa"/>
                  <w:tcBorders>
                    <w:tl2br w:val="nil"/>
                    <w:tr2bl w:val="nil"/>
                  </w:tcBorders>
                  <w:shd w:val="clear" w:color="auto" w:fill="auto"/>
                  <w:vAlign w:val="center"/>
                </w:tcPr>
                <w:p w14:paraId="0F464663">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铝塑膜冲坑</w:t>
                  </w:r>
                </w:p>
              </w:tc>
              <w:tc>
                <w:tcPr>
                  <w:tcW w:w="1347" w:type="dxa"/>
                  <w:tcBorders>
                    <w:tl2br w:val="nil"/>
                    <w:tr2bl w:val="nil"/>
                  </w:tcBorders>
                  <w:shd w:val="clear" w:color="auto" w:fill="auto"/>
                  <w:vAlign w:val="center"/>
                </w:tcPr>
                <w:p w14:paraId="4BB02445">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电芯封装间</w:t>
                  </w:r>
                </w:p>
              </w:tc>
            </w:tr>
            <w:tr w14:paraId="237AECF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1FD748AF">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53B3FB24">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气动裁切机</w:t>
                  </w:r>
                </w:p>
              </w:tc>
              <w:tc>
                <w:tcPr>
                  <w:tcW w:w="1906" w:type="dxa"/>
                  <w:tcBorders>
                    <w:tl2br w:val="nil"/>
                    <w:tr2bl w:val="nil"/>
                  </w:tcBorders>
                  <w:shd w:val="clear" w:color="auto" w:fill="auto"/>
                  <w:vAlign w:val="center"/>
                </w:tcPr>
                <w:p w14:paraId="46CD579D">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MSK-121-MC</w:t>
                  </w:r>
                </w:p>
              </w:tc>
              <w:tc>
                <w:tcPr>
                  <w:tcW w:w="827" w:type="dxa"/>
                  <w:tcBorders>
                    <w:tl2br w:val="nil"/>
                    <w:tr2bl w:val="nil"/>
                  </w:tcBorders>
                  <w:shd w:val="clear" w:color="auto" w:fill="auto"/>
                  <w:vAlign w:val="center"/>
                </w:tcPr>
                <w:p w14:paraId="2D5024A5">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1</w:t>
                  </w:r>
                </w:p>
              </w:tc>
              <w:tc>
                <w:tcPr>
                  <w:tcW w:w="1400" w:type="dxa"/>
                  <w:tcBorders>
                    <w:tl2br w:val="nil"/>
                    <w:tr2bl w:val="nil"/>
                  </w:tcBorders>
                  <w:shd w:val="clear" w:color="auto" w:fill="auto"/>
                  <w:vAlign w:val="center"/>
                </w:tcPr>
                <w:p w14:paraId="4667C40E">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电芯裁切</w:t>
                  </w:r>
                </w:p>
              </w:tc>
              <w:tc>
                <w:tcPr>
                  <w:tcW w:w="1347" w:type="dxa"/>
                  <w:tcBorders>
                    <w:tl2br w:val="nil"/>
                    <w:tr2bl w:val="nil"/>
                  </w:tcBorders>
                  <w:shd w:val="clear" w:color="auto" w:fill="auto"/>
                  <w:vAlign w:val="center"/>
                </w:tcPr>
                <w:p w14:paraId="2E5659AE">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电芯封装间</w:t>
                  </w:r>
                </w:p>
              </w:tc>
            </w:tr>
            <w:tr w14:paraId="4CF0770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7C2DE8B0">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1052CA77">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单工位热封机</w:t>
                  </w:r>
                </w:p>
              </w:tc>
              <w:tc>
                <w:tcPr>
                  <w:tcW w:w="1906" w:type="dxa"/>
                  <w:tcBorders>
                    <w:tl2br w:val="nil"/>
                    <w:tr2bl w:val="nil"/>
                  </w:tcBorders>
                  <w:shd w:val="clear" w:color="auto" w:fill="auto"/>
                  <w:vAlign w:val="center"/>
                </w:tcPr>
                <w:p w14:paraId="3F143D21">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MSK-140L</w:t>
                  </w:r>
                </w:p>
              </w:tc>
              <w:tc>
                <w:tcPr>
                  <w:tcW w:w="827" w:type="dxa"/>
                  <w:tcBorders>
                    <w:tl2br w:val="nil"/>
                    <w:tr2bl w:val="nil"/>
                  </w:tcBorders>
                  <w:shd w:val="clear" w:color="auto" w:fill="auto"/>
                  <w:vAlign w:val="center"/>
                </w:tcPr>
                <w:p w14:paraId="34607749">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2</w:t>
                  </w:r>
                </w:p>
              </w:tc>
              <w:tc>
                <w:tcPr>
                  <w:tcW w:w="1400" w:type="dxa"/>
                  <w:tcBorders>
                    <w:tl2br w:val="nil"/>
                    <w:tr2bl w:val="nil"/>
                  </w:tcBorders>
                  <w:shd w:val="clear" w:color="auto" w:fill="auto"/>
                  <w:vAlign w:val="center"/>
                </w:tcPr>
                <w:p w14:paraId="7C5ED0CD">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电芯热封</w:t>
                  </w:r>
                </w:p>
              </w:tc>
              <w:tc>
                <w:tcPr>
                  <w:tcW w:w="1347" w:type="dxa"/>
                  <w:tcBorders>
                    <w:tl2br w:val="nil"/>
                    <w:tr2bl w:val="nil"/>
                  </w:tcBorders>
                  <w:shd w:val="clear" w:color="auto" w:fill="auto"/>
                  <w:vAlign w:val="center"/>
                </w:tcPr>
                <w:p w14:paraId="28A4E641">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电芯封装间</w:t>
                  </w:r>
                </w:p>
              </w:tc>
            </w:tr>
            <w:tr w14:paraId="5BF650D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3568A9DE">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6FF62296">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双节单面双工位手套箱</w:t>
                  </w:r>
                </w:p>
              </w:tc>
              <w:tc>
                <w:tcPr>
                  <w:tcW w:w="1906" w:type="dxa"/>
                  <w:tcBorders>
                    <w:tl2br w:val="nil"/>
                    <w:tr2bl w:val="nil"/>
                  </w:tcBorders>
                  <w:shd w:val="clear" w:color="auto" w:fill="auto"/>
                  <w:vAlign w:val="center"/>
                </w:tcPr>
                <w:p w14:paraId="4BE6247D">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VGB-10-II</w:t>
                  </w:r>
                </w:p>
              </w:tc>
              <w:tc>
                <w:tcPr>
                  <w:tcW w:w="827" w:type="dxa"/>
                  <w:tcBorders>
                    <w:tl2br w:val="nil"/>
                    <w:tr2bl w:val="nil"/>
                  </w:tcBorders>
                  <w:shd w:val="clear" w:color="auto" w:fill="auto"/>
                  <w:vAlign w:val="center"/>
                </w:tcPr>
                <w:p w14:paraId="4024BA89">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1</w:t>
                  </w:r>
                </w:p>
              </w:tc>
              <w:tc>
                <w:tcPr>
                  <w:tcW w:w="1400" w:type="dxa"/>
                  <w:tcBorders>
                    <w:tl2br w:val="nil"/>
                    <w:tr2bl w:val="nil"/>
                  </w:tcBorders>
                  <w:shd w:val="clear" w:color="auto" w:fill="auto"/>
                  <w:vAlign w:val="center"/>
                </w:tcPr>
                <w:p w14:paraId="04352D4E">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电芯封装</w:t>
                  </w:r>
                </w:p>
              </w:tc>
              <w:tc>
                <w:tcPr>
                  <w:tcW w:w="1347" w:type="dxa"/>
                  <w:tcBorders>
                    <w:tl2br w:val="nil"/>
                    <w:tr2bl w:val="nil"/>
                  </w:tcBorders>
                  <w:shd w:val="clear" w:color="auto" w:fill="auto"/>
                  <w:vAlign w:val="center"/>
                </w:tcPr>
                <w:p w14:paraId="33987BF2">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电芯封装间</w:t>
                  </w:r>
                </w:p>
              </w:tc>
            </w:tr>
            <w:tr w14:paraId="43E4295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0CE01FC2">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3BD4D739">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电子天平</w:t>
                  </w:r>
                </w:p>
              </w:tc>
              <w:tc>
                <w:tcPr>
                  <w:tcW w:w="1906" w:type="dxa"/>
                  <w:tcBorders>
                    <w:tl2br w:val="nil"/>
                    <w:tr2bl w:val="nil"/>
                  </w:tcBorders>
                  <w:shd w:val="clear" w:color="auto" w:fill="auto"/>
                  <w:vAlign w:val="center"/>
                </w:tcPr>
                <w:p w14:paraId="26C4DAA0">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BSA6202S-CW</w:t>
                  </w:r>
                </w:p>
              </w:tc>
              <w:tc>
                <w:tcPr>
                  <w:tcW w:w="827" w:type="dxa"/>
                  <w:tcBorders>
                    <w:tl2br w:val="nil"/>
                    <w:tr2bl w:val="nil"/>
                  </w:tcBorders>
                  <w:shd w:val="clear" w:color="auto" w:fill="auto"/>
                  <w:vAlign w:val="center"/>
                </w:tcPr>
                <w:p w14:paraId="6BE4C380">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1</w:t>
                  </w:r>
                </w:p>
              </w:tc>
              <w:tc>
                <w:tcPr>
                  <w:tcW w:w="1400" w:type="dxa"/>
                  <w:tcBorders>
                    <w:tl2br w:val="nil"/>
                    <w:tr2bl w:val="nil"/>
                  </w:tcBorders>
                  <w:shd w:val="clear" w:color="auto" w:fill="auto"/>
                  <w:vAlign w:val="center"/>
                </w:tcPr>
                <w:p w14:paraId="10F72167">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称量</w:t>
                  </w:r>
                </w:p>
              </w:tc>
              <w:tc>
                <w:tcPr>
                  <w:tcW w:w="1347" w:type="dxa"/>
                  <w:tcBorders>
                    <w:tl2br w:val="nil"/>
                    <w:tr2bl w:val="nil"/>
                  </w:tcBorders>
                  <w:shd w:val="clear" w:color="auto" w:fill="auto"/>
                  <w:vAlign w:val="center"/>
                </w:tcPr>
                <w:p w14:paraId="61CB1B65">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电芯封装间</w:t>
                  </w:r>
                </w:p>
              </w:tc>
            </w:tr>
            <w:tr w14:paraId="31D39C8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3096CFC4">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3A10BB7D">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二次真空封口机</w:t>
                  </w:r>
                </w:p>
              </w:tc>
              <w:tc>
                <w:tcPr>
                  <w:tcW w:w="1906" w:type="dxa"/>
                  <w:tcBorders>
                    <w:tl2br w:val="nil"/>
                    <w:tr2bl w:val="nil"/>
                  </w:tcBorders>
                  <w:shd w:val="clear" w:color="auto" w:fill="auto"/>
                  <w:vAlign w:val="center"/>
                </w:tcPr>
                <w:p w14:paraId="3809CE00">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MSK-115B-L</w:t>
                  </w:r>
                </w:p>
              </w:tc>
              <w:tc>
                <w:tcPr>
                  <w:tcW w:w="827" w:type="dxa"/>
                  <w:tcBorders>
                    <w:tl2br w:val="nil"/>
                    <w:tr2bl w:val="nil"/>
                  </w:tcBorders>
                  <w:shd w:val="clear" w:color="auto" w:fill="auto"/>
                  <w:vAlign w:val="center"/>
                </w:tcPr>
                <w:p w14:paraId="7D09087C">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1</w:t>
                  </w:r>
                </w:p>
              </w:tc>
              <w:tc>
                <w:tcPr>
                  <w:tcW w:w="1400" w:type="dxa"/>
                  <w:tcBorders>
                    <w:tl2br w:val="nil"/>
                    <w:tr2bl w:val="nil"/>
                  </w:tcBorders>
                  <w:shd w:val="clear" w:color="auto" w:fill="auto"/>
                  <w:vAlign w:val="center"/>
                </w:tcPr>
                <w:p w14:paraId="5FD37ACF">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电芯封装</w:t>
                  </w:r>
                </w:p>
              </w:tc>
              <w:tc>
                <w:tcPr>
                  <w:tcW w:w="1347" w:type="dxa"/>
                  <w:tcBorders>
                    <w:tl2br w:val="nil"/>
                    <w:tr2bl w:val="nil"/>
                  </w:tcBorders>
                  <w:shd w:val="clear" w:color="auto" w:fill="auto"/>
                  <w:vAlign w:val="center"/>
                </w:tcPr>
                <w:p w14:paraId="7EFA297A">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电芯封装间</w:t>
                  </w:r>
                </w:p>
              </w:tc>
            </w:tr>
            <w:tr w14:paraId="0CBB2E7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023BD211">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7F539059">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蓝电电池测试系统</w:t>
                  </w:r>
                </w:p>
              </w:tc>
              <w:tc>
                <w:tcPr>
                  <w:tcW w:w="1906" w:type="dxa"/>
                  <w:tcBorders>
                    <w:tl2br w:val="nil"/>
                    <w:tr2bl w:val="nil"/>
                  </w:tcBorders>
                  <w:shd w:val="clear" w:color="auto" w:fill="auto"/>
                  <w:vAlign w:val="center"/>
                </w:tcPr>
                <w:p w14:paraId="75843637">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CT5002A 5V 3A&amp;30A</w:t>
                  </w:r>
                </w:p>
              </w:tc>
              <w:tc>
                <w:tcPr>
                  <w:tcW w:w="827" w:type="dxa"/>
                  <w:tcBorders>
                    <w:tl2br w:val="nil"/>
                    <w:tr2bl w:val="nil"/>
                  </w:tcBorders>
                  <w:shd w:val="clear" w:color="auto" w:fill="auto"/>
                  <w:vAlign w:val="center"/>
                </w:tcPr>
                <w:p w14:paraId="6112E9A3">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2</w:t>
                  </w:r>
                </w:p>
              </w:tc>
              <w:tc>
                <w:tcPr>
                  <w:tcW w:w="1400" w:type="dxa"/>
                  <w:tcBorders>
                    <w:tl2br w:val="nil"/>
                    <w:tr2bl w:val="nil"/>
                  </w:tcBorders>
                  <w:shd w:val="clear" w:color="auto" w:fill="auto"/>
                  <w:vAlign w:val="center"/>
                </w:tcPr>
                <w:p w14:paraId="3EE0C74E">
                  <w:pPr>
                    <w:jc w:val="center"/>
                    <w:rPr>
                      <w:rFonts w:hint="default" w:ascii="Times New Roman" w:hAnsi="Times New Roman" w:eastAsia="宋体" w:cs="Times New Roman"/>
                      <w:color w:val="auto"/>
                      <w:spacing w:val="-1"/>
                      <w:sz w:val="21"/>
                      <w:szCs w:val="21"/>
                      <w:highlight w:val="yellow"/>
                      <w:lang w:val="en-US" w:eastAsia="zh-CN"/>
                    </w:rPr>
                  </w:pPr>
                  <w:r>
                    <w:rPr>
                      <w:rFonts w:hint="default" w:ascii="Times New Roman" w:hAnsi="Times New Roman" w:eastAsia="宋体" w:cs="Times New Roman"/>
                      <w:szCs w:val="21"/>
                      <w:highlight w:val="yellow"/>
                      <w:shd w:val="clear" w:color="auto" w:fill="FFFFFF"/>
                    </w:rPr>
                    <w:t>电池</w:t>
                  </w:r>
                  <w:r>
                    <w:rPr>
                      <w:rFonts w:hint="default" w:ascii="Times New Roman" w:hAnsi="Times New Roman" w:eastAsia="宋体" w:cs="Times New Roman"/>
                      <w:szCs w:val="21"/>
                      <w:highlight w:val="yellow"/>
                      <w:shd w:val="clear" w:color="auto" w:fill="FFFFFF"/>
                      <w:lang w:val="en-US" w:eastAsia="zh-CN"/>
                    </w:rPr>
                    <w:t>充放电测试</w:t>
                  </w:r>
                </w:p>
              </w:tc>
              <w:tc>
                <w:tcPr>
                  <w:tcW w:w="1347" w:type="dxa"/>
                  <w:tcBorders>
                    <w:tl2br w:val="nil"/>
                    <w:tr2bl w:val="nil"/>
                  </w:tcBorders>
                  <w:shd w:val="clear" w:color="auto" w:fill="auto"/>
                  <w:vAlign w:val="center"/>
                </w:tcPr>
                <w:p w14:paraId="4FB07506">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电池测试间</w:t>
                  </w:r>
                </w:p>
              </w:tc>
            </w:tr>
            <w:tr w14:paraId="5A0C5CD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1FB437DD">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0290B6E7">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蓝电电池测试系统</w:t>
                  </w:r>
                </w:p>
              </w:tc>
              <w:tc>
                <w:tcPr>
                  <w:tcW w:w="1906" w:type="dxa"/>
                  <w:tcBorders>
                    <w:tl2br w:val="nil"/>
                    <w:tr2bl w:val="nil"/>
                  </w:tcBorders>
                  <w:shd w:val="clear" w:color="auto" w:fill="auto"/>
                  <w:vAlign w:val="center"/>
                </w:tcPr>
                <w:p w14:paraId="253BA918">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CT 5002AK 5V 6A&amp;60A</w:t>
                  </w:r>
                </w:p>
              </w:tc>
              <w:tc>
                <w:tcPr>
                  <w:tcW w:w="827" w:type="dxa"/>
                  <w:tcBorders>
                    <w:tl2br w:val="nil"/>
                    <w:tr2bl w:val="nil"/>
                  </w:tcBorders>
                  <w:shd w:val="clear" w:color="auto" w:fill="auto"/>
                  <w:vAlign w:val="center"/>
                </w:tcPr>
                <w:p w14:paraId="7E5B4543">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1</w:t>
                  </w:r>
                </w:p>
              </w:tc>
              <w:tc>
                <w:tcPr>
                  <w:tcW w:w="1400" w:type="dxa"/>
                  <w:tcBorders>
                    <w:tl2br w:val="nil"/>
                    <w:tr2bl w:val="nil"/>
                  </w:tcBorders>
                  <w:shd w:val="clear" w:color="auto" w:fill="auto"/>
                  <w:vAlign w:val="center"/>
                </w:tcPr>
                <w:p w14:paraId="7BA390AD">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eastAsia="宋体" w:cs="Times New Roman"/>
                      <w:szCs w:val="21"/>
                      <w:highlight w:val="yellow"/>
                      <w:shd w:val="clear" w:color="auto" w:fill="FFFFFF"/>
                    </w:rPr>
                    <w:t>电池</w:t>
                  </w:r>
                  <w:r>
                    <w:rPr>
                      <w:rFonts w:hint="default" w:ascii="Times New Roman" w:hAnsi="Times New Roman" w:eastAsia="宋体" w:cs="Times New Roman"/>
                      <w:szCs w:val="21"/>
                      <w:highlight w:val="yellow"/>
                      <w:shd w:val="clear" w:color="auto" w:fill="FFFFFF"/>
                      <w:lang w:val="en-US" w:eastAsia="zh-CN"/>
                    </w:rPr>
                    <w:t>充放电测试</w:t>
                  </w:r>
                </w:p>
              </w:tc>
              <w:tc>
                <w:tcPr>
                  <w:tcW w:w="1347" w:type="dxa"/>
                  <w:tcBorders>
                    <w:tl2br w:val="nil"/>
                    <w:tr2bl w:val="nil"/>
                  </w:tcBorders>
                  <w:shd w:val="clear" w:color="auto" w:fill="auto"/>
                  <w:vAlign w:val="center"/>
                </w:tcPr>
                <w:p w14:paraId="33E902E4">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电池测试间</w:t>
                  </w:r>
                </w:p>
              </w:tc>
            </w:tr>
            <w:tr w14:paraId="5C3DF7F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3B12A8BF">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168FC542">
                  <w:pPr>
                    <w:keepNext w:val="0"/>
                    <w:keepLines w:val="0"/>
                    <w:widowControl/>
                    <w:suppressLineNumbers w:val="0"/>
                    <w:jc w:val="center"/>
                    <w:textAlignment w:val="center"/>
                    <w:rPr>
                      <w:rFonts w:hint="default" w:ascii="Times New Roman" w:hAnsi="Times New Roman" w:cs="Times New Roman"/>
                      <w:color w:val="auto"/>
                      <w:kern w:val="0"/>
                      <w:sz w:val="21"/>
                      <w:szCs w:val="21"/>
                      <w:highlight w:val="yellow"/>
                      <w:lang w:val="en-US" w:eastAsia="zh-CN"/>
                    </w:rPr>
                  </w:pPr>
                  <w:r>
                    <w:rPr>
                      <w:rFonts w:hint="default" w:ascii="Times New Roman" w:hAnsi="Times New Roman" w:eastAsia="宋体" w:cs="Times New Roman"/>
                      <w:i w:val="0"/>
                      <w:iCs w:val="0"/>
                      <w:color w:val="000000"/>
                      <w:kern w:val="0"/>
                      <w:sz w:val="21"/>
                      <w:szCs w:val="21"/>
                      <w:highlight w:val="yellow"/>
                      <w:u w:val="none"/>
                      <w:lang w:val="en-US" w:eastAsia="zh-CN" w:bidi="ar"/>
                    </w:rPr>
                    <w:t>电池温度循环试验机</w:t>
                  </w:r>
                </w:p>
              </w:tc>
              <w:tc>
                <w:tcPr>
                  <w:tcW w:w="1906" w:type="dxa"/>
                  <w:tcBorders>
                    <w:tl2br w:val="nil"/>
                    <w:tr2bl w:val="nil"/>
                  </w:tcBorders>
                  <w:shd w:val="clear" w:color="auto" w:fill="auto"/>
                  <w:vAlign w:val="center"/>
                </w:tcPr>
                <w:p w14:paraId="61FAF138">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MSK-TE906-150P-70-5</w:t>
                  </w:r>
                </w:p>
              </w:tc>
              <w:tc>
                <w:tcPr>
                  <w:tcW w:w="827" w:type="dxa"/>
                  <w:tcBorders>
                    <w:tl2br w:val="nil"/>
                    <w:tr2bl w:val="nil"/>
                  </w:tcBorders>
                  <w:shd w:val="clear" w:color="auto" w:fill="auto"/>
                  <w:vAlign w:val="center"/>
                </w:tcPr>
                <w:p w14:paraId="50D50348">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1</w:t>
                  </w:r>
                </w:p>
              </w:tc>
              <w:tc>
                <w:tcPr>
                  <w:tcW w:w="1400" w:type="dxa"/>
                  <w:tcBorders>
                    <w:tl2br w:val="nil"/>
                    <w:tr2bl w:val="nil"/>
                  </w:tcBorders>
                  <w:shd w:val="clear" w:color="auto" w:fill="auto"/>
                  <w:vAlign w:val="center"/>
                </w:tcPr>
                <w:p w14:paraId="07AAB9A3">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eastAsia="宋体" w:cs="Times New Roman"/>
                      <w:szCs w:val="21"/>
                      <w:highlight w:val="yellow"/>
                      <w:shd w:val="clear" w:color="auto" w:fill="FFFFFF"/>
                    </w:rPr>
                    <w:t>电池</w:t>
                  </w:r>
                  <w:r>
                    <w:rPr>
                      <w:rFonts w:hint="default" w:ascii="Times New Roman" w:hAnsi="Times New Roman" w:eastAsia="宋体" w:cs="Times New Roman"/>
                      <w:szCs w:val="21"/>
                      <w:highlight w:val="yellow"/>
                      <w:shd w:val="clear" w:color="auto" w:fill="FFFFFF"/>
                      <w:lang w:val="en-US" w:eastAsia="zh-CN"/>
                    </w:rPr>
                    <w:t>充放电测试</w:t>
                  </w:r>
                </w:p>
              </w:tc>
              <w:tc>
                <w:tcPr>
                  <w:tcW w:w="1347" w:type="dxa"/>
                  <w:tcBorders>
                    <w:tl2br w:val="nil"/>
                    <w:tr2bl w:val="nil"/>
                  </w:tcBorders>
                  <w:shd w:val="clear" w:color="auto" w:fill="auto"/>
                  <w:vAlign w:val="center"/>
                </w:tcPr>
                <w:p w14:paraId="20F197AC">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电池测试间</w:t>
                  </w:r>
                </w:p>
              </w:tc>
            </w:tr>
            <w:tr w14:paraId="2248971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57ABA658">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0F69431E">
                  <w:pPr>
                    <w:keepNext w:val="0"/>
                    <w:keepLines w:val="0"/>
                    <w:widowControl/>
                    <w:suppressLineNumbers w:val="0"/>
                    <w:jc w:val="center"/>
                    <w:textAlignment w:val="center"/>
                    <w:rPr>
                      <w:rFonts w:hint="default" w:ascii="Times New Roman" w:hAnsi="Times New Roman" w:cs="Times New Roman"/>
                      <w:color w:val="auto"/>
                      <w:kern w:val="0"/>
                      <w:sz w:val="21"/>
                      <w:szCs w:val="21"/>
                      <w:highlight w:val="yellow"/>
                      <w:lang w:val="en-US" w:eastAsia="zh-CN"/>
                    </w:rPr>
                  </w:pPr>
                  <w:r>
                    <w:rPr>
                      <w:rFonts w:hint="default" w:ascii="Times New Roman" w:hAnsi="Times New Roman" w:eastAsia="宋体" w:cs="Times New Roman"/>
                      <w:i w:val="0"/>
                      <w:iCs w:val="0"/>
                      <w:color w:val="000000"/>
                      <w:kern w:val="0"/>
                      <w:sz w:val="21"/>
                      <w:szCs w:val="21"/>
                      <w:highlight w:val="yellow"/>
                      <w:u w:val="none"/>
                      <w:lang w:val="en-US" w:eastAsia="zh-CN" w:bidi="ar"/>
                    </w:rPr>
                    <w:t>扣电恒温测试一体机</w:t>
                  </w:r>
                </w:p>
              </w:tc>
              <w:tc>
                <w:tcPr>
                  <w:tcW w:w="1906" w:type="dxa"/>
                  <w:tcBorders>
                    <w:tl2br w:val="nil"/>
                    <w:tr2bl w:val="nil"/>
                  </w:tcBorders>
                  <w:shd w:val="clear" w:color="auto" w:fill="auto"/>
                  <w:vAlign w:val="center"/>
                </w:tcPr>
                <w:p w14:paraId="49828BB1">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MSK-TE906-160CH/5V10mA 160通道</w:t>
                  </w:r>
                </w:p>
              </w:tc>
              <w:tc>
                <w:tcPr>
                  <w:tcW w:w="827" w:type="dxa"/>
                  <w:tcBorders>
                    <w:tl2br w:val="nil"/>
                    <w:tr2bl w:val="nil"/>
                  </w:tcBorders>
                  <w:shd w:val="clear" w:color="auto" w:fill="auto"/>
                  <w:vAlign w:val="center"/>
                </w:tcPr>
                <w:p w14:paraId="504D5849">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1</w:t>
                  </w:r>
                </w:p>
              </w:tc>
              <w:tc>
                <w:tcPr>
                  <w:tcW w:w="1400" w:type="dxa"/>
                  <w:tcBorders>
                    <w:tl2br w:val="nil"/>
                    <w:tr2bl w:val="nil"/>
                  </w:tcBorders>
                  <w:shd w:val="clear" w:color="auto" w:fill="auto"/>
                  <w:vAlign w:val="center"/>
                </w:tcPr>
                <w:p w14:paraId="75238AC9">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eastAsia="宋体" w:cs="Times New Roman"/>
                      <w:szCs w:val="21"/>
                      <w:highlight w:val="yellow"/>
                      <w:shd w:val="clear" w:color="auto" w:fill="FFFFFF"/>
                    </w:rPr>
                    <w:t>电池</w:t>
                  </w:r>
                  <w:r>
                    <w:rPr>
                      <w:rFonts w:hint="default" w:ascii="Times New Roman" w:hAnsi="Times New Roman" w:eastAsia="宋体" w:cs="Times New Roman"/>
                      <w:szCs w:val="21"/>
                      <w:highlight w:val="yellow"/>
                      <w:shd w:val="clear" w:color="auto" w:fill="FFFFFF"/>
                      <w:lang w:val="en-US" w:eastAsia="zh-CN"/>
                    </w:rPr>
                    <w:t>充放电测试</w:t>
                  </w:r>
                </w:p>
              </w:tc>
              <w:tc>
                <w:tcPr>
                  <w:tcW w:w="1347" w:type="dxa"/>
                  <w:tcBorders>
                    <w:tl2br w:val="nil"/>
                    <w:tr2bl w:val="nil"/>
                  </w:tcBorders>
                  <w:shd w:val="clear" w:color="auto" w:fill="auto"/>
                  <w:vAlign w:val="center"/>
                </w:tcPr>
                <w:p w14:paraId="6527539C">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电池测试间</w:t>
                  </w:r>
                </w:p>
              </w:tc>
            </w:tr>
            <w:tr w14:paraId="34266BC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15029933">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0F629006">
                  <w:pPr>
                    <w:keepNext w:val="0"/>
                    <w:keepLines w:val="0"/>
                    <w:widowControl/>
                    <w:suppressLineNumbers w:val="0"/>
                    <w:jc w:val="center"/>
                    <w:textAlignment w:val="center"/>
                    <w:rPr>
                      <w:rFonts w:hint="default" w:ascii="Times New Roman" w:hAnsi="Times New Roman" w:cs="Times New Roman"/>
                      <w:color w:val="auto"/>
                      <w:kern w:val="0"/>
                      <w:sz w:val="21"/>
                      <w:szCs w:val="21"/>
                      <w:highlight w:val="yellow"/>
                      <w:lang w:val="en-US" w:eastAsia="zh-CN"/>
                    </w:rPr>
                  </w:pPr>
                  <w:r>
                    <w:rPr>
                      <w:rFonts w:hint="default" w:ascii="Times New Roman" w:hAnsi="Times New Roman" w:eastAsia="宋体" w:cs="Times New Roman"/>
                      <w:i w:val="0"/>
                      <w:iCs w:val="0"/>
                      <w:color w:val="000000"/>
                      <w:kern w:val="0"/>
                      <w:sz w:val="21"/>
                      <w:szCs w:val="21"/>
                      <w:highlight w:val="yellow"/>
                      <w:u w:val="none"/>
                      <w:lang w:val="en-US" w:eastAsia="zh-CN" w:bidi="ar"/>
                    </w:rPr>
                    <w:t>精密内阻测试仪</w:t>
                  </w:r>
                </w:p>
              </w:tc>
              <w:tc>
                <w:tcPr>
                  <w:tcW w:w="1906" w:type="dxa"/>
                  <w:tcBorders>
                    <w:tl2br w:val="nil"/>
                    <w:tr2bl w:val="nil"/>
                  </w:tcBorders>
                  <w:shd w:val="clear" w:color="auto" w:fill="auto"/>
                  <w:vAlign w:val="center"/>
                </w:tcPr>
                <w:p w14:paraId="080F46CF">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HK-3560</w:t>
                  </w:r>
                </w:p>
              </w:tc>
              <w:tc>
                <w:tcPr>
                  <w:tcW w:w="827" w:type="dxa"/>
                  <w:tcBorders>
                    <w:tl2br w:val="nil"/>
                    <w:tr2bl w:val="nil"/>
                  </w:tcBorders>
                  <w:shd w:val="clear" w:color="auto" w:fill="auto"/>
                  <w:vAlign w:val="center"/>
                </w:tcPr>
                <w:p w14:paraId="79C5E185">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1</w:t>
                  </w:r>
                </w:p>
              </w:tc>
              <w:tc>
                <w:tcPr>
                  <w:tcW w:w="1400" w:type="dxa"/>
                  <w:tcBorders>
                    <w:tl2br w:val="nil"/>
                    <w:tr2bl w:val="nil"/>
                  </w:tcBorders>
                  <w:shd w:val="clear" w:color="auto" w:fill="auto"/>
                  <w:vAlign w:val="center"/>
                </w:tcPr>
                <w:p w14:paraId="23EB9768">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电池内阻测定</w:t>
                  </w:r>
                </w:p>
              </w:tc>
              <w:tc>
                <w:tcPr>
                  <w:tcW w:w="1347" w:type="dxa"/>
                  <w:tcBorders>
                    <w:tl2br w:val="nil"/>
                    <w:tr2bl w:val="nil"/>
                  </w:tcBorders>
                  <w:shd w:val="clear" w:color="auto" w:fill="auto"/>
                  <w:vAlign w:val="center"/>
                </w:tcPr>
                <w:p w14:paraId="27313F73">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电池测试间</w:t>
                  </w:r>
                </w:p>
              </w:tc>
            </w:tr>
            <w:tr w14:paraId="203A83F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2092CB7F">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44911C54">
                  <w:pPr>
                    <w:keepNext w:val="0"/>
                    <w:keepLines w:val="0"/>
                    <w:widowControl/>
                    <w:suppressLineNumbers w:val="0"/>
                    <w:jc w:val="center"/>
                    <w:textAlignment w:val="center"/>
                    <w:rPr>
                      <w:rFonts w:hint="default" w:ascii="Times New Roman" w:hAnsi="Times New Roman" w:cs="Times New Roman"/>
                      <w:color w:val="auto"/>
                      <w:kern w:val="0"/>
                      <w:sz w:val="21"/>
                      <w:szCs w:val="21"/>
                      <w:highlight w:val="yellow"/>
                      <w:lang w:val="en-US" w:eastAsia="zh-CN"/>
                    </w:rPr>
                  </w:pPr>
                  <w:r>
                    <w:rPr>
                      <w:rFonts w:hint="default" w:ascii="Times New Roman" w:hAnsi="Times New Roman" w:eastAsia="宋体" w:cs="Times New Roman"/>
                      <w:i w:val="0"/>
                      <w:iCs w:val="0"/>
                      <w:color w:val="000000"/>
                      <w:kern w:val="0"/>
                      <w:sz w:val="21"/>
                      <w:szCs w:val="21"/>
                      <w:highlight w:val="yellow"/>
                      <w:u w:val="none"/>
                      <w:lang w:val="en-US" w:eastAsia="zh-CN" w:bidi="ar"/>
                    </w:rPr>
                    <w:t>多通道电化学工作站</w:t>
                  </w:r>
                </w:p>
              </w:tc>
              <w:tc>
                <w:tcPr>
                  <w:tcW w:w="1906" w:type="dxa"/>
                  <w:tcBorders>
                    <w:tl2br w:val="nil"/>
                    <w:tr2bl w:val="nil"/>
                  </w:tcBorders>
                  <w:shd w:val="clear" w:color="auto" w:fill="auto"/>
                  <w:vAlign w:val="center"/>
                </w:tcPr>
                <w:p w14:paraId="69437BF0">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Ivium-n-Stat</w:t>
                  </w:r>
                </w:p>
              </w:tc>
              <w:tc>
                <w:tcPr>
                  <w:tcW w:w="827" w:type="dxa"/>
                  <w:tcBorders>
                    <w:tl2br w:val="nil"/>
                    <w:tr2bl w:val="nil"/>
                  </w:tcBorders>
                  <w:shd w:val="clear" w:color="auto" w:fill="auto"/>
                  <w:vAlign w:val="center"/>
                </w:tcPr>
                <w:p w14:paraId="4E392905">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1</w:t>
                  </w:r>
                </w:p>
              </w:tc>
              <w:tc>
                <w:tcPr>
                  <w:tcW w:w="1400" w:type="dxa"/>
                  <w:tcBorders>
                    <w:tl2br w:val="nil"/>
                    <w:tr2bl w:val="nil"/>
                  </w:tcBorders>
                  <w:shd w:val="clear" w:color="auto" w:fill="auto"/>
                  <w:vAlign w:val="center"/>
                </w:tcPr>
                <w:p w14:paraId="4796E431">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eastAsia="宋体" w:cs="Times New Roman"/>
                      <w:szCs w:val="21"/>
                      <w:highlight w:val="yellow"/>
                      <w:shd w:val="clear" w:color="auto" w:fill="FFFFFF"/>
                    </w:rPr>
                    <w:t>电池</w:t>
                  </w:r>
                  <w:r>
                    <w:rPr>
                      <w:rFonts w:hint="default" w:ascii="Times New Roman" w:hAnsi="Times New Roman" w:eastAsia="宋体" w:cs="Times New Roman"/>
                      <w:szCs w:val="21"/>
                      <w:highlight w:val="yellow"/>
                      <w:shd w:val="clear" w:color="auto" w:fill="FFFFFF"/>
                      <w:lang w:val="en-US" w:eastAsia="zh-CN"/>
                    </w:rPr>
                    <w:t>充放电测试</w:t>
                  </w:r>
                </w:p>
              </w:tc>
              <w:tc>
                <w:tcPr>
                  <w:tcW w:w="1347" w:type="dxa"/>
                  <w:tcBorders>
                    <w:tl2br w:val="nil"/>
                    <w:tr2bl w:val="nil"/>
                  </w:tcBorders>
                  <w:shd w:val="clear" w:color="auto" w:fill="auto"/>
                  <w:vAlign w:val="center"/>
                </w:tcPr>
                <w:p w14:paraId="523C5847">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电池测试间</w:t>
                  </w:r>
                </w:p>
              </w:tc>
            </w:tr>
            <w:tr w14:paraId="15EB24E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34D3DB2D">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36123C9A">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软包电池卧式热压化成机</w:t>
                  </w:r>
                </w:p>
              </w:tc>
              <w:tc>
                <w:tcPr>
                  <w:tcW w:w="1906" w:type="dxa"/>
                  <w:tcBorders>
                    <w:tl2br w:val="nil"/>
                    <w:tr2bl w:val="nil"/>
                  </w:tcBorders>
                  <w:shd w:val="clear" w:color="auto" w:fill="auto"/>
                  <w:vAlign w:val="center"/>
                </w:tcPr>
                <w:p w14:paraId="60363626">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MSK-131-HL16</w:t>
                  </w:r>
                </w:p>
              </w:tc>
              <w:tc>
                <w:tcPr>
                  <w:tcW w:w="827" w:type="dxa"/>
                  <w:tcBorders>
                    <w:tl2br w:val="nil"/>
                    <w:tr2bl w:val="nil"/>
                  </w:tcBorders>
                  <w:shd w:val="clear" w:color="auto" w:fill="auto"/>
                  <w:vAlign w:val="center"/>
                </w:tcPr>
                <w:p w14:paraId="3579A9C9">
                  <w:pPr>
                    <w:keepNext w:val="0"/>
                    <w:keepLines w:val="0"/>
                    <w:widowControl/>
                    <w:suppressLineNumbers w:val="0"/>
                    <w:jc w:val="center"/>
                    <w:textAlignment w:val="center"/>
                    <w:rPr>
                      <w:rFonts w:hint="default" w:ascii="Times New Roman" w:hAnsi="Times New Roman" w:eastAsia="宋体" w:cs="Times New Roman"/>
                      <w:color w:val="auto"/>
                      <w:spacing w:val="-1"/>
                      <w:kern w:val="2"/>
                      <w:sz w:val="21"/>
                      <w:szCs w:val="21"/>
                      <w:highlight w:val="yellow"/>
                      <w:lang w:val="en-US" w:eastAsia="zh-CN" w:bidi="ar-SA"/>
                    </w:rPr>
                  </w:pPr>
                  <w:r>
                    <w:rPr>
                      <w:rFonts w:hint="default" w:ascii="Times New Roman" w:hAnsi="Times New Roman" w:cs="Times New Roman"/>
                      <w:color w:val="auto"/>
                      <w:spacing w:val="-1"/>
                      <w:sz w:val="21"/>
                      <w:szCs w:val="21"/>
                      <w:highlight w:val="yellow"/>
                      <w:lang w:val="en-US" w:eastAsia="zh-CN"/>
                    </w:rPr>
                    <w:t>1</w:t>
                  </w:r>
                </w:p>
              </w:tc>
              <w:tc>
                <w:tcPr>
                  <w:tcW w:w="1400" w:type="dxa"/>
                  <w:tcBorders>
                    <w:tl2br w:val="nil"/>
                    <w:tr2bl w:val="nil"/>
                  </w:tcBorders>
                  <w:shd w:val="clear" w:color="auto" w:fill="auto"/>
                  <w:vAlign w:val="center"/>
                </w:tcPr>
                <w:p w14:paraId="271E9B12">
                  <w:pPr>
                    <w:jc w:val="center"/>
                    <w:rPr>
                      <w:rFonts w:hint="default" w:ascii="Times New Roman" w:hAnsi="Times New Roman" w:eastAsia="宋体" w:cs="Times New Roman"/>
                      <w:szCs w:val="21"/>
                      <w:highlight w:val="yellow"/>
                      <w:shd w:val="clear" w:color="auto" w:fill="FFFFFF"/>
                      <w:lang w:val="en-US" w:eastAsia="zh-CN"/>
                    </w:rPr>
                  </w:pPr>
                  <w:r>
                    <w:rPr>
                      <w:rFonts w:hint="default" w:ascii="Times New Roman" w:hAnsi="Times New Roman" w:eastAsia="宋体" w:cs="Times New Roman"/>
                      <w:szCs w:val="21"/>
                      <w:highlight w:val="yellow"/>
                      <w:shd w:val="clear" w:color="auto" w:fill="FFFFFF"/>
                      <w:lang w:val="en-US" w:eastAsia="zh-CN"/>
                    </w:rPr>
                    <w:t>电池热压化成</w:t>
                  </w:r>
                </w:p>
              </w:tc>
              <w:tc>
                <w:tcPr>
                  <w:tcW w:w="1347" w:type="dxa"/>
                  <w:tcBorders>
                    <w:tl2br w:val="nil"/>
                    <w:tr2bl w:val="nil"/>
                  </w:tcBorders>
                  <w:shd w:val="clear" w:color="auto" w:fill="auto"/>
                  <w:vAlign w:val="center"/>
                </w:tcPr>
                <w:p w14:paraId="41F36C56">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电池测试间</w:t>
                  </w:r>
                </w:p>
              </w:tc>
            </w:tr>
            <w:tr w14:paraId="52D7883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1DAE66A7">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0BB85839">
                  <w:pPr>
                    <w:keepNext w:val="0"/>
                    <w:keepLines w:val="0"/>
                    <w:widowControl/>
                    <w:suppressLineNumbers w:val="0"/>
                    <w:jc w:val="center"/>
                    <w:textAlignment w:val="center"/>
                    <w:rPr>
                      <w:rFonts w:hint="default" w:ascii="Times New Roman" w:hAnsi="Times New Roman" w:cs="Times New Roman"/>
                      <w:color w:val="auto"/>
                      <w:kern w:val="0"/>
                      <w:sz w:val="21"/>
                      <w:szCs w:val="21"/>
                      <w:highlight w:val="yellow"/>
                      <w:lang w:val="en-US" w:eastAsia="zh-CN"/>
                    </w:rPr>
                  </w:pPr>
                  <w:r>
                    <w:rPr>
                      <w:rFonts w:hint="default" w:ascii="Times New Roman" w:hAnsi="Times New Roman" w:eastAsia="宋体" w:cs="Times New Roman"/>
                      <w:i w:val="0"/>
                      <w:iCs w:val="0"/>
                      <w:color w:val="000000"/>
                      <w:kern w:val="0"/>
                      <w:sz w:val="21"/>
                      <w:szCs w:val="21"/>
                      <w:highlight w:val="yellow"/>
                      <w:u w:val="none"/>
                      <w:lang w:val="en-US" w:eastAsia="zh-CN" w:bidi="ar"/>
                    </w:rPr>
                    <w:t>真空干燥箱</w:t>
                  </w:r>
                </w:p>
              </w:tc>
              <w:tc>
                <w:tcPr>
                  <w:tcW w:w="1906" w:type="dxa"/>
                  <w:tcBorders>
                    <w:tl2br w:val="nil"/>
                    <w:tr2bl w:val="nil"/>
                  </w:tcBorders>
                  <w:shd w:val="clear" w:color="auto" w:fill="auto"/>
                  <w:vAlign w:val="center"/>
                </w:tcPr>
                <w:p w14:paraId="1F99943E">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DZF-6050</w:t>
                  </w:r>
                </w:p>
              </w:tc>
              <w:tc>
                <w:tcPr>
                  <w:tcW w:w="827" w:type="dxa"/>
                  <w:tcBorders>
                    <w:tl2br w:val="nil"/>
                    <w:tr2bl w:val="nil"/>
                  </w:tcBorders>
                  <w:shd w:val="clear" w:color="auto" w:fill="auto"/>
                  <w:vAlign w:val="center"/>
                </w:tcPr>
                <w:p w14:paraId="04FE51D7">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1</w:t>
                  </w:r>
                </w:p>
              </w:tc>
              <w:tc>
                <w:tcPr>
                  <w:tcW w:w="1400" w:type="dxa"/>
                  <w:tcBorders>
                    <w:tl2br w:val="nil"/>
                    <w:tr2bl w:val="nil"/>
                  </w:tcBorders>
                  <w:shd w:val="clear" w:color="auto" w:fill="auto"/>
                  <w:vAlign w:val="center"/>
                </w:tcPr>
                <w:p w14:paraId="7487CBEE">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材料干燥</w:t>
                  </w:r>
                </w:p>
              </w:tc>
              <w:tc>
                <w:tcPr>
                  <w:tcW w:w="1347" w:type="dxa"/>
                  <w:tcBorders>
                    <w:tl2br w:val="nil"/>
                    <w:tr2bl w:val="nil"/>
                  </w:tcBorders>
                  <w:shd w:val="clear" w:color="auto" w:fill="auto"/>
                  <w:vAlign w:val="center"/>
                </w:tcPr>
                <w:p w14:paraId="79D962C6">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扣电制作间</w:t>
                  </w:r>
                </w:p>
              </w:tc>
            </w:tr>
            <w:tr w14:paraId="191F57F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70082BCC">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4F9C4EA5">
                  <w:pPr>
                    <w:keepNext w:val="0"/>
                    <w:keepLines w:val="0"/>
                    <w:widowControl/>
                    <w:suppressLineNumbers w:val="0"/>
                    <w:jc w:val="center"/>
                    <w:textAlignment w:val="center"/>
                    <w:rPr>
                      <w:rFonts w:hint="default" w:ascii="Times New Roman" w:hAnsi="Times New Roman" w:cs="Times New Roman"/>
                      <w:color w:val="auto"/>
                      <w:kern w:val="0"/>
                      <w:sz w:val="21"/>
                      <w:szCs w:val="21"/>
                      <w:highlight w:val="yellow"/>
                      <w:lang w:val="en-US" w:eastAsia="zh-CN"/>
                    </w:rPr>
                  </w:pPr>
                  <w:r>
                    <w:rPr>
                      <w:rFonts w:hint="default" w:ascii="Times New Roman" w:hAnsi="Times New Roman" w:eastAsia="宋体" w:cs="Times New Roman"/>
                      <w:i w:val="0"/>
                      <w:iCs w:val="0"/>
                      <w:color w:val="000000"/>
                      <w:kern w:val="0"/>
                      <w:sz w:val="21"/>
                      <w:szCs w:val="21"/>
                      <w:highlight w:val="yellow"/>
                      <w:u w:val="none"/>
                      <w:lang w:val="en-US" w:eastAsia="zh-CN" w:bidi="ar"/>
                    </w:rPr>
                    <w:t>电子天平</w:t>
                  </w:r>
                </w:p>
              </w:tc>
              <w:tc>
                <w:tcPr>
                  <w:tcW w:w="1906" w:type="dxa"/>
                  <w:tcBorders>
                    <w:tl2br w:val="nil"/>
                    <w:tr2bl w:val="nil"/>
                  </w:tcBorders>
                  <w:shd w:val="clear" w:color="auto" w:fill="auto"/>
                  <w:vAlign w:val="center"/>
                </w:tcPr>
                <w:p w14:paraId="4F8A0A4D">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BSA623S-CW</w:t>
                  </w:r>
                </w:p>
              </w:tc>
              <w:tc>
                <w:tcPr>
                  <w:tcW w:w="827" w:type="dxa"/>
                  <w:tcBorders>
                    <w:tl2br w:val="nil"/>
                    <w:tr2bl w:val="nil"/>
                  </w:tcBorders>
                  <w:shd w:val="clear" w:color="auto" w:fill="auto"/>
                  <w:vAlign w:val="center"/>
                </w:tcPr>
                <w:p w14:paraId="23F3E2A0">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1</w:t>
                  </w:r>
                </w:p>
              </w:tc>
              <w:tc>
                <w:tcPr>
                  <w:tcW w:w="1400" w:type="dxa"/>
                  <w:tcBorders>
                    <w:tl2br w:val="nil"/>
                    <w:tr2bl w:val="nil"/>
                  </w:tcBorders>
                  <w:shd w:val="clear" w:color="auto" w:fill="auto"/>
                  <w:vAlign w:val="center"/>
                </w:tcPr>
                <w:p w14:paraId="5E7A4BDA">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称量</w:t>
                  </w:r>
                </w:p>
              </w:tc>
              <w:tc>
                <w:tcPr>
                  <w:tcW w:w="1347" w:type="dxa"/>
                  <w:tcBorders>
                    <w:tl2br w:val="nil"/>
                    <w:tr2bl w:val="nil"/>
                  </w:tcBorders>
                  <w:shd w:val="clear" w:color="auto" w:fill="auto"/>
                  <w:vAlign w:val="center"/>
                </w:tcPr>
                <w:p w14:paraId="3F49514C">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扣电制作间</w:t>
                  </w:r>
                </w:p>
              </w:tc>
            </w:tr>
            <w:tr w14:paraId="1F45DF5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0B2E6D34">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7AEFE8C0">
                  <w:pPr>
                    <w:keepNext w:val="0"/>
                    <w:keepLines w:val="0"/>
                    <w:widowControl/>
                    <w:suppressLineNumbers w:val="0"/>
                    <w:jc w:val="center"/>
                    <w:textAlignment w:val="center"/>
                    <w:rPr>
                      <w:rFonts w:hint="default" w:ascii="Times New Roman" w:hAnsi="Times New Roman" w:cs="Times New Roman"/>
                      <w:color w:val="auto"/>
                      <w:kern w:val="0"/>
                      <w:sz w:val="21"/>
                      <w:szCs w:val="21"/>
                      <w:highlight w:val="yellow"/>
                      <w:lang w:val="en-US" w:eastAsia="zh-CN"/>
                    </w:rPr>
                  </w:pPr>
                  <w:r>
                    <w:rPr>
                      <w:rFonts w:hint="default" w:ascii="Times New Roman" w:hAnsi="Times New Roman" w:eastAsia="宋体" w:cs="Times New Roman"/>
                      <w:i w:val="0"/>
                      <w:iCs w:val="0"/>
                      <w:color w:val="000000"/>
                      <w:kern w:val="0"/>
                      <w:sz w:val="21"/>
                      <w:szCs w:val="21"/>
                      <w:highlight w:val="yellow"/>
                      <w:u w:val="none"/>
                      <w:lang w:val="en-US" w:eastAsia="zh-CN" w:bidi="ar"/>
                    </w:rPr>
                    <w:t>行星式真空离心混料机</w:t>
                  </w:r>
                </w:p>
              </w:tc>
              <w:tc>
                <w:tcPr>
                  <w:tcW w:w="1906" w:type="dxa"/>
                  <w:tcBorders>
                    <w:tl2br w:val="nil"/>
                    <w:tr2bl w:val="nil"/>
                  </w:tcBorders>
                  <w:shd w:val="clear" w:color="auto" w:fill="auto"/>
                  <w:vAlign w:val="center"/>
                </w:tcPr>
                <w:p w14:paraId="12208A40">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MSK-PCE-V2150</w:t>
                  </w:r>
                </w:p>
              </w:tc>
              <w:tc>
                <w:tcPr>
                  <w:tcW w:w="827" w:type="dxa"/>
                  <w:tcBorders>
                    <w:tl2br w:val="nil"/>
                    <w:tr2bl w:val="nil"/>
                  </w:tcBorders>
                  <w:shd w:val="clear" w:color="auto" w:fill="auto"/>
                  <w:vAlign w:val="center"/>
                </w:tcPr>
                <w:p w14:paraId="4BAAFE90">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1</w:t>
                  </w:r>
                </w:p>
              </w:tc>
              <w:tc>
                <w:tcPr>
                  <w:tcW w:w="1400" w:type="dxa"/>
                  <w:tcBorders>
                    <w:tl2br w:val="nil"/>
                    <w:tr2bl w:val="nil"/>
                  </w:tcBorders>
                  <w:shd w:val="clear" w:color="auto" w:fill="auto"/>
                  <w:vAlign w:val="center"/>
                </w:tcPr>
                <w:p w14:paraId="33B1666B">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材料混合</w:t>
                  </w:r>
                </w:p>
              </w:tc>
              <w:tc>
                <w:tcPr>
                  <w:tcW w:w="1347" w:type="dxa"/>
                  <w:tcBorders>
                    <w:tl2br w:val="nil"/>
                    <w:tr2bl w:val="nil"/>
                  </w:tcBorders>
                  <w:shd w:val="clear" w:color="auto" w:fill="auto"/>
                  <w:vAlign w:val="center"/>
                </w:tcPr>
                <w:p w14:paraId="748BE7FD">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扣电制作间</w:t>
                  </w:r>
                </w:p>
              </w:tc>
            </w:tr>
            <w:tr w14:paraId="42397D6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584949B2">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5839CA1E">
                  <w:pPr>
                    <w:keepNext w:val="0"/>
                    <w:keepLines w:val="0"/>
                    <w:widowControl/>
                    <w:suppressLineNumbers w:val="0"/>
                    <w:jc w:val="center"/>
                    <w:textAlignment w:val="center"/>
                    <w:rPr>
                      <w:rFonts w:hint="default" w:ascii="Times New Roman" w:hAnsi="Times New Roman" w:cs="Times New Roman"/>
                      <w:color w:val="auto"/>
                      <w:kern w:val="0"/>
                      <w:sz w:val="21"/>
                      <w:szCs w:val="21"/>
                      <w:highlight w:val="yellow"/>
                      <w:lang w:val="en-US" w:eastAsia="zh-CN"/>
                    </w:rPr>
                  </w:pPr>
                  <w:r>
                    <w:rPr>
                      <w:rFonts w:hint="default" w:ascii="Times New Roman" w:hAnsi="Times New Roman" w:eastAsia="宋体" w:cs="Times New Roman"/>
                      <w:i w:val="0"/>
                      <w:iCs w:val="0"/>
                      <w:color w:val="000000"/>
                      <w:kern w:val="0"/>
                      <w:sz w:val="21"/>
                      <w:szCs w:val="21"/>
                      <w:highlight w:val="yellow"/>
                      <w:u w:val="none"/>
                      <w:lang w:val="en-US" w:eastAsia="zh-CN" w:bidi="ar"/>
                    </w:rPr>
                    <w:t>红外烘干平板涂覆机</w:t>
                  </w:r>
                </w:p>
              </w:tc>
              <w:tc>
                <w:tcPr>
                  <w:tcW w:w="1906" w:type="dxa"/>
                  <w:tcBorders>
                    <w:tl2br w:val="nil"/>
                    <w:tr2bl w:val="nil"/>
                  </w:tcBorders>
                  <w:shd w:val="clear" w:color="auto" w:fill="auto"/>
                  <w:vAlign w:val="center"/>
                </w:tcPr>
                <w:p w14:paraId="5283D15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MSK-AFA-ES200</w:t>
                  </w:r>
                </w:p>
              </w:tc>
              <w:tc>
                <w:tcPr>
                  <w:tcW w:w="827" w:type="dxa"/>
                  <w:tcBorders>
                    <w:tl2br w:val="nil"/>
                    <w:tr2bl w:val="nil"/>
                  </w:tcBorders>
                  <w:shd w:val="clear" w:color="auto" w:fill="auto"/>
                  <w:vAlign w:val="center"/>
                </w:tcPr>
                <w:p w14:paraId="038502ED">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1</w:t>
                  </w:r>
                </w:p>
              </w:tc>
              <w:tc>
                <w:tcPr>
                  <w:tcW w:w="1400" w:type="dxa"/>
                  <w:tcBorders>
                    <w:tl2br w:val="nil"/>
                    <w:tr2bl w:val="nil"/>
                  </w:tcBorders>
                  <w:shd w:val="clear" w:color="auto" w:fill="auto"/>
                  <w:vAlign w:val="center"/>
                </w:tcPr>
                <w:p w14:paraId="6B767CBC">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材料涂覆</w:t>
                  </w:r>
                </w:p>
              </w:tc>
              <w:tc>
                <w:tcPr>
                  <w:tcW w:w="1347" w:type="dxa"/>
                  <w:tcBorders>
                    <w:tl2br w:val="nil"/>
                    <w:tr2bl w:val="nil"/>
                  </w:tcBorders>
                  <w:shd w:val="clear" w:color="auto" w:fill="auto"/>
                  <w:vAlign w:val="center"/>
                </w:tcPr>
                <w:p w14:paraId="2D57EEB3">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扣电制作间</w:t>
                  </w:r>
                </w:p>
              </w:tc>
            </w:tr>
            <w:tr w14:paraId="39F9B90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2B43F3D9">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7FAC1E49">
                  <w:pPr>
                    <w:keepNext w:val="0"/>
                    <w:keepLines w:val="0"/>
                    <w:widowControl/>
                    <w:suppressLineNumbers w:val="0"/>
                    <w:jc w:val="center"/>
                    <w:textAlignment w:val="center"/>
                    <w:rPr>
                      <w:rFonts w:hint="default" w:ascii="Times New Roman" w:hAnsi="Times New Roman" w:cs="Times New Roman"/>
                      <w:color w:val="auto"/>
                      <w:kern w:val="0"/>
                      <w:sz w:val="21"/>
                      <w:szCs w:val="21"/>
                      <w:highlight w:val="yellow"/>
                      <w:lang w:val="en-US" w:eastAsia="zh-CN"/>
                    </w:rPr>
                  </w:pPr>
                  <w:r>
                    <w:rPr>
                      <w:rFonts w:hint="default" w:ascii="Times New Roman" w:hAnsi="Times New Roman" w:eastAsia="宋体" w:cs="Times New Roman"/>
                      <w:i w:val="0"/>
                      <w:iCs w:val="0"/>
                      <w:color w:val="000000"/>
                      <w:kern w:val="0"/>
                      <w:sz w:val="21"/>
                      <w:szCs w:val="21"/>
                      <w:highlight w:val="yellow"/>
                      <w:u w:val="none"/>
                      <w:lang w:val="en-US" w:eastAsia="zh-CN" w:bidi="ar"/>
                    </w:rPr>
                    <w:t>电动对辊机</w:t>
                  </w:r>
                </w:p>
              </w:tc>
              <w:tc>
                <w:tcPr>
                  <w:tcW w:w="1906" w:type="dxa"/>
                  <w:tcBorders>
                    <w:tl2br w:val="nil"/>
                    <w:tr2bl w:val="nil"/>
                  </w:tcBorders>
                  <w:shd w:val="clear" w:color="auto" w:fill="auto"/>
                  <w:vAlign w:val="center"/>
                </w:tcPr>
                <w:p w14:paraId="29686311">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MSK-2150/220V</w:t>
                  </w:r>
                </w:p>
              </w:tc>
              <w:tc>
                <w:tcPr>
                  <w:tcW w:w="827" w:type="dxa"/>
                  <w:tcBorders>
                    <w:tl2br w:val="nil"/>
                    <w:tr2bl w:val="nil"/>
                  </w:tcBorders>
                  <w:shd w:val="clear" w:color="auto" w:fill="auto"/>
                  <w:vAlign w:val="center"/>
                </w:tcPr>
                <w:p w14:paraId="4990D8FF">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1</w:t>
                  </w:r>
                </w:p>
              </w:tc>
              <w:tc>
                <w:tcPr>
                  <w:tcW w:w="1400" w:type="dxa"/>
                  <w:tcBorders>
                    <w:tl2br w:val="nil"/>
                    <w:tr2bl w:val="nil"/>
                  </w:tcBorders>
                  <w:shd w:val="clear" w:color="auto" w:fill="auto"/>
                  <w:vAlign w:val="center"/>
                </w:tcPr>
                <w:p w14:paraId="1AEF6F55">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电极辊压</w:t>
                  </w:r>
                </w:p>
              </w:tc>
              <w:tc>
                <w:tcPr>
                  <w:tcW w:w="1347" w:type="dxa"/>
                  <w:tcBorders>
                    <w:tl2br w:val="nil"/>
                    <w:tr2bl w:val="nil"/>
                  </w:tcBorders>
                  <w:shd w:val="clear" w:color="auto" w:fill="auto"/>
                  <w:vAlign w:val="center"/>
                </w:tcPr>
                <w:p w14:paraId="1668E514">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扣电制作间</w:t>
                  </w:r>
                </w:p>
              </w:tc>
            </w:tr>
            <w:tr w14:paraId="60E4FC8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2259F504">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531D7C8D">
                  <w:pPr>
                    <w:keepNext w:val="0"/>
                    <w:keepLines w:val="0"/>
                    <w:widowControl/>
                    <w:suppressLineNumbers w:val="0"/>
                    <w:jc w:val="center"/>
                    <w:textAlignment w:val="center"/>
                    <w:rPr>
                      <w:rFonts w:hint="default" w:ascii="Times New Roman" w:hAnsi="Times New Roman" w:cs="Times New Roman"/>
                      <w:color w:val="auto"/>
                      <w:kern w:val="0"/>
                      <w:sz w:val="21"/>
                      <w:szCs w:val="21"/>
                      <w:highlight w:val="yellow"/>
                      <w:lang w:val="en-US" w:eastAsia="zh-CN"/>
                    </w:rPr>
                  </w:pPr>
                  <w:r>
                    <w:rPr>
                      <w:rFonts w:hint="default" w:ascii="Times New Roman" w:hAnsi="Times New Roman" w:eastAsia="宋体" w:cs="Times New Roman"/>
                      <w:i w:val="0"/>
                      <w:iCs w:val="0"/>
                      <w:color w:val="000000"/>
                      <w:kern w:val="0"/>
                      <w:sz w:val="21"/>
                      <w:szCs w:val="21"/>
                      <w:highlight w:val="yellow"/>
                      <w:u w:val="none"/>
                      <w:lang w:val="en-US" w:eastAsia="zh-CN" w:bidi="ar"/>
                    </w:rPr>
                    <w:t>手动切片机</w:t>
                  </w:r>
                </w:p>
              </w:tc>
              <w:tc>
                <w:tcPr>
                  <w:tcW w:w="1906" w:type="dxa"/>
                  <w:tcBorders>
                    <w:tl2br w:val="nil"/>
                    <w:tr2bl w:val="nil"/>
                  </w:tcBorders>
                  <w:shd w:val="clear" w:color="auto" w:fill="auto"/>
                  <w:vAlign w:val="center"/>
                </w:tcPr>
                <w:p w14:paraId="1C5D2316">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MSK-T10/含Ф14mm/含Ф16mm</w:t>
                  </w:r>
                </w:p>
              </w:tc>
              <w:tc>
                <w:tcPr>
                  <w:tcW w:w="827" w:type="dxa"/>
                  <w:tcBorders>
                    <w:tl2br w:val="nil"/>
                    <w:tr2bl w:val="nil"/>
                  </w:tcBorders>
                  <w:shd w:val="clear" w:color="auto" w:fill="auto"/>
                  <w:vAlign w:val="center"/>
                </w:tcPr>
                <w:p w14:paraId="59C2AB03">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2</w:t>
                  </w:r>
                </w:p>
              </w:tc>
              <w:tc>
                <w:tcPr>
                  <w:tcW w:w="1400" w:type="dxa"/>
                  <w:tcBorders>
                    <w:tl2br w:val="nil"/>
                    <w:tr2bl w:val="nil"/>
                  </w:tcBorders>
                  <w:shd w:val="clear" w:color="auto" w:fill="auto"/>
                  <w:vAlign w:val="center"/>
                </w:tcPr>
                <w:p w14:paraId="09BDD217">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电极切片</w:t>
                  </w:r>
                </w:p>
              </w:tc>
              <w:tc>
                <w:tcPr>
                  <w:tcW w:w="1347" w:type="dxa"/>
                  <w:tcBorders>
                    <w:tl2br w:val="nil"/>
                    <w:tr2bl w:val="nil"/>
                  </w:tcBorders>
                  <w:shd w:val="clear" w:color="auto" w:fill="auto"/>
                  <w:vAlign w:val="center"/>
                </w:tcPr>
                <w:p w14:paraId="6733480A">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扣电制作间</w:t>
                  </w:r>
                </w:p>
              </w:tc>
            </w:tr>
            <w:tr w14:paraId="71B093A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08EA51EA">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0DDC9098">
                  <w:pPr>
                    <w:keepNext w:val="0"/>
                    <w:keepLines w:val="0"/>
                    <w:widowControl/>
                    <w:suppressLineNumbers w:val="0"/>
                    <w:jc w:val="center"/>
                    <w:textAlignment w:val="center"/>
                    <w:rPr>
                      <w:rFonts w:hint="default" w:ascii="Times New Roman" w:hAnsi="Times New Roman" w:cs="Times New Roman"/>
                      <w:color w:val="auto"/>
                      <w:kern w:val="0"/>
                      <w:sz w:val="21"/>
                      <w:szCs w:val="21"/>
                      <w:highlight w:val="yellow"/>
                      <w:lang w:val="en-US" w:eastAsia="zh-CN"/>
                    </w:rPr>
                  </w:pPr>
                  <w:r>
                    <w:rPr>
                      <w:rFonts w:hint="default" w:ascii="Times New Roman" w:hAnsi="Times New Roman" w:eastAsia="宋体" w:cs="Times New Roman"/>
                      <w:i w:val="0"/>
                      <w:iCs w:val="0"/>
                      <w:color w:val="000000"/>
                      <w:kern w:val="0"/>
                      <w:sz w:val="21"/>
                      <w:szCs w:val="21"/>
                      <w:highlight w:val="yellow"/>
                      <w:u w:val="none"/>
                      <w:lang w:val="en-US" w:eastAsia="zh-CN" w:bidi="ar"/>
                    </w:rPr>
                    <w:t>小型液压封口机</w:t>
                  </w:r>
                </w:p>
              </w:tc>
              <w:tc>
                <w:tcPr>
                  <w:tcW w:w="1906" w:type="dxa"/>
                  <w:tcBorders>
                    <w:tl2br w:val="nil"/>
                    <w:tr2bl w:val="nil"/>
                  </w:tcBorders>
                  <w:shd w:val="clear" w:color="auto" w:fill="auto"/>
                  <w:vAlign w:val="center"/>
                </w:tcPr>
                <w:p w14:paraId="3242A9F7">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MSK-110/含模具</w:t>
                  </w:r>
                </w:p>
              </w:tc>
              <w:tc>
                <w:tcPr>
                  <w:tcW w:w="827" w:type="dxa"/>
                  <w:tcBorders>
                    <w:tl2br w:val="nil"/>
                    <w:tr2bl w:val="nil"/>
                  </w:tcBorders>
                  <w:shd w:val="clear" w:color="auto" w:fill="auto"/>
                  <w:vAlign w:val="center"/>
                </w:tcPr>
                <w:p w14:paraId="191AC0CF">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1</w:t>
                  </w:r>
                </w:p>
              </w:tc>
              <w:tc>
                <w:tcPr>
                  <w:tcW w:w="1400" w:type="dxa"/>
                  <w:tcBorders>
                    <w:tl2br w:val="nil"/>
                    <w:tr2bl w:val="nil"/>
                  </w:tcBorders>
                  <w:shd w:val="clear" w:color="auto" w:fill="auto"/>
                  <w:vAlign w:val="center"/>
                </w:tcPr>
                <w:p w14:paraId="1789E1E4">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扣</w:t>
                  </w:r>
                  <w:r>
                    <w:rPr>
                      <w:rFonts w:hint="default" w:ascii="Times New Roman" w:hAnsi="Times New Roman" w:eastAsia="宋体" w:cs="Times New Roman"/>
                      <w:i w:val="0"/>
                      <w:iCs w:val="0"/>
                      <w:color w:val="000000"/>
                      <w:kern w:val="0"/>
                      <w:sz w:val="21"/>
                      <w:szCs w:val="21"/>
                      <w:highlight w:val="yellow"/>
                      <w:u w:val="none"/>
                      <w:lang w:val="en-US" w:eastAsia="zh-CN" w:bidi="ar"/>
                    </w:rPr>
                    <w:t>式</w:t>
                  </w:r>
                  <w:r>
                    <w:rPr>
                      <w:rFonts w:hint="default" w:ascii="Times New Roman" w:hAnsi="Times New Roman" w:cs="Times New Roman"/>
                      <w:color w:val="auto"/>
                      <w:spacing w:val="-1"/>
                      <w:sz w:val="21"/>
                      <w:szCs w:val="21"/>
                      <w:highlight w:val="yellow"/>
                      <w:lang w:val="en-US" w:eastAsia="zh-CN"/>
                    </w:rPr>
                    <w:t>电池封口</w:t>
                  </w:r>
                </w:p>
              </w:tc>
              <w:tc>
                <w:tcPr>
                  <w:tcW w:w="1347" w:type="dxa"/>
                  <w:tcBorders>
                    <w:tl2br w:val="nil"/>
                    <w:tr2bl w:val="nil"/>
                  </w:tcBorders>
                  <w:shd w:val="clear" w:color="auto" w:fill="auto"/>
                  <w:vAlign w:val="center"/>
                </w:tcPr>
                <w:p w14:paraId="6BB7A24F">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扣电制作间</w:t>
                  </w:r>
                </w:p>
              </w:tc>
            </w:tr>
            <w:tr w14:paraId="3444C1C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09FAEAF3">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59EF8069">
                  <w:pPr>
                    <w:keepNext w:val="0"/>
                    <w:keepLines w:val="0"/>
                    <w:widowControl/>
                    <w:suppressLineNumbers w:val="0"/>
                    <w:jc w:val="center"/>
                    <w:textAlignment w:val="center"/>
                    <w:rPr>
                      <w:rFonts w:hint="default" w:ascii="Times New Roman" w:hAnsi="Times New Roman" w:cs="Times New Roman"/>
                      <w:color w:val="auto"/>
                      <w:kern w:val="0"/>
                      <w:sz w:val="21"/>
                      <w:szCs w:val="21"/>
                      <w:highlight w:val="yellow"/>
                      <w:lang w:val="en-US" w:eastAsia="zh-CN"/>
                    </w:rPr>
                  </w:pPr>
                  <w:r>
                    <w:rPr>
                      <w:rFonts w:hint="default" w:ascii="Times New Roman" w:hAnsi="Times New Roman" w:eastAsia="宋体" w:cs="Times New Roman"/>
                      <w:i w:val="0"/>
                      <w:iCs w:val="0"/>
                      <w:color w:val="000000"/>
                      <w:kern w:val="0"/>
                      <w:sz w:val="21"/>
                      <w:szCs w:val="21"/>
                      <w:highlight w:val="yellow"/>
                      <w:u w:val="none"/>
                      <w:lang w:val="en-US" w:eastAsia="zh-CN" w:bidi="ar"/>
                    </w:rPr>
                    <w:t>压力可控电动扣式电池封口机</w:t>
                  </w:r>
                </w:p>
              </w:tc>
              <w:tc>
                <w:tcPr>
                  <w:tcW w:w="1906" w:type="dxa"/>
                  <w:tcBorders>
                    <w:tl2br w:val="nil"/>
                    <w:tr2bl w:val="nil"/>
                  </w:tcBorders>
                  <w:shd w:val="clear" w:color="auto" w:fill="auto"/>
                  <w:vAlign w:val="center"/>
                </w:tcPr>
                <w:p w14:paraId="64E7BB6E">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MSK-E110</w:t>
                  </w:r>
                </w:p>
              </w:tc>
              <w:tc>
                <w:tcPr>
                  <w:tcW w:w="827" w:type="dxa"/>
                  <w:tcBorders>
                    <w:tl2br w:val="nil"/>
                    <w:tr2bl w:val="nil"/>
                  </w:tcBorders>
                  <w:shd w:val="clear" w:color="auto" w:fill="auto"/>
                  <w:vAlign w:val="center"/>
                </w:tcPr>
                <w:p w14:paraId="51859011">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1</w:t>
                  </w:r>
                </w:p>
              </w:tc>
              <w:tc>
                <w:tcPr>
                  <w:tcW w:w="1400" w:type="dxa"/>
                  <w:tcBorders>
                    <w:tl2br w:val="nil"/>
                    <w:tr2bl w:val="nil"/>
                  </w:tcBorders>
                  <w:shd w:val="clear" w:color="auto" w:fill="auto"/>
                  <w:vAlign w:val="center"/>
                </w:tcPr>
                <w:p w14:paraId="0EA19FBA">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扣</w:t>
                  </w:r>
                  <w:r>
                    <w:rPr>
                      <w:rFonts w:hint="default" w:ascii="Times New Roman" w:hAnsi="Times New Roman" w:eastAsia="宋体" w:cs="Times New Roman"/>
                      <w:i w:val="0"/>
                      <w:iCs w:val="0"/>
                      <w:color w:val="000000"/>
                      <w:kern w:val="0"/>
                      <w:sz w:val="21"/>
                      <w:szCs w:val="21"/>
                      <w:highlight w:val="yellow"/>
                      <w:u w:val="none"/>
                      <w:lang w:val="en-US" w:eastAsia="zh-CN" w:bidi="ar"/>
                    </w:rPr>
                    <w:t>式</w:t>
                  </w:r>
                  <w:r>
                    <w:rPr>
                      <w:rFonts w:hint="default" w:ascii="Times New Roman" w:hAnsi="Times New Roman" w:cs="Times New Roman"/>
                      <w:color w:val="auto"/>
                      <w:spacing w:val="-1"/>
                      <w:sz w:val="21"/>
                      <w:szCs w:val="21"/>
                      <w:highlight w:val="yellow"/>
                      <w:lang w:val="en-US" w:eastAsia="zh-CN"/>
                    </w:rPr>
                    <w:t>电池封口</w:t>
                  </w:r>
                </w:p>
              </w:tc>
              <w:tc>
                <w:tcPr>
                  <w:tcW w:w="1347" w:type="dxa"/>
                  <w:tcBorders>
                    <w:tl2br w:val="nil"/>
                    <w:tr2bl w:val="nil"/>
                  </w:tcBorders>
                  <w:shd w:val="clear" w:color="auto" w:fill="auto"/>
                  <w:vAlign w:val="center"/>
                </w:tcPr>
                <w:p w14:paraId="0098D0F8">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扣电制作间</w:t>
                  </w:r>
                </w:p>
              </w:tc>
            </w:tr>
            <w:tr w14:paraId="132065D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0" w:type="dxa"/>
                  <w:tcBorders>
                    <w:tl2br w:val="nil"/>
                    <w:tr2bl w:val="nil"/>
                  </w:tcBorders>
                  <w:vAlign w:val="center"/>
                </w:tcPr>
                <w:p w14:paraId="346FF9F5">
                  <w:pPr>
                    <w:numPr>
                      <w:ilvl w:val="0"/>
                      <w:numId w:val="8"/>
                    </w:numPr>
                    <w:spacing w:line="240" w:lineRule="auto"/>
                    <w:ind w:left="425" w:leftChars="0" w:hanging="425" w:firstLineChars="0"/>
                    <w:jc w:val="center"/>
                    <w:rPr>
                      <w:rFonts w:hint="default" w:ascii="Times New Roman" w:hAnsi="Times New Roman" w:eastAsia="宋体" w:cs="Times New Roman"/>
                      <w:b w:val="0"/>
                      <w:bCs w:val="0"/>
                      <w:color w:val="auto"/>
                      <w:sz w:val="21"/>
                      <w:szCs w:val="21"/>
                      <w:highlight w:val="yellow"/>
                      <w:vertAlign w:val="baseline"/>
                    </w:rPr>
                  </w:pPr>
                </w:p>
              </w:tc>
              <w:tc>
                <w:tcPr>
                  <w:tcW w:w="1857" w:type="dxa"/>
                  <w:tcBorders>
                    <w:tl2br w:val="nil"/>
                    <w:tr2bl w:val="nil"/>
                  </w:tcBorders>
                  <w:shd w:val="clear" w:color="auto" w:fill="auto"/>
                  <w:vAlign w:val="center"/>
                </w:tcPr>
                <w:p w14:paraId="7CFD1E7D">
                  <w:pPr>
                    <w:keepNext w:val="0"/>
                    <w:keepLines w:val="0"/>
                    <w:widowControl/>
                    <w:suppressLineNumbers w:val="0"/>
                    <w:jc w:val="center"/>
                    <w:textAlignment w:val="center"/>
                    <w:rPr>
                      <w:rFonts w:hint="default" w:ascii="Times New Roman" w:hAnsi="Times New Roman" w:cs="Times New Roman"/>
                      <w:color w:val="auto"/>
                      <w:kern w:val="0"/>
                      <w:sz w:val="21"/>
                      <w:szCs w:val="21"/>
                      <w:highlight w:val="yellow"/>
                      <w:lang w:val="en-US" w:eastAsia="zh-CN"/>
                    </w:rPr>
                  </w:pPr>
                  <w:r>
                    <w:rPr>
                      <w:rFonts w:hint="default" w:ascii="Times New Roman" w:hAnsi="Times New Roman" w:eastAsia="宋体" w:cs="Times New Roman"/>
                      <w:i w:val="0"/>
                      <w:iCs w:val="0"/>
                      <w:color w:val="000000"/>
                      <w:kern w:val="0"/>
                      <w:sz w:val="21"/>
                      <w:szCs w:val="21"/>
                      <w:highlight w:val="yellow"/>
                      <w:u w:val="none"/>
                      <w:lang w:val="en-US" w:eastAsia="zh-CN" w:bidi="ar"/>
                    </w:rPr>
                    <w:t>双节单面双工位手套箱</w:t>
                  </w:r>
                </w:p>
              </w:tc>
              <w:tc>
                <w:tcPr>
                  <w:tcW w:w="1906" w:type="dxa"/>
                  <w:tcBorders>
                    <w:tl2br w:val="nil"/>
                    <w:tr2bl w:val="nil"/>
                  </w:tcBorders>
                  <w:shd w:val="clear" w:color="auto" w:fill="auto"/>
                  <w:vAlign w:val="center"/>
                </w:tcPr>
                <w:p w14:paraId="2CFD1E39">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yellow"/>
                      <w:lang w:val="en-US" w:eastAsia="zh-CN" w:bidi="ar-SA"/>
                    </w:rPr>
                  </w:pPr>
                  <w:r>
                    <w:rPr>
                      <w:rFonts w:hint="default" w:ascii="Times New Roman" w:hAnsi="Times New Roman" w:eastAsia="宋体" w:cs="Times New Roman"/>
                      <w:i w:val="0"/>
                      <w:iCs w:val="0"/>
                      <w:color w:val="000000"/>
                      <w:kern w:val="0"/>
                      <w:sz w:val="21"/>
                      <w:szCs w:val="21"/>
                      <w:highlight w:val="yellow"/>
                      <w:u w:val="none"/>
                      <w:lang w:val="en-US" w:eastAsia="zh-CN" w:bidi="ar"/>
                    </w:rPr>
                    <w:t>VGB-10-II</w:t>
                  </w:r>
                </w:p>
              </w:tc>
              <w:tc>
                <w:tcPr>
                  <w:tcW w:w="827" w:type="dxa"/>
                  <w:tcBorders>
                    <w:tl2br w:val="nil"/>
                    <w:tr2bl w:val="nil"/>
                  </w:tcBorders>
                  <w:shd w:val="clear" w:color="auto" w:fill="auto"/>
                  <w:vAlign w:val="center"/>
                </w:tcPr>
                <w:p w14:paraId="3CBBC8BF">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1</w:t>
                  </w:r>
                </w:p>
              </w:tc>
              <w:tc>
                <w:tcPr>
                  <w:tcW w:w="1400" w:type="dxa"/>
                  <w:tcBorders>
                    <w:tl2br w:val="nil"/>
                    <w:tr2bl w:val="nil"/>
                  </w:tcBorders>
                  <w:shd w:val="clear" w:color="auto" w:fill="auto"/>
                  <w:vAlign w:val="center"/>
                </w:tcPr>
                <w:p w14:paraId="42374BC2">
                  <w:pPr>
                    <w:jc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扣</w:t>
                  </w:r>
                  <w:r>
                    <w:rPr>
                      <w:rFonts w:hint="default" w:ascii="Times New Roman" w:hAnsi="Times New Roman" w:eastAsia="宋体" w:cs="Times New Roman"/>
                      <w:i w:val="0"/>
                      <w:iCs w:val="0"/>
                      <w:color w:val="000000"/>
                      <w:kern w:val="0"/>
                      <w:sz w:val="21"/>
                      <w:szCs w:val="21"/>
                      <w:highlight w:val="yellow"/>
                      <w:u w:val="none"/>
                      <w:lang w:val="en-US" w:eastAsia="zh-CN" w:bidi="ar"/>
                    </w:rPr>
                    <w:t>式</w:t>
                  </w:r>
                  <w:r>
                    <w:rPr>
                      <w:rFonts w:hint="default" w:ascii="Times New Roman" w:hAnsi="Times New Roman" w:cs="Times New Roman"/>
                      <w:color w:val="auto"/>
                      <w:spacing w:val="-1"/>
                      <w:sz w:val="21"/>
                      <w:szCs w:val="21"/>
                      <w:highlight w:val="yellow"/>
                      <w:lang w:val="en-US" w:eastAsia="zh-CN"/>
                    </w:rPr>
                    <w:t>电池组装</w:t>
                  </w:r>
                </w:p>
              </w:tc>
              <w:tc>
                <w:tcPr>
                  <w:tcW w:w="1347" w:type="dxa"/>
                  <w:tcBorders>
                    <w:tl2br w:val="nil"/>
                    <w:tr2bl w:val="nil"/>
                  </w:tcBorders>
                  <w:shd w:val="clear" w:color="auto" w:fill="auto"/>
                  <w:vAlign w:val="center"/>
                </w:tcPr>
                <w:p w14:paraId="189E789B">
                  <w:pPr>
                    <w:keepNext w:val="0"/>
                    <w:keepLines w:val="0"/>
                    <w:widowControl/>
                    <w:suppressLineNumbers w:val="0"/>
                    <w:jc w:val="center"/>
                    <w:textAlignment w:val="center"/>
                    <w:rPr>
                      <w:rFonts w:hint="default" w:ascii="Times New Roman" w:hAnsi="Times New Roman" w:cs="Times New Roman"/>
                      <w:color w:val="auto"/>
                      <w:spacing w:val="-1"/>
                      <w:sz w:val="21"/>
                      <w:szCs w:val="21"/>
                      <w:highlight w:val="yellow"/>
                      <w:lang w:val="en-US" w:eastAsia="zh-CN"/>
                    </w:rPr>
                  </w:pPr>
                  <w:r>
                    <w:rPr>
                      <w:rFonts w:hint="default" w:ascii="Times New Roman" w:hAnsi="Times New Roman" w:cs="Times New Roman"/>
                      <w:color w:val="auto"/>
                      <w:spacing w:val="-1"/>
                      <w:sz w:val="21"/>
                      <w:szCs w:val="21"/>
                      <w:highlight w:val="yellow"/>
                      <w:lang w:val="en-US" w:eastAsia="zh-CN"/>
                    </w:rPr>
                    <w:t>扣电制作间</w:t>
                  </w:r>
                </w:p>
              </w:tc>
            </w:tr>
          </w:tbl>
          <w:p w14:paraId="3B8C984B">
            <w:pPr>
              <w:numPr>
                <w:ilvl w:val="0"/>
                <w:numId w:val="6"/>
              </w:numPr>
              <w:tabs>
                <w:tab w:val="left" w:pos="0"/>
              </w:tabs>
              <w:adjustRightInd w:val="0"/>
              <w:snapToGrid w:val="0"/>
              <w:spacing w:line="360" w:lineRule="auto"/>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主要原辅材料</w:t>
            </w:r>
          </w:p>
          <w:p w14:paraId="1BBB4113">
            <w:pPr>
              <w:adjustRightInd w:val="0"/>
              <w:snapToGrid w:val="0"/>
              <w:spacing w:line="360" w:lineRule="auto"/>
              <w:ind w:firstLine="480" w:firstLineChars="200"/>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4"/>
                <w:highlight w:val="none"/>
              </w:rPr>
              <w:t>项目主要原辅材料见下表。</w:t>
            </w:r>
          </w:p>
          <w:p w14:paraId="79BC48D8">
            <w:pPr>
              <w:numPr>
                <w:ilvl w:val="0"/>
                <w:numId w:val="7"/>
              </w:numPr>
              <w:adjustRightInd w:val="0"/>
              <w:snapToGrid w:val="0"/>
              <w:spacing w:line="360" w:lineRule="auto"/>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项目原辅材料使用一览表</w:t>
            </w:r>
          </w:p>
          <w:tbl>
            <w:tblPr>
              <w:tblStyle w:val="24"/>
              <w:tblW w:w="4899" w:type="pct"/>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7"/>
              <w:gridCol w:w="1323"/>
              <w:gridCol w:w="1387"/>
              <w:gridCol w:w="1444"/>
              <w:gridCol w:w="1486"/>
              <w:gridCol w:w="1486"/>
            </w:tblGrid>
            <w:tr w14:paraId="1A6C9B6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734" w:type="dxa"/>
                  <w:tcBorders>
                    <w:tl2br w:val="nil"/>
                    <w:tr2bl w:val="nil"/>
                  </w:tcBorders>
                  <w:vAlign w:val="center"/>
                </w:tcPr>
                <w:p w14:paraId="1BC0E5C5">
                  <w:pPr>
                    <w:jc w:val="center"/>
                    <w:rPr>
                      <w:b/>
                      <w:bCs/>
                      <w:szCs w:val="21"/>
                      <w:highlight w:val="yellow"/>
                    </w:rPr>
                  </w:pPr>
                  <w:r>
                    <w:rPr>
                      <w:rFonts w:hint="eastAsia"/>
                      <w:b/>
                      <w:bCs/>
                      <w:szCs w:val="21"/>
                      <w:highlight w:val="yellow"/>
                    </w:rPr>
                    <w:t>序号</w:t>
                  </w:r>
                </w:p>
              </w:tc>
              <w:tc>
                <w:tcPr>
                  <w:tcW w:w="1414" w:type="dxa"/>
                  <w:tcBorders>
                    <w:tl2br w:val="nil"/>
                    <w:tr2bl w:val="nil"/>
                  </w:tcBorders>
                  <w:vAlign w:val="center"/>
                </w:tcPr>
                <w:p w14:paraId="2F22033C">
                  <w:pPr>
                    <w:jc w:val="center"/>
                    <w:rPr>
                      <w:b/>
                      <w:bCs/>
                      <w:szCs w:val="21"/>
                      <w:highlight w:val="yellow"/>
                    </w:rPr>
                  </w:pPr>
                  <w:r>
                    <w:rPr>
                      <w:rFonts w:hint="eastAsia"/>
                      <w:b/>
                      <w:bCs/>
                      <w:szCs w:val="21"/>
                      <w:highlight w:val="yellow"/>
                    </w:rPr>
                    <w:t>名称</w:t>
                  </w:r>
                </w:p>
              </w:tc>
              <w:tc>
                <w:tcPr>
                  <w:tcW w:w="1483" w:type="dxa"/>
                  <w:tcBorders>
                    <w:tl2br w:val="nil"/>
                    <w:tr2bl w:val="nil"/>
                  </w:tcBorders>
                  <w:vAlign w:val="center"/>
                </w:tcPr>
                <w:p w14:paraId="674F9819">
                  <w:pPr>
                    <w:jc w:val="center"/>
                    <w:rPr>
                      <w:b/>
                      <w:bCs/>
                      <w:szCs w:val="21"/>
                      <w:highlight w:val="yellow"/>
                    </w:rPr>
                  </w:pPr>
                  <w:r>
                    <w:rPr>
                      <w:rFonts w:hint="eastAsia"/>
                      <w:b/>
                      <w:bCs/>
                      <w:szCs w:val="21"/>
                      <w:highlight w:val="yellow"/>
                    </w:rPr>
                    <w:t>规格</w:t>
                  </w:r>
                </w:p>
              </w:tc>
              <w:tc>
                <w:tcPr>
                  <w:tcW w:w="1543" w:type="dxa"/>
                  <w:tcBorders>
                    <w:tl2br w:val="nil"/>
                    <w:tr2bl w:val="nil"/>
                  </w:tcBorders>
                  <w:shd w:val="clear" w:color="auto" w:fill="auto"/>
                  <w:vAlign w:val="center"/>
                </w:tcPr>
                <w:p w14:paraId="46B8CC3C">
                  <w:pPr>
                    <w:jc w:val="center"/>
                    <w:rPr>
                      <w:b/>
                      <w:bCs/>
                      <w:szCs w:val="21"/>
                      <w:highlight w:val="yellow"/>
                    </w:rPr>
                  </w:pPr>
                  <w:r>
                    <w:rPr>
                      <w:rFonts w:hint="eastAsia"/>
                      <w:b/>
                      <w:bCs/>
                      <w:szCs w:val="21"/>
                      <w:highlight w:val="yellow"/>
                    </w:rPr>
                    <w:t>年使用量</w:t>
                  </w:r>
                </w:p>
              </w:tc>
              <w:tc>
                <w:tcPr>
                  <w:tcW w:w="1588" w:type="dxa"/>
                  <w:tcBorders>
                    <w:tl2br w:val="nil"/>
                    <w:tr2bl w:val="nil"/>
                  </w:tcBorders>
                  <w:vAlign w:val="center"/>
                </w:tcPr>
                <w:p w14:paraId="14E02533">
                  <w:pPr>
                    <w:jc w:val="center"/>
                    <w:rPr>
                      <w:b/>
                      <w:bCs/>
                      <w:szCs w:val="21"/>
                      <w:highlight w:val="yellow"/>
                    </w:rPr>
                  </w:pPr>
                  <w:r>
                    <w:rPr>
                      <w:rFonts w:hint="eastAsia"/>
                      <w:b/>
                      <w:bCs/>
                      <w:szCs w:val="21"/>
                      <w:highlight w:val="yellow"/>
                    </w:rPr>
                    <w:t>最大贮存量</w:t>
                  </w:r>
                </w:p>
              </w:tc>
              <w:tc>
                <w:tcPr>
                  <w:tcW w:w="1588" w:type="dxa"/>
                  <w:tcBorders>
                    <w:tl2br w:val="nil"/>
                    <w:tr2bl w:val="nil"/>
                  </w:tcBorders>
                  <w:vAlign w:val="center"/>
                </w:tcPr>
                <w:p w14:paraId="5E35FB62">
                  <w:pPr>
                    <w:jc w:val="center"/>
                    <w:rPr>
                      <w:b/>
                      <w:bCs/>
                      <w:szCs w:val="21"/>
                      <w:highlight w:val="yellow"/>
                    </w:rPr>
                  </w:pPr>
                  <w:r>
                    <w:rPr>
                      <w:rFonts w:hint="eastAsia"/>
                      <w:b/>
                      <w:bCs/>
                      <w:szCs w:val="21"/>
                      <w:highlight w:val="yellow"/>
                    </w:rPr>
                    <w:t>贮存位置</w:t>
                  </w:r>
                </w:p>
              </w:tc>
            </w:tr>
            <w:tr w14:paraId="6CDC4A0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34" w:type="dxa"/>
                  <w:tcBorders>
                    <w:tl2br w:val="nil"/>
                    <w:tr2bl w:val="nil"/>
                  </w:tcBorders>
                  <w:vAlign w:val="center"/>
                </w:tcPr>
                <w:p w14:paraId="7080EAFF">
                  <w:pPr>
                    <w:numPr>
                      <w:ilvl w:val="0"/>
                      <w:numId w:val="9"/>
                    </w:numPr>
                    <w:rPr>
                      <w:szCs w:val="21"/>
                      <w:highlight w:val="yellow"/>
                    </w:rPr>
                  </w:pPr>
                </w:p>
              </w:tc>
              <w:tc>
                <w:tcPr>
                  <w:tcW w:w="1414" w:type="dxa"/>
                  <w:tcBorders>
                    <w:tl2br w:val="nil"/>
                    <w:tr2bl w:val="nil"/>
                  </w:tcBorders>
                  <w:shd w:val="clear" w:color="auto" w:fill="auto"/>
                  <w:vAlign w:val="center"/>
                </w:tcPr>
                <w:p w14:paraId="27BA6F00">
                  <w:pPr>
                    <w:jc w:val="center"/>
                    <w:rPr>
                      <w:highlight w:val="yellow"/>
                    </w:rPr>
                  </w:pPr>
                  <w:r>
                    <w:rPr>
                      <w:rFonts w:hint="eastAsia"/>
                      <w:highlight w:val="yellow"/>
                    </w:rPr>
                    <w:t>磷酸铁锂</w:t>
                  </w:r>
                </w:p>
              </w:tc>
              <w:tc>
                <w:tcPr>
                  <w:tcW w:w="1483" w:type="dxa"/>
                  <w:tcBorders>
                    <w:tl2br w:val="nil"/>
                    <w:tr2bl w:val="nil"/>
                  </w:tcBorders>
                  <w:shd w:val="clear" w:color="auto" w:fill="auto"/>
                  <w:vAlign w:val="center"/>
                </w:tcPr>
                <w:p w14:paraId="5A6582E2">
                  <w:pPr>
                    <w:jc w:val="center"/>
                    <w:rPr>
                      <w:highlight w:val="yellow"/>
                    </w:rPr>
                  </w:pPr>
                  <w:r>
                    <w:rPr>
                      <w:rFonts w:hint="eastAsia"/>
                      <w:highlight w:val="yellow"/>
                    </w:rPr>
                    <w:t>AR，98%</w:t>
                  </w:r>
                </w:p>
              </w:tc>
              <w:tc>
                <w:tcPr>
                  <w:tcW w:w="1543" w:type="dxa"/>
                  <w:tcBorders>
                    <w:tl2br w:val="nil"/>
                    <w:tr2bl w:val="nil"/>
                  </w:tcBorders>
                  <w:shd w:val="clear" w:color="auto" w:fill="auto"/>
                  <w:vAlign w:val="center"/>
                </w:tcPr>
                <w:p w14:paraId="4CF55A71">
                  <w:pPr>
                    <w:jc w:val="center"/>
                    <w:rPr>
                      <w:rFonts w:hint="eastAsia"/>
                      <w:highlight w:val="yellow"/>
                    </w:rPr>
                  </w:pPr>
                  <w:r>
                    <w:rPr>
                      <w:rFonts w:hint="eastAsia"/>
                      <w:highlight w:val="yellow"/>
                    </w:rPr>
                    <w:t>50kg</w:t>
                  </w:r>
                </w:p>
              </w:tc>
              <w:tc>
                <w:tcPr>
                  <w:tcW w:w="1588" w:type="dxa"/>
                  <w:tcBorders>
                    <w:tl2br w:val="nil"/>
                    <w:tr2bl w:val="nil"/>
                  </w:tcBorders>
                  <w:shd w:val="clear" w:color="auto" w:fill="auto"/>
                  <w:vAlign w:val="center"/>
                </w:tcPr>
                <w:p w14:paraId="0EADC68E">
                  <w:pPr>
                    <w:jc w:val="center"/>
                    <w:rPr>
                      <w:rFonts w:hint="eastAsia"/>
                      <w:highlight w:val="yellow"/>
                    </w:rPr>
                  </w:pPr>
                  <w:r>
                    <w:rPr>
                      <w:rFonts w:hint="eastAsia"/>
                      <w:highlight w:val="yellow"/>
                    </w:rPr>
                    <w:t>10kg</w:t>
                  </w:r>
                </w:p>
              </w:tc>
              <w:tc>
                <w:tcPr>
                  <w:tcW w:w="1588" w:type="dxa"/>
                  <w:tcBorders>
                    <w:tl2br w:val="nil"/>
                    <w:tr2bl w:val="nil"/>
                  </w:tcBorders>
                  <w:shd w:val="clear" w:color="auto" w:fill="auto"/>
                  <w:vAlign w:val="center"/>
                </w:tcPr>
                <w:p w14:paraId="1A97F6A6">
                  <w:pPr>
                    <w:jc w:val="center"/>
                    <w:rPr>
                      <w:highlight w:val="yellow"/>
                    </w:rPr>
                  </w:pPr>
                  <w:r>
                    <w:rPr>
                      <w:rFonts w:hint="eastAsia"/>
                      <w:highlight w:val="yellow"/>
                    </w:rPr>
                    <w:t>正极制浆间</w:t>
                  </w:r>
                </w:p>
              </w:tc>
            </w:tr>
            <w:tr w14:paraId="79BAC76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734" w:type="dxa"/>
                  <w:tcBorders>
                    <w:tl2br w:val="nil"/>
                    <w:tr2bl w:val="nil"/>
                  </w:tcBorders>
                  <w:vAlign w:val="center"/>
                </w:tcPr>
                <w:p w14:paraId="5B511CBF">
                  <w:pPr>
                    <w:numPr>
                      <w:ilvl w:val="0"/>
                      <w:numId w:val="9"/>
                    </w:numPr>
                    <w:jc w:val="center"/>
                    <w:rPr>
                      <w:szCs w:val="21"/>
                      <w:highlight w:val="yellow"/>
                    </w:rPr>
                  </w:pPr>
                </w:p>
              </w:tc>
              <w:tc>
                <w:tcPr>
                  <w:tcW w:w="1414" w:type="dxa"/>
                  <w:tcBorders>
                    <w:tl2br w:val="nil"/>
                    <w:tr2bl w:val="nil"/>
                  </w:tcBorders>
                  <w:shd w:val="clear" w:color="auto" w:fill="auto"/>
                  <w:vAlign w:val="center"/>
                </w:tcPr>
                <w:p w14:paraId="5ADE85C5">
                  <w:pPr>
                    <w:jc w:val="center"/>
                    <w:rPr>
                      <w:highlight w:val="yellow"/>
                    </w:rPr>
                  </w:pPr>
                  <w:r>
                    <w:rPr>
                      <w:rFonts w:hint="eastAsia"/>
                      <w:highlight w:val="yellow"/>
                    </w:rPr>
                    <w:t>石墨</w:t>
                  </w:r>
                </w:p>
              </w:tc>
              <w:tc>
                <w:tcPr>
                  <w:tcW w:w="1483" w:type="dxa"/>
                  <w:tcBorders>
                    <w:tl2br w:val="nil"/>
                    <w:tr2bl w:val="nil"/>
                  </w:tcBorders>
                  <w:shd w:val="clear" w:color="auto" w:fill="auto"/>
                  <w:vAlign w:val="center"/>
                </w:tcPr>
                <w:p w14:paraId="34F9F6D1">
                  <w:pPr>
                    <w:jc w:val="center"/>
                    <w:rPr>
                      <w:highlight w:val="yellow"/>
                    </w:rPr>
                  </w:pPr>
                  <w:r>
                    <w:rPr>
                      <w:rFonts w:hint="eastAsia"/>
                      <w:highlight w:val="yellow"/>
                    </w:rPr>
                    <w:t>AR，98%</w:t>
                  </w:r>
                </w:p>
              </w:tc>
              <w:tc>
                <w:tcPr>
                  <w:tcW w:w="1543" w:type="dxa"/>
                  <w:tcBorders>
                    <w:tl2br w:val="nil"/>
                    <w:tr2bl w:val="nil"/>
                  </w:tcBorders>
                  <w:shd w:val="clear" w:color="auto" w:fill="auto"/>
                  <w:vAlign w:val="center"/>
                </w:tcPr>
                <w:p w14:paraId="1E61539A">
                  <w:pPr>
                    <w:jc w:val="center"/>
                    <w:rPr>
                      <w:rFonts w:hint="eastAsia"/>
                      <w:highlight w:val="yellow"/>
                    </w:rPr>
                  </w:pPr>
                  <w:r>
                    <w:rPr>
                      <w:rFonts w:hint="eastAsia"/>
                      <w:highlight w:val="yellow"/>
                    </w:rPr>
                    <w:t>70kg</w:t>
                  </w:r>
                </w:p>
              </w:tc>
              <w:tc>
                <w:tcPr>
                  <w:tcW w:w="1588" w:type="dxa"/>
                  <w:tcBorders>
                    <w:tl2br w:val="nil"/>
                    <w:tr2bl w:val="nil"/>
                  </w:tcBorders>
                  <w:shd w:val="clear" w:color="auto" w:fill="auto"/>
                  <w:vAlign w:val="center"/>
                </w:tcPr>
                <w:p w14:paraId="4BB1E422">
                  <w:pPr>
                    <w:jc w:val="center"/>
                    <w:rPr>
                      <w:rFonts w:hint="eastAsia"/>
                      <w:highlight w:val="yellow"/>
                    </w:rPr>
                  </w:pPr>
                  <w:r>
                    <w:rPr>
                      <w:rFonts w:hint="eastAsia"/>
                      <w:highlight w:val="yellow"/>
                    </w:rPr>
                    <w:t>10kg</w:t>
                  </w:r>
                </w:p>
              </w:tc>
              <w:tc>
                <w:tcPr>
                  <w:tcW w:w="1588" w:type="dxa"/>
                  <w:tcBorders>
                    <w:tl2br w:val="nil"/>
                    <w:tr2bl w:val="nil"/>
                  </w:tcBorders>
                  <w:shd w:val="clear" w:color="auto" w:fill="auto"/>
                  <w:vAlign w:val="center"/>
                </w:tcPr>
                <w:p w14:paraId="2DF5BBBF">
                  <w:pPr>
                    <w:jc w:val="center"/>
                    <w:rPr>
                      <w:highlight w:val="yellow"/>
                    </w:rPr>
                  </w:pPr>
                  <w:r>
                    <w:rPr>
                      <w:rFonts w:hint="eastAsia"/>
                      <w:highlight w:val="yellow"/>
                    </w:rPr>
                    <w:t>负极制浆间</w:t>
                  </w:r>
                </w:p>
              </w:tc>
            </w:tr>
            <w:tr w14:paraId="518AC71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734" w:type="dxa"/>
                  <w:tcBorders>
                    <w:tl2br w:val="nil"/>
                    <w:tr2bl w:val="nil"/>
                  </w:tcBorders>
                  <w:vAlign w:val="center"/>
                </w:tcPr>
                <w:p w14:paraId="52CB250F">
                  <w:pPr>
                    <w:numPr>
                      <w:ilvl w:val="0"/>
                      <w:numId w:val="9"/>
                    </w:numPr>
                    <w:jc w:val="center"/>
                    <w:rPr>
                      <w:szCs w:val="21"/>
                      <w:highlight w:val="yellow"/>
                    </w:rPr>
                  </w:pPr>
                </w:p>
              </w:tc>
              <w:tc>
                <w:tcPr>
                  <w:tcW w:w="1414" w:type="dxa"/>
                  <w:tcBorders>
                    <w:tl2br w:val="nil"/>
                    <w:tr2bl w:val="nil"/>
                  </w:tcBorders>
                  <w:shd w:val="clear" w:color="auto" w:fill="auto"/>
                  <w:vAlign w:val="center"/>
                </w:tcPr>
                <w:p w14:paraId="5659A111">
                  <w:pPr>
                    <w:jc w:val="center"/>
                    <w:rPr>
                      <w:rFonts w:hint="eastAsia"/>
                      <w:highlight w:val="yellow"/>
                    </w:rPr>
                  </w:pPr>
                  <w:r>
                    <w:rPr>
                      <w:rFonts w:hint="eastAsia"/>
                      <w:highlight w:val="yellow"/>
                    </w:rPr>
                    <w:t>N-甲基吡咯烷酮</w:t>
                  </w:r>
                </w:p>
              </w:tc>
              <w:tc>
                <w:tcPr>
                  <w:tcW w:w="1483" w:type="dxa"/>
                  <w:tcBorders>
                    <w:tl2br w:val="nil"/>
                    <w:tr2bl w:val="nil"/>
                  </w:tcBorders>
                  <w:shd w:val="clear" w:color="auto" w:fill="auto"/>
                  <w:vAlign w:val="center"/>
                </w:tcPr>
                <w:p w14:paraId="4784E33D">
                  <w:pPr>
                    <w:jc w:val="center"/>
                    <w:rPr>
                      <w:rFonts w:hint="eastAsia"/>
                      <w:highlight w:val="yellow"/>
                    </w:rPr>
                  </w:pPr>
                  <w:r>
                    <w:rPr>
                      <w:rFonts w:hint="eastAsia"/>
                      <w:highlight w:val="yellow"/>
                    </w:rPr>
                    <w:t>AR，98%</w:t>
                  </w:r>
                </w:p>
              </w:tc>
              <w:tc>
                <w:tcPr>
                  <w:tcW w:w="1543" w:type="dxa"/>
                  <w:tcBorders>
                    <w:tl2br w:val="nil"/>
                    <w:tr2bl w:val="nil"/>
                  </w:tcBorders>
                  <w:shd w:val="clear" w:color="auto" w:fill="auto"/>
                  <w:vAlign w:val="center"/>
                </w:tcPr>
                <w:p w14:paraId="500E81BD">
                  <w:pPr>
                    <w:jc w:val="center"/>
                    <w:rPr>
                      <w:highlight w:val="yellow"/>
                    </w:rPr>
                  </w:pPr>
                  <w:r>
                    <w:rPr>
                      <w:rFonts w:hint="eastAsia"/>
                      <w:highlight w:val="yellow"/>
                    </w:rPr>
                    <w:t>30L</w:t>
                  </w:r>
                </w:p>
              </w:tc>
              <w:tc>
                <w:tcPr>
                  <w:tcW w:w="1588" w:type="dxa"/>
                  <w:tcBorders>
                    <w:tl2br w:val="nil"/>
                    <w:tr2bl w:val="nil"/>
                  </w:tcBorders>
                  <w:shd w:val="clear" w:color="auto" w:fill="auto"/>
                  <w:vAlign w:val="center"/>
                </w:tcPr>
                <w:p w14:paraId="5793FCAF">
                  <w:pPr>
                    <w:jc w:val="center"/>
                    <w:rPr>
                      <w:highlight w:val="yellow"/>
                    </w:rPr>
                  </w:pPr>
                  <w:r>
                    <w:rPr>
                      <w:rFonts w:hint="eastAsia"/>
                      <w:highlight w:val="yellow"/>
                    </w:rPr>
                    <w:t>3L</w:t>
                  </w:r>
                </w:p>
              </w:tc>
              <w:tc>
                <w:tcPr>
                  <w:tcW w:w="1588" w:type="dxa"/>
                  <w:tcBorders>
                    <w:tl2br w:val="nil"/>
                    <w:tr2bl w:val="nil"/>
                  </w:tcBorders>
                  <w:shd w:val="clear" w:color="auto" w:fill="auto"/>
                  <w:vAlign w:val="center"/>
                </w:tcPr>
                <w:p w14:paraId="6351BB49">
                  <w:pPr>
                    <w:jc w:val="center"/>
                    <w:rPr>
                      <w:highlight w:val="yellow"/>
                    </w:rPr>
                  </w:pPr>
                  <w:r>
                    <w:rPr>
                      <w:rFonts w:hint="eastAsia"/>
                      <w:highlight w:val="yellow"/>
                    </w:rPr>
                    <w:t>正极制浆间</w:t>
                  </w:r>
                </w:p>
              </w:tc>
            </w:tr>
            <w:tr w14:paraId="0724629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734" w:type="dxa"/>
                  <w:tcBorders>
                    <w:tl2br w:val="nil"/>
                    <w:tr2bl w:val="nil"/>
                  </w:tcBorders>
                  <w:vAlign w:val="center"/>
                </w:tcPr>
                <w:p w14:paraId="06D046F0">
                  <w:pPr>
                    <w:numPr>
                      <w:ilvl w:val="0"/>
                      <w:numId w:val="9"/>
                    </w:numPr>
                    <w:jc w:val="center"/>
                    <w:rPr>
                      <w:szCs w:val="21"/>
                      <w:highlight w:val="yellow"/>
                    </w:rPr>
                  </w:pPr>
                </w:p>
              </w:tc>
              <w:tc>
                <w:tcPr>
                  <w:tcW w:w="1414" w:type="dxa"/>
                  <w:tcBorders>
                    <w:tl2br w:val="nil"/>
                    <w:tr2bl w:val="nil"/>
                  </w:tcBorders>
                  <w:shd w:val="clear" w:color="auto" w:fill="auto"/>
                  <w:vAlign w:val="center"/>
                </w:tcPr>
                <w:p w14:paraId="7F3E13B7">
                  <w:pPr>
                    <w:jc w:val="center"/>
                    <w:rPr>
                      <w:rFonts w:hint="eastAsia"/>
                      <w:highlight w:val="yellow"/>
                    </w:rPr>
                  </w:pPr>
                  <w:r>
                    <w:rPr>
                      <w:rFonts w:hint="eastAsia"/>
                      <w:highlight w:val="yellow"/>
                    </w:rPr>
                    <w:t>羧甲基纤维素钠</w:t>
                  </w:r>
                </w:p>
              </w:tc>
              <w:tc>
                <w:tcPr>
                  <w:tcW w:w="1483" w:type="dxa"/>
                  <w:tcBorders>
                    <w:tl2br w:val="nil"/>
                    <w:tr2bl w:val="nil"/>
                  </w:tcBorders>
                  <w:shd w:val="clear" w:color="auto" w:fill="auto"/>
                  <w:vAlign w:val="center"/>
                </w:tcPr>
                <w:p w14:paraId="0B874BF8">
                  <w:pPr>
                    <w:jc w:val="center"/>
                    <w:rPr>
                      <w:rFonts w:hint="eastAsia"/>
                      <w:highlight w:val="yellow"/>
                    </w:rPr>
                  </w:pPr>
                  <w:r>
                    <w:rPr>
                      <w:rFonts w:hint="eastAsia"/>
                      <w:highlight w:val="yellow"/>
                    </w:rPr>
                    <w:t>AR，98%</w:t>
                  </w:r>
                </w:p>
              </w:tc>
              <w:tc>
                <w:tcPr>
                  <w:tcW w:w="1543" w:type="dxa"/>
                  <w:tcBorders>
                    <w:tl2br w:val="nil"/>
                    <w:tr2bl w:val="nil"/>
                  </w:tcBorders>
                  <w:shd w:val="clear" w:color="auto" w:fill="auto"/>
                  <w:vAlign w:val="center"/>
                </w:tcPr>
                <w:p w14:paraId="607A1F91">
                  <w:pPr>
                    <w:jc w:val="center"/>
                    <w:rPr>
                      <w:rFonts w:hint="eastAsia"/>
                      <w:highlight w:val="yellow"/>
                    </w:rPr>
                  </w:pPr>
                  <w:r>
                    <w:rPr>
                      <w:rFonts w:hint="eastAsia"/>
                      <w:highlight w:val="yellow"/>
                    </w:rPr>
                    <w:t>3kg</w:t>
                  </w:r>
                </w:p>
              </w:tc>
              <w:tc>
                <w:tcPr>
                  <w:tcW w:w="1588" w:type="dxa"/>
                  <w:tcBorders>
                    <w:tl2br w:val="nil"/>
                    <w:tr2bl w:val="nil"/>
                  </w:tcBorders>
                  <w:shd w:val="clear" w:color="auto" w:fill="auto"/>
                  <w:vAlign w:val="center"/>
                </w:tcPr>
                <w:p w14:paraId="4819D98A">
                  <w:pPr>
                    <w:jc w:val="center"/>
                    <w:rPr>
                      <w:highlight w:val="yellow"/>
                    </w:rPr>
                  </w:pPr>
                  <w:r>
                    <w:rPr>
                      <w:rFonts w:hint="eastAsia"/>
                      <w:highlight w:val="yellow"/>
                    </w:rPr>
                    <w:t>1kg</w:t>
                  </w:r>
                </w:p>
              </w:tc>
              <w:tc>
                <w:tcPr>
                  <w:tcW w:w="1588" w:type="dxa"/>
                  <w:tcBorders>
                    <w:tl2br w:val="nil"/>
                    <w:tr2bl w:val="nil"/>
                  </w:tcBorders>
                  <w:shd w:val="clear" w:color="auto" w:fill="auto"/>
                  <w:vAlign w:val="center"/>
                </w:tcPr>
                <w:p w14:paraId="22BB5123">
                  <w:pPr>
                    <w:jc w:val="center"/>
                    <w:rPr>
                      <w:highlight w:val="yellow"/>
                    </w:rPr>
                  </w:pPr>
                  <w:r>
                    <w:rPr>
                      <w:rFonts w:hint="eastAsia"/>
                      <w:highlight w:val="yellow"/>
                    </w:rPr>
                    <w:t>正极制浆间</w:t>
                  </w:r>
                </w:p>
              </w:tc>
            </w:tr>
            <w:tr w14:paraId="20610A9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734" w:type="dxa"/>
                  <w:tcBorders>
                    <w:tl2br w:val="nil"/>
                    <w:tr2bl w:val="nil"/>
                  </w:tcBorders>
                  <w:vAlign w:val="center"/>
                </w:tcPr>
                <w:p w14:paraId="2275D6F3">
                  <w:pPr>
                    <w:numPr>
                      <w:ilvl w:val="0"/>
                      <w:numId w:val="9"/>
                    </w:numPr>
                    <w:jc w:val="center"/>
                    <w:rPr>
                      <w:szCs w:val="21"/>
                      <w:highlight w:val="yellow"/>
                    </w:rPr>
                  </w:pPr>
                </w:p>
              </w:tc>
              <w:tc>
                <w:tcPr>
                  <w:tcW w:w="1414" w:type="dxa"/>
                  <w:tcBorders>
                    <w:tl2br w:val="nil"/>
                    <w:tr2bl w:val="nil"/>
                  </w:tcBorders>
                  <w:shd w:val="clear" w:color="auto" w:fill="auto"/>
                  <w:vAlign w:val="center"/>
                </w:tcPr>
                <w:p w14:paraId="1DC3EA97">
                  <w:pPr>
                    <w:jc w:val="center"/>
                    <w:rPr>
                      <w:rFonts w:hint="eastAsia"/>
                      <w:highlight w:val="yellow"/>
                    </w:rPr>
                  </w:pPr>
                  <w:r>
                    <w:rPr>
                      <w:rFonts w:hint="eastAsia"/>
                      <w:highlight w:val="yellow"/>
                    </w:rPr>
                    <w:t>铝箔</w:t>
                  </w:r>
                </w:p>
              </w:tc>
              <w:tc>
                <w:tcPr>
                  <w:tcW w:w="1483" w:type="dxa"/>
                  <w:tcBorders>
                    <w:tl2br w:val="nil"/>
                    <w:tr2bl w:val="nil"/>
                  </w:tcBorders>
                  <w:shd w:val="clear" w:color="auto" w:fill="auto"/>
                  <w:vAlign w:val="center"/>
                </w:tcPr>
                <w:p w14:paraId="000B732F">
                  <w:pPr>
                    <w:jc w:val="center"/>
                    <w:rPr>
                      <w:rFonts w:hint="eastAsia"/>
                      <w:highlight w:val="yellow"/>
                    </w:rPr>
                  </w:pPr>
                  <w:r>
                    <w:rPr>
                      <w:rFonts w:hint="eastAsia"/>
                      <w:highlight w:val="yellow"/>
                    </w:rPr>
                    <w:t>5kg/卷</w:t>
                  </w:r>
                </w:p>
              </w:tc>
              <w:tc>
                <w:tcPr>
                  <w:tcW w:w="1543" w:type="dxa"/>
                  <w:tcBorders>
                    <w:tl2br w:val="nil"/>
                    <w:tr2bl w:val="nil"/>
                  </w:tcBorders>
                  <w:shd w:val="clear" w:color="auto" w:fill="auto"/>
                  <w:vAlign w:val="center"/>
                </w:tcPr>
                <w:p w14:paraId="524E7AC2">
                  <w:pPr>
                    <w:jc w:val="center"/>
                    <w:rPr>
                      <w:highlight w:val="yellow"/>
                    </w:rPr>
                  </w:pPr>
                  <w:r>
                    <w:rPr>
                      <w:rFonts w:hint="eastAsia"/>
                      <w:highlight w:val="yellow"/>
                    </w:rPr>
                    <w:t>50kg</w:t>
                  </w:r>
                </w:p>
              </w:tc>
              <w:tc>
                <w:tcPr>
                  <w:tcW w:w="1588" w:type="dxa"/>
                  <w:tcBorders>
                    <w:tl2br w:val="nil"/>
                    <w:tr2bl w:val="nil"/>
                  </w:tcBorders>
                  <w:shd w:val="clear" w:color="auto" w:fill="auto"/>
                  <w:vAlign w:val="center"/>
                </w:tcPr>
                <w:p w14:paraId="27C85685">
                  <w:pPr>
                    <w:jc w:val="center"/>
                    <w:rPr>
                      <w:highlight w:val="yellow"/>
                    </w:rPr>
                  </w:pPr>
                  <w:r>
                    <w:rPr>
                      <w:rFonts w:hint="eastAsia"/>
                      <w:highlight w:val="yellow"/>
                    </w:rPr>
                    <w:t>5kg</w:t>
                  </w:r>
                </w:p>
              </w:tc>
              <w:tc>
                <w:tcPr>
                  <w:tcW w:w="1588" w:type="dxa"/>
                  <w:tcBorders>
                    <w:tl2br w:val="nil"/>
                    <w:tr2bl w:val="nil"/>
                  </w:tcBorders>
                  <w:shd w:val="clear" w:color="auto" w:fill="auto"/>
                  <w:vAlign w:val="center"/>
                </w:tcPr>
                <w:p w14:paraId="4BABFEF6">
                  <w:pPr>
                    <w:jc w:val="center"/>
                    <w:rPr>
                      <w:b/>
                      <w:bCs/>
                      <w:highlight w:val="yellow"/>
                    </w:rPr>
                  </w:pPr>
                  <w:r>
                    <w:rPr>
                      <w:rFonts w:hint="eastAsia"/>
                      <w:highlight w:val="yellow"/>
                    </w:rPr>
                    <w:t>涂布间</w:t>
                  </w:r>
                </w:p>
              </w:tc>
            </w:tr>
            <w:tr w14:paraId="22123FE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734" w:type="dxa"/>
                  <w:tcBorders>
                    <w:tl2br w:val="nil"/>
                    <w:tr2bl w:val="nil"/>
                  </w:tcBorders>
                  <w:vAlign w:val="center"/>
                </w:tcPr>
                <w:p w14:paraId="7BB7D8D2">
                  <w:pPr>
                    <w:numPr>
                      <w:ilvl w:val="0"/>
                      <w:numId w:val="9"/>
                    </w:numPr>
                    <w:jc w:val="center"/>
                    <w:rPr>
                      <w:szCs w:val="21"/>
                      <w:highlight w:val="yellow"/>
                    </w:rPr>
                  </w:pPr>
                </w:p>
              </w:tc>
              <w:tc>
                <w:tcPr>
                  <w:tcW w:w="1414" w:type="dxa"/>
                  <w:tcBorders>
                    <w:tl2br w:val="nil"/>
                    <w:tr2bl w:val="nil"/>
                  </w:tcBorders>
                  <w:shd w:val="clear" w:color="auto" w:fill="auto"/>
                  <w:vAlign w:val="center"/>
                </w:tcPr>
                <w:p w14:paraId="64B401A4">
                  <w:pPr>
                    <w:jc w:val="center"/>
                    <w:rPr>
                      <w:highlight w:val="yellow"/>
                    </w:rPr>
                  </w:pPr>
                  <w:r>
                    <w:rPr>
                      <w:rFonts w:hint="eastAsia"/>
                      <w:highlight w:val="yellow"/>
                    </w:rPr>
                    <w:t>铜箔</w:t>
                  </w:r>
                </w:p>
              </w:tc>
              <w:tc>
                <w:tcPr>
                  <w:tcW w:w="1483" w:type="dxa"/>
                  <w:tcBorders>
                    <w:tl2br w:val="nil"/>
                    <w:tr2bl w:val="nil"/>
                  </w:tcBorders>
                  <w:shd w:val="clear" w:color="auto" w:fill="auto"/>
                  <w:vAlign w:val="center"/>
                </w:tcPr>
                <w:p w14:paraId="53BF3A2A">
                  <w:pPr>
                    <w:jc w:val="center"/>
                    <w:rPr>
                      <w:rFonts w:hint="eastAsia"/>
                      <w:highlight w:val="yellow"/>
                    </w:rPr>
                  </w:pPr>
                  <w:r>
                    <w:rPr>
                      <w:rFonts w:hint="eastAsia"/>
                      <w:highlight w:val="yellow"/>
                    </w:rPr>
                    <w:t>5kg/卷</w:t>
                  </w:r>
                </w:p>
              </w:tc>
              <w:tc>
                <w:tcPr>
                  <w:tcW w:w="1543" w:type="dxa"/>
                  <w:tcBorders>
                    <w:tl2br w:val="nil"/>
                    <w:tr2bl w:val="nil"/>
                  </w:tcBorders>
                  <w:shd w:val="clear" w:color="auto" w:fill="auto"/>
                  <w:vAlign w:val="center"/>
                </w:tcPr>
                <w:p w14:paraId="4E533D29">
                  <w:pPr>
                    <w:jc w:val="center"/>
                    <w:rPr>
                      <w:highlight w:val="yellow"/>
                    </w:rPr>
                  </w:pPr>
                  <w:r>
                    <w:rPr>
                      <w:rFonts w:hint="eastAsia"/>
                      <w:highlight w:val="yellow"/>
                    </w:rPr>
                    <w:t>70kg</w:t>
                  </w:r>
                </w:p>
              </w:tc>
              <w:tc>
                <w:tcPr>
                  <w:tcW w:w="1588" w:type="dxa"/>
                  <w:tcBorders>
                    <w:tl2br w:val="nil"/>
                    <w:tr2bl w:val="nil"/>
                  </w:tcBorders>
                  <w:shd w:val="clear" w:color="auto" w:fill="auto"/>
                  <w:vAlign w:val="center"/>
                </w:tcPr>
                <w:p w14:paraId="6C87F93D">
                  <w:pPr>
                    <w:jc w:val="center"/>
                    <w:rPr>
                      <w:highlight w:val="yellow"/>
                    </w:rPr>
                  </w:pPr>
                  <w:r>
                    <w:rPr>
                      <w:rFonts w:hint="eastAsia"/>
                      <w:highlight w:val="yellow"/>
                    </w:rPr>
                    <w:t>5kg</w:t>
                  </w:r>
                </w:p>
              </w:tc>
              <w:tc>
                <w:tcPr>
                  <w:tcW w:w="1588" w:type="dxa"/>
                  <w:tcBorders>
                    <w:tl2br w:val="nil"/>
                    <w:tr2bl w:val="nil"/>
                  </w:tcBorders>
                  <w:shd w:val="clear" w:color="auto" w:fill="auto"/>
                  <w:vAlign w:val="center"/>
                </w:tcPr>
                <w:p w14:paraId="4A0E5847">
                  <w:pPr>
                    <w:jc w:val="center"/>
                    <w:rPr>
                      <w:highlight w:val="yellow"/>
                    </w:rPr>
                  </w:pPr>
                  <w:r>
                    <w:rPr>
                      <w:rFonts w:hint="eastAsia"/>
                      <w:highlight w:val="yellow"/>
                    </w:rPr>
                    <w:t>涂布间</w:t>
                  </w:r>
                </w:p>
              </w:tc>
            </w:tr>
            <w:tr w14:paraId="2E9A6F5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734" w:type="dxa"/>
                  <w:tcBorders>
                    <w:tl2br w:val="nil"/>
                    <w:tr2bl w:val="nil"/>
                  </w:tcBorders>
                  <w:vAlign w:val="center"/>
                </w:tcPr>
                <w:p w14:paraId="68D76DD4">
                  <w:pPr>
                    <w:numPr>
                      <w:ilvl w:val="0"/>
                      <w:numId w:val="9"/>
                    </w:numPr>
                    <w:jc w:val="center"/>
                    <w:rPr>
                      <w:szCs w:val="21"/>
                      <w:highlight w:val="yellow"/>
                    </w:rPr>
                  </w:pPr>
                </w:p>
              </w:tc>
              <w:tc>
                <w:tcPr>
                  <w:tcW w:w="1414" w:type="dxa"/>
                  <w:tcBorders>
                    <w:tl2br w:val="nil"/>
                    <w:tr2bl w:val="nil"/>
                  </w:tcBorders>
                  <w:shd w:val="clear" w:color="auto" w:fill="auto"/>
                  <w:vAlign w:val="center"/>
                </w:tcPr>
                <w:p w14:paraId="2B9D5035">
                  <w:pPr>
                    <w:jc w:val="center"/>
                    <w:rPr>
                      <w:rFonts w:hint="eastAsia"/>
                      <w:highlight w:val="yellow"/>
                    </w:rPr>
                  </w:pPr>
                  <w:r>
                    <w:rPr>
                      <w:rFonts w:hint="eastAsia"/>
                      <w:highlight w:val="yellow"/>
                    </w:rPr>
                    <w:t>铝塑膜</w:t>
                  </w:r>
                </w:p>
              </w:tc>
              <w:tc>
                <w:tcPr>
                  <w:tcW w:w="1483" w:type="dxa"/>
                  <w:tcBorders>
                    <w:tl2br w:val="nil"/>
                    <w:tr2bl w:val="nil"/>
                  </w:tcBorders>
                  <w:shd w:val="clear" w:color="auto" w:fill="auto"/>
                  <w:vAlign w:val="center"/>
                </w:tcPr>
                <w:p w14:paraId="4D1AD433">
                  <w:pPr>
                    <w:jc w:val="center"/>
                    <w:rPr>
                      <w:rFonts w:hint="eastAsia"/>
                      <w:highlight w:val="yellow"/>
                    </w:rPr>
                  </w:pPr>
                  <w:r>
                    <w:rPr>
                      <w:rFonts w:hint="eastAsia"/>
                      <w:highlight w:val="yellow"/>
                    </w:rPr>
                    <w:t>113</w:t>
                  </w:r>
                  <w:r>
                    <w:rPr>
                      <w:highlight w:val="yellow"/>
                    </w:rPr>
                    <w:t>μm</w:t>
                  </w:r>
                  <w:r>
                    <w:rPr>
                      <w:rFonts w:hint="eastAsia"/>
                      <w:highlight w:val="yellow"/>
                    </w:rPr>
                    <w:t>，9.6m/卷</w:t>
                  </w:r>
                </w:p>
              </w:tc>
              <w:tc>
                <w:tcPr>
                  <w:tcW w:w="1543" w:type="dxa"/>
                  <w:tcBorders>
                    <w:tl2br w:val="nil"/>
                    <w:tr2bl w:val="nil"/>
                  </w:tcBorders>
                  <w:shd w:val="clear" w:color="auto" w:fill="auto"/>
                  <w:vAlign w:val="center"/>
                </w:tcPr>
                <w:p w14:paraId="194B854B">
                  <w:pPr>
                    <w:jc w:val="center"/>
                    <w:rPr>
                      <w:rFonts w:hint="eastAsia"/>
                      <w:highlight w:val="yellow"/>
                    </w:rPr>
                  </w:pPr>
                  <w:r>
                    <w:rPr>
                      <w:rFonts w:hint="eastAsia"/>
                      <w:highlight w:val="yellow"/>
                    </w:rPr>
                    <w:t>10kg</w:t>
                  </w:r>
                </w:p>
              </w:tc>
              <w:tc>
                <w:tcPr>
                  <w:tcW w:w="1588" w:type="dxa"/>
                  <w:tcBorders>
                    <w:tl2br w:val="nil"/>
                    <w:tr2bl w:val="nil"/>
                  </w:tcBorders>
                  <w:shd w:val="clear" w:color="auto" w:fill="auto"/>
                  <w:vAlign w:val="center"/>
                </w:tcPr>
                <w:p w14:paraId="01453CC8">
                  <w:pPr>
                    <w:jc w:val="center"/>
                    <w:rPr>
                      <w:rFonts w:hint="eastAsia"/>
                      <w:highlight w:val="yellow"/>
                    </w:rPr>
                  </w:pPr>
                  <w:r>
                    <w:rPr>
                      <w:rFonts w:hint="eastAsia"/>
                      <w:highlight w:val="yellow"/>
                    </w:rPr>
                    <w:t>3kg</w:t>
                  </w:r>
                </w:p>
              </w:tc>
              <w:tc>
                <w:tcPr>
                  <w:tcW w:w="1588" w:type="dxa"/>
                  <w:tcBorders>
                    <w:tl2br w:val="nil"/>
                    <w:tr2bl w:val="nil"/>
                  </w:tcBorders>
                  <w:shd w:val="clear" w:color="auto" w:fill="auto"/>
                  <w:vAlign w:val="center"/>
                </w:tcPr>
                <w:p w14:paraId="5839706A">
                  <w:pPr>
                    <w:jc w:val="center"/>
                    <w:rPr>
                      <w:rFonts w:hint="eastAsia"/>
                      <w:highlight w:val="yellow"/>
                    </w:rPr>
                  </w:pPr>
                  <w:r>
                    <w:rPr>
                      <w:rFonts w:hint="eastAsia"/>
                      <w:highlight w:val="yellow"/>
                    </w:rPr>
                    <w:t>涂布间</w:t>
                  </w:r>
                </w:p>
              </w:tc>
            </w:tr>
            <w:tr w14:paraId="031C008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734" w:type="dxa"/>
                  <w:tcBorders>
                    <w:tl2br w:val="nil"/>
                    <w:tr2bl w:val="nil"/>
                  </w:tcBorders>
                  <w:vAlign w:val="center"/>
                </w:tcPr>
                <w:p w14:paraId="5B0B035D">
                  <w:pPr>
                    <w:numPr>
                      <w:ilvl w:val="0"/>
                      <w:numId w:val="9"/>
                    </w:numPr>
                    <w:jc w:val="center"/>
                    <w:rPr>
                      <w:szCs w:val="21"/>
                      <w:highlight w:val="yellow"/>
                    </w:rPr>
                  </w:pPr>
                </w:p>
              </w:tc>
              <w:tc>
                <w:tcPr>
                  <w:tcW w:w="1414" w:type="dxa"/>
                  <w:tcBorders>
                    <w:tl2br w:val="nil"/>
                    <w:tr2bl w:val="nil"/>
                  </w:tcBorders>
                  <w:shd w:val="clear" w:color="auto" w:fill="auto"/>
                  <w:vAlign w:val="center"/>
                </w:tcPr>
                <w:p w14:paraId="508CDDED">
                  <w:pPr>
                    <w:rPr>
                      <w:rFonts w:hint="eastAsia"/>
                      <w:highlight w:val="yellow"/>
                    </w:rPr>
                  </w:pPr>
                  <w:r>
                    <w:rPr>
                      <w:rFonts w:hint="eastAsia"/>
                      <w:highlight w:val="yellow"/>
                    </w:rPr>
                    <w:t>隔膜（PP膜）</w:t>
                  </w:r>
                </w:p>
              </w:tc>
              <w:tc>
                <w:tcPr>
                  <w:tcW w:w="1483" w:type="dxa"/>
                  <w:tcBorders>
                    <w:tl2br w:val="nil"/>
                    <w:tr2bl w:val="nil"/>
                  </w:tcBorders>
                  <w:shd w:val="clear" w:color="auto" w:fill="auto"/>
                  <w:vAlign w:val="center"/>
                </w:tcPr>
                <w:p w14:paraId="472AB074">
                  <w:pPr>
                    <w:jc w:val="center"/>
                    <w:rPr>
                      <w:rFonts w:hint="eastAsia"/>
                      <w:highlight w:val="yellow"/>
                    </w:rPr>
                  </w:pPr>
                  <w:r>
                    <w:rPr>
                      <w:rFonts w:hint="eastAsia"/>
                      <w:highlight w:val="yellow"/>
                    </w:rPr>
                    <w:t>12</w:t>
                  </w:r>
                  <w:r>
                    <w:rPr>
                      <w:highlight w:val="yellow"/>
                    </w:rPr>
                    <w:t>μm</w:t>
                  </w:r>
                  <w:r>
                    <w:rPr>
                      <w:rFonts w:hint="eastAsia"/>
                      <w:highlight w:val="yellow"/>
                    </w:rPr>
                    <w:t>，200m/卷</w:t>
                  </w:r>
                </w:p>
              </w:tc>
              <w:tc>
                <w:tcPr>
                  <w:tcW w:w="1543" w:type="dxa"/>
                  <w:tcBorders>
                    <w:tl2br w:val="nil"/>
                    <w:tr2bl w:val="nil"/>
                  </w:tcBorders>
                  <w:shd w:val="clear" w:color="auto" w:fill="auto"/>
                  <w:vAlign w:val="center"/>
                </w:tcPr>
                <w:p w14:paraId="4BC0266F">
                  <w:pPr>
                    <w:jc w:val="center"/>
                    <w:rPr>
                      <w:rFonts w:hint="eastAsia"/>
                      <w:highlight w:val="yellow"/>
                    </w:rPr>
                  </w:pPr>
                  <w:r>
                    <w:rPr>
                      <w:rFonts w:hint="eastAsia"/>
                      <w:highlight w:val="yellow"/>
                    </w:rPr>
                    <w:t>400m</w:t>
                  </w:r>
                </w:p>
              </w:tc>
              <w:tc>
                <w:tcPr>
                  <w:tcW w:w="1588" w:type="dxa"/>
                  <w:tcBorders>
                    <w:tl2br w:val="nil"/>
                    <w:tr2bl w:val="nil"/>
                  </w:tcBorders>
                  <w:shd w:val="clear" w:color="auto" w:fill="auto"/>
                  <w:vAlign w:val="center"/>
                </w:tcPr>
                <w:p w14:paraId="258F576D">
                  <w:pPr>
                    <w:jc w:val="center"/>
                    <w:rPr>
                      <w:rFonts w:hint="eastAsia"/>
                      <w:highlight w:val="yellow"/>
                    </w:rPr>
                  </w:pPr>
                  <w:r>
                    <w:rPr>
                      <w:rFonts w:hint="eastAsia"/>
                      <w:highlight w:val="yellow"/>
                    </w:rPr>
                    <w:t>200m</w:t>
                  </w:r>
                </w:p>
              </w:tc>
              <w:tc>
                <w:tcPr>
                  <w:tcW w:w="1588" w:type="dxa"/>
                  <w:tcBorders>
                    <w:tl2br w:val="nil"/>
                    <w:tr2bl w:val="nil"/>
                  </w:tcBorders>
                  <w:shd w:val="clear" w:color="auto" w:fill="auto"/>
                  <w:vAlign w:val="center"/>
                </w:tcPr>
                <w:p w14:paraId="0719C80B">
                  <w:pPr>
                    <w:jc w:val="center"/>
                    <w:rPr>
                      <w:rFonts w:hint="eastAsia"/>
                      <w:highlight w:val="yellow"/>
                    </w:rPr>
                  </w:pPr>
                  <w:r>
                    <w:rPr>
                      <w:rFonts w:hint="eastAsia"/>
                      <w:highlight w:val="yellow"/>
                    </w:rPr>
                    <w:t>电芯制备间</w:t>
                  </w:r>
                </w:p>
              </w:tc>
            </w:tr>
            <w:tr w14:paraId="767678A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734" w:type="dxa"/>
                  <w:tcBorders>
                    <w:tl2br w:val="nil"/>
                    <w:tr2bl w:val="nil"/>
                  </w:tcBorders>
                  <w:vAlign w:val="center"/>
                </w:tcPr>
                <w:p w14:paraId="5CD3DCFE">
                  <w:pPr>
                    <w:numPr>
                      <w:ilvl w:val="0"/>
                      <w:numId w:val="9"/>
                    </w:numPr>
                    <w:jc w:val="center"/>
                    <w:rPr>
                      <w:szCs w:val="21"/>
                      <w:highlight w:val="yellow"/>
                    </w:rPr>
                  </w:pPr>
                </w:p>
              </w:tc>
              <w:tc>
                <w:tcPr>
                  <w:tcW w:w="1414" w:type="dxa"/>
                  <w:tcBorders>
                    <w:tl2br w:val="nil"/>
                    <w:tr2bl w:val="nil"/>
                  </w:tcBorders>
                  <w:shd w:val="clear" w:color="auto" w:fill="auto"/>
                  <w:vAlign w:val="center"/>
                </w:tcPr>
                <w:p w14:paraId="07EFBBA2">
                  <w:pPr>
                    <w:jc w:val="center"/>
                    <w:rPr>
                      <w:highlight w:val="yellow"/>
                    </w:rPr>
                  </w:pPr>
                  <w:r>
                    <w:rPr>
                      <w:rFonts w:hint="eastAsia"/>
                      <w:highlight w:val="yellow"/>
                    </w:rPr>
                    <w:t>碳酸二乙酯</w:t>
                  </w:r>
                </w:p>
              </w:tc>
              <w:tc>
                <w:tcPr>
                  <w:tcW w:w="1483" w:type="dxa"/>
                  <w:tcBorders>
                    <w:tl2br w:val="nil"/>
                    <w:tr2bl w:val="nil"/>
                  </w:tcBorders>
                  <w:shd w:val="clear" w:color="auto" w:fill="auto"/>
                  <w:vAlign w:val="center"/>
                </w:tcPr>
                <w:p w14:paraId="408638E5">
                  <w:pPr>
                    <w:jc w:val="center"/>
                    <w:rPr>
                      <w:rFonts w:hint="eastAsia"/>
                      <w:highlight w:val="yellow"/>
                    </w:rPr>
                  </w:pPr>
                  <w:r>
                    <w:rPr>
                      <w:rFonts w:hint="eastAsia"/>
                      <w:highlight w:val="yellow"/>
                    </w:rPr>
                    <w:t>AR，98%</w:t>
                  </w:r>
                </w:p>
              </w:tc>
              <w:tc>
                <w:tcPr>
                  <w:tcW w:w="1543" w:type="dxa"/>
                  <w:tcBorders>
                    <w:tl2br w:val="nil"/>
                    <w:tr2bl w:val="nil"/>
                  </w:tcBorders>
                  <w:shd w:val="clear" w:color="auto" w:fill="auto"/>
                  <w:vAlign w:val="center"/>
                </w:tcPr>
                <w:p w14:paraId="5A080B51">
                  <w:pPr>
                    <w:jc w:val="center"/>
                    <w:rPr>
                      <w:rFonts w:hint="eastAsia"/>
                      <w:highlight w:val="yellow"/>
                    </w:rPr>
                  </w:pPr>
                  <w:r>
                    <w:rPr>
                      <w:rFonts w:hint="eastAsia"/>
                      <w:highlight w:val="yellow"/>
                    </w:rPr>
                    <w:t>3L</w:t>
                  </w:r>
                </w:p>
              </w:tc>
              <w:tc>
                <w:tcPr>
                  <w:tcW w:w="1588" w:type="dxa"/>
                  <w:tcBorders>
                    <w:tl2br w:val="nil"/>
                    <w:tr2bl w:val="nil"/>
                  </w:tcBorders>
                  <w:shd w:val="clear" w:color="auto" w:fill="auto"/>
                  <w:vAlign w:val="center"/>
                </w:tcPr>
                <w:p w14:paraId="321FB3FA">
                  <w:pPr>
                    <w:jc w:val="center"/>
                    <w:rPr>
                      <w:rFonts w:hint="eastAsia"/>
                      <w:highlight w:val="yellow"/>
                    </w:rPr>
                  </w:pPr>
                  <w:r>
                    <w:rPr>
                      <w:rFonts w:hint="eastAsia"/>
                      <w:highlight w:val="yellow"/>
                    </w:rPr>
                    <w:t>500mL</w:t>
                  </w:r>
                </w:p>
              </w:tc>
              <w:tc>
                <w:tcPr>
                  <w:tcW w:w="1588" w:type="dxa"/>
                  <w:tcBorders>
                    <w:tl2br w:val="nil"/>
                    <w:tr2bl w:val="nil"/>
                  </w:tcBorders>
                  <w:shd w:val="clear" w:color="auto" w:fill="auto"/>
                  <w:vAlign w:val="center"/>
                </w:tcPr>
                <w:p w14:paraId="64DD2025">
                  <w:pPr>
                    <w:jc w:val="center"/>
                    <w:rPr>
                      <w:rFonts w:hint="eastAsia"/>
                      <w:highlight w:val="yellow"/>
                    </w:rPr>
                  </w:pPr>
                  <w:r>
                    <w:rPr>
                      <w:rFonts w:hint="eastAsia"/>
                      <w:highlight w:val="yellow"/>
                    </w:rPr>
                    <w:t>电芯制备间</w:t>
                  </w:r>
                </w:p>
              </w:tc>
            </w:tr>
            <w:tr w14:paraId="018C120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734" w:type="dxa"/>
                  <w:tcBorders>
                    <w:tl2br w:val="nil"/>
                    <w:tr2bl w:val="nil"/>
                  </w:tcBorders>
                  <w:vAlign w:val="center"/>
                </w:tcPr>
                <w:p w14:paraId="14F87BE9">
                  <w:pPr>
                    <w:numPr>
                      <w:ilvl w:val="0"/>
                      <w:numId w:val="9"/>
                    </w:numPr>
                    <w:jc w:val="center"/>
                    <w:rPr>
                      <w:szCs w:val="21"/>
                      <w:highlight w:val="yellow"/>
                    </w:rPr>
                  </w:pPr>
                </w:p>
              </w:tc>
              <w:tc>
                <w:tcPr>
                  <w:tcW w:w="1414" w:type="dxa"/>
                  <w:tcBorders>
                    <w:tl2br w:val="nil"/>
                    <w:tr2bl w:val="nil"/>
                  </w:tcBorders>
                  <w:shd w:val="clear" w:color="auto" w:fill="auto"/>
                  <w:vAlign w:val="center"/>
                </w:tcPr>
                <w:p w14:paraId="236D226E">
                  <w:pPr>
                    <w:jc w:val="center"/>
                    <w:rPr>
                      <w:highlight w:val="yellow"/>
                    </w:rPr>
                  </w:pPr>
                  <w:r>
                    <w:rPr>
                      <w:rFonts w:hint="eastAsia"/>
                      <w:highlight w:val="yellow"/>
                    </w:rPr>
                    <w:t>碳酸丙烯酯</w:t>
                  </w:r>
                </w:p>
              </w:tc>
              <w:tc>
                <w:tcPr>
                  <w:tcW w:w="1483" w:type="dxa"/>
                  <w:tcBorders>
                    <w:tl2br w:val="nil"/>
                    <w:tr2bl w:val="nil"/>
                  </w:tcBorders>
                  <w:shd w:val="clear" w:color="auto" w:fill="auto"/>
                  <w:vAlign w:val="center"/>
                </w:tcPr>
                <w:p w14:paraId="421AF57C">
                  <w:pPr>
                    <w:jc w:val="center"/>
                    <w:rPr>
                      <w:rFonts w:hint="eastAsia"/>
                      <w:highlight w:val="yellow"/>
                    </w:rPr>
                  </w:pPr>
                  <w:r>
                    <w:rPr>
                      <w:rFonts w:hint="eastAsia"/>
                      <w:highlight w:val="yellow"/>
                    </w:rPr>
                    <w:t>AR，98%</w:t>
                  </w:r>
                </w:p>
              </w:tc>
              <w:tc>
                <w:tcPr>
                  <w:tcW w:w="1543" w:type="dxa"/>
                  <w:tcBorders>
                    <w:tl2br w:val="nil"/>
                    <w:tr2bl w:val="nil"/>
                  </w:tcBorders>
                  <w:shd w:val="clear" w:color="auto" w:fill="auto"/>
                  <w:vAlign w:val="center"/>
                </w:tcPr>
                <w:p w14:paraId="7AF78BB8">
                  <w:pPr>
                    <w:jc w:val="center"/>
                    <w:rPr>
                      <w:rFonts w:hint="eastAsia"/>
                      <w:highlight w:val="yellow"/>
                    </w:rPr>
                  </w:pPr>
                  <w:r>
                    <w:rPr>
                      <w:rFonts w:hint="eastAsia"/>
                      <w:highlight w:val="yellow"/>
                    </w:rPr>
                    <w:t>3L</w:t>
                  </w:r>
                </w:p>
              </w:tc>
              <w:tc>
                <w:tcPr>
                  <w:tcW w:w="1588" w:type="dxa"/>
                  <w:tcBorders>
                    <w:tl2br w:val="nil"/>
                    <w:tr2bl w:val="nil"/>
                  </w:tcBorders>
                  <w:shd w:val="clear" w:color="auto" w:fill="auto"/>
                  <w:vAlign w:val="center"/>
                </w:tcPr>
                <w:p w14:paraId="4057FAAF">
                  <w:pPr>
                    <w:jc w:val="center"/>
                    <w:rPr>
                      <w:rFonts w:hint="eastAsia"/>
                      <w:highlight w:val="yellow"/>
                    </w:rPr>
                  </w:pPr>
                  <w:r>
                    <w:rPr>
                      <w:rFonts w:hint="eastAsia"/>
                      <w:highlight w:val="yellow"/>
                    </w:rPr>
                    <w:t>500mL</w:t>
                  </w:r>
                </w:p>
              </w:tc>
              <w:tc>
                <w:tcPr>
                  <w:tcW w:w="1588" w:type="dxa"/>
                  <w:tcBorders>
                    <w:tl2br w:val="nil"/>
                    <w:tr2bl w:val="nil"/>
                  </w:tcBorders>
                  <w:shd w:val="clear" w:color="auto" w:fill="auto"/>
                  <w:vAlign w:val="center"/>
                </w:tcPr>
                <w:p w14:paraId="08A97CA5">
                  <w:pPr>
                    <w:jc w:val="center"/>
                    <w:rPr>
                      <w:rFonts w:hint="eastAsia"/>
                      <w:highlight w:val="yellow"/>
                    </w:rPr>
                  </w:pPr>
                  <w:r>
                    <w:rPr>
                      <w:rFonts w:hint="eastAsia"/>
                      <w:highlight w:val="yellow"/>
                    </w:rPr>
                    <w:t>电芯制备间</w:t>
                  </w:r>
                </w:p>
              </w:tc>
            </w:tr>
            <w:tr w14:paraId="3093DAB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734" w:type="dxa"/>
                  <w:tcBorders>
                    <w:tl2br w:val="nil"/>
                    <w:tr2bl w:val="nil"/>
                  </w:tcBorders>
                  <w:vAlign w:val="center"/>
                </w:tcPr>
                <w:p w14:paraId="4A70BD78">
                  <w:pPr>
                    <w:numPr>
                      <w:ilvl w:val="0"/>
                      <w:numId w:val="9"/>
                    </w:numPr>
                    <w:jc w:val="center"/>
                    <w:rPr>
                      <w:szCs w:val="21"/>
                      <w:highlight w:val="yellow"/>
                    </w:rPr>
                  </w:pPr>
                </w:p>
              </w:tc>
              <w:tc>
                <w:tcPr>
                  <w:tcW w:w="1414" w:type="dxa"/>
                  <w:tcBorders>
                    <w:tl2br w:val="nil"/>
                    <w:tr2bl w:val="nil"/>
                  </w:tcBorders>
                  <w:shd w:val="clear" w:color="auto" w:fill="auto"/>
                  <w:vAlign w:val="center"/>
                </w:tcPr>
                <w:p w14:paraId="62216E79">
                  <w:pPr>
                    <w:jc w:val="center"/>
                    <w:rPr>
                      <w:rFonts w:hint="eastAsia"/>
                      <w:highlight w:val="yellow"/>
                    </w:rPr>
                  </w:pPr>
                  <w:r>
                    <w:rPr>
                      <w:rFonts w:hint="eastAsia"/>
                      <w:highlight w:val="yellow"/>
                    </w:rPr>
                    <w:t>碳酸锂</w:t>
                  </w:r>
                </w:p>
              </w:tc>
              <w:tc>
                <w:tcPr>
                  <w:tcW w:w="1483" w:type="dxa"/>
                  <w:tcBorders>
                    <w:tl2br w:val="nil"/>
                    <w:tr2bl w:val="nil"/>
                  </w:tcBorders>
                  <w:shd w:val="clear" w:color="auto" w:fill="auto"/>
                  <w:vAlign w:val="center"/>
                </w:tcPr>
                <w:p w14:paraId="3797F58B">
                  <w:pPr>
                    <w:jc w:val="center"/>
                    <w:rPr>
                      <w:rFonts w:hint="eastAsia"/>
                      <w:highlight w:val="yellow"/>
                    </w:rPr>
                  </w:pPr>
                  <w:r>
                    <w:rPr>
                      <w:rFonts w:hint="eastAsia"/>
                      <w:highlight w:val="yellow"/>
                    </w:rPr>
                    <w:t>AR，98%</w:t>
                  </w:r>
                </w:p>
              </w:tc>
              <w:tc>
                <w:tcPr>
                  <w:tcW w:w="1543" w:type="dxa"/>
                  <w:tcBorders>
                    <w:tl2br w:val="nil"/>
                    <w:tr2bl w:val="nil"/>
                  </w:tcBorders>
                  <w:shd w:val="clear" w:color="auto" w:fill="auto"/>
                  <w:vAlign w:val="center"/>
                </w:tcPr>
                <w:p w14:paraId="5BB3AA50">
                  <w:pPr>
                    <w:jc w:val="center"/>
                    <w:rPr>
                      <w:rFonts w:hint="eastAsia"/>
                      <w:highlight w:val="yellow"/>
                    </w:rPr>
                  </w:pPr>
                  <w:r>
                    <w:rPr>
                      <w:rFonts w:hint="eastAsia"/>
                      <w:highlight w:val="yellow"/>
                    </w:rPr>
                    <w:t>2kg</w:t>
                  </w:r>
                </w:p>
              </w:tc>
              <w:tc>
                <w:tcPr>
                  <w:tcW w:w="1588" w:type="dxa"/>
                  <w:tcBorders>
                    <w:tl2br w:val="nil"/>
                    <w:tr2bl w:val="nil"/>
                  </w:tcBorders>
                  <w:shd w:val="clear" w:color="auto" w:fill="auto"/>
                  <w:vAlign w:val="center"/>
                </w:tcPr>
                <w:p w14:paraId="1699B095">
                  <w:pPr>
                    <w:jc w:val="center"/>
                    <w:rPr>
                      <w:rFonts w:hint="eastAsia"/>
                      <w:highlight w:val="yellow"/>
                    </w:rPr>
                  </w:pPr>
                  <w:r>
                    <w:rPr>
                      <w:rFonts w:hint="eastAsia"/>
                      <w:highlight w:val="yellow"/>
                    </w:rPr>
                    <w:t>500g</w:t>
                  </w:r>
                </w:p>
              </w:tc>
              <w:tc>
                <w:tcPr>
                  <w:tcW w:w="1588" w:type="dxa"/>
                  <w:tcBorders>
                    <w:tl2br w:val="nil"/>
                    <w:tr2bl w:val="nil"/>
                  </w:tcBorders>
                  <w:shd w:val="clear" w:color="auto" w:fill="auto"/>
                  <w:vAlign w:val="center"/>
                </w:tcPr>
                <w:p w14:paraId="2117FEBA">
                  <w:pPr>
                    <w:jc w:val="center"/>
                    <w:rPr>
                      <w:rFonts w:hint="eastAsia"/>
                      <w:highlight w:val="yellow"/>
                    </w:rPr>
                  </w:pPr>
                  <w:r>
                    <w:rPr>
                      <w:rFonts w:hint="eastAsia"/>
                      <w:highlight w:val="yellow"/>
                    </w:rPr>
                    <w:t>电芯制备间</w:t>
                  </w:r>
                </w:p>
              </w:tc>
            </w:tr>
            <w:tr w14:paraId="5E8353D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734" w:type="dxa"/>
                  <w:tcBorders>
                    <w:tl2br w:val="nil"/>
                    <w:tr2bl w:val="nil"/>
                  </w:tcBorders>
                  <w:vAlign w:val="center"/>
                </w:tcPr>
                <w:p w14:paraId="013AD7A9">
                  <w:pPr>
                    <w:numPr>
                      <w:ilvl w:val="0"/>
                      <w:numId w:val="9"/>
                    </w:numPr>
                    <w:jc w:val="center"/>
                    <w:rPr>
                      <w:szCs w:val="21"/>
                      <w:highlight w:val="yellow"/>
                    </w:rPr>
                  </w:pPr>
                </w:p>
              </w:tc>
              <w:tc>
                <w:tcPr>
                  <w:tcW w:w="1414" w:type="dxa"/>
                  <w:tcBorders>
                    <w:tl2br w:val="nil"/>
                    <w:tr2bl w:val="nil"/>
                  </w:tcBorders>
                  <w:shd w:val="clear" w:color="auto" w:fill="auto"/>
                  <w:vAlign w:val="center"/>
                </w:tcPr>
                <w:p w14:paraId="2039B918">
                  <w:pPr>
                    <w:jc w:val="center"/>
                    <w:rPr>
                      <w:highlight w:val="yellow"/>
                    </w:rPr>
                  </w:pPr>
                  <w:r>
                    <w:rPr>
                      <w:rFonts w:hint="eastAsia"/>
                      <w:szCs w:val="21"/>
                      <w:highlight w:val="yellow"/>
                    </w:rPr>
                    <w:t>柠檬酸</w:t>
                  </w:r>
                </w:p>
              </w:tc>
              <w:tc>
                <w:tcPr>
                  <w:tcW w:w="1483" w:type="dxa"/>
                  <w:tcBorders>
                    <w:tl2br w:val="nil"/>
                    <w:tr2bl w:val="nil"/>
                  </w:tcBorders>
                  <w:shd w:val="clear" w:color="auto" w:fill="auto"/>
                  <w:vAlign w:val="center"/>
                </w:tcPr>
                <w:p w14:paraId="608344D2">
                  <w:pPr>
                    <w:jc w:val="center"/>
                    <w:rPr>
                      <w:rFonts w:hint="eastAsia"/>
                      <w:highlight w:val="yellow"/>
                    </w:rPr>
                  </w:pPr>
                  <w:r>
                    <w:rPr>
                      <w:rFonts w:hint="eastAsia"/>
                      <w:highlight w:val="yellow"/>
                    </w:rPr>
                    <w:t>AR，98%</w:t>
                  </w:r>
                </w:p>
              </w:tc>
              <w:tc>
                <w:tcPr>
                  <w:tcW w:w="1543" w:type="dxa"/>
                  <w:tcBorders>
                    <w:tl2br w:val="nil"/>
                    <w:tr2bl w:val="nil"/>
                  </w:tcBorders>
                  <w:shd w:val="clear" w:color="auto" w:fill="auto"/>
                </w:tcPr>
                <w:p w14:paraId="353D917C">
                  <w:pPr>
                    <w:jc w:val="center"/>
                    <w:rPr>
                      <w:rFonts w:hint="eastAsia"/>
                      <w:highlight w:val="yellow"/>
                    </w:rPr>
                  </w:pPr>
                  <w:r>
                    <w:rPr>
                      <w:rFonts w:hint="eastAsia"/>
                      <w:szCs w:val="21"/>
                      <w:highlight w:val="yellow"/>
                    </w:rPr>
                    <w:t>2kg</w:t>
                  </w:r>
                </w:p>
              </w:tc>
              <w:tc>
                <w:tcPr>
                  <w:tcW w:w="1588" w:type="dxa"/>
                  <w:tcBorders>
                    <w:tl2br w:val="nil"/>
                    <w:tr2bl w:val="nil"/>
                  </w:tcBorders>
                  <w:shd w:val="clear" w:color="auto" w:fill="auto"/>
                  <w:vAlign w:val="center"/>
                </w:tcPr>
                <w:p w14:paraId="3596C3B8">
                  <w:pPr>
                    <w:jc w:val="center"/>
                    <w:rPr>
                      <w:rFonts w:hint="eastAsia"/>
                      <w:highlight w:val="yellow"/>
                    </w:rPr>
                  </w:pPr>
                  <w:r>
                    <w:rPr>
                      <w:rFonts w:hint="eastAsia"/>
                      <w:szCs w:val="21"/>
                      <w:highlight w:val="yellow"/>
                    </w:rPr>
                    <w:t>500g</w:t>
                  </w:r>
                </w:p>
              </w:tc>
              <w:tc>
                <w:tcPr>
                  <w:tcW w:w="1588" w:type="dxa"/>
                  <w:tcBorders>
                    <w:tl2br w:val="nil"/>
                    <w:tr2bl w:val="nil"/>
                  </w:tcBorders>
                  <w:shd w:val="clear" w:color="auto" w:fill="auto"/>
                  <w:vAlign w:val="center"/>
                </w:tcPr>
                <w:p w14:paraId="3419AF4C">
                  <w:pPr>
                    <w:jc w:val="center"/>
                    <w:rPr>
                      <w:highlight w:val="yellow"/>
                    </w:rPr>
                  </w:pPr>
                  <w:r>
                    <w:rPr>
                      <w:rFonts w:hint="eastAsia"/>
                      <w:highlight w:val="yellow"/>
                    </w:rPr>
                    <w:t>配料间</w:t>
                  </w:r>
                </w:p>
              </w:tc>
            </w:tr>
            <w:tr w14:paraId="085C75A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734" w:type="dxa"/>
                  <w:tcBorders>
                    <w:tl2br w:val="nil"/>
                    <w:tr2bl w:val="nil"/>
                  </w:tcBorders>
                  <w:vAlign w:val="center"/>
                </w:tcPr>
                <w:p w14:paraId="5EC81C62">
                  <w:pPr>
                    <w:numPr>
                      <w:ilvl w:val="0"/>
                      <w:numId w:val="9"/>
                    </w:numPr>
                    <w:jc w:val="center"/>
                    <w:rPr>
                      <w:szCs w:val="21"/>
                      <w:highlight w:val="yellow"/>
                    </w:rPr>
                  </w:pPr>
                </w:p>
              </w:tc>
              <w:tc>
                <w:tcPr>
                  <w:tcW w:w="1414" w:type="dxa"/>
                  <w:tcBorders>
                    <w:tl2br w:val="nil"/>
                    <w:tr2bl w:val="nil"/>
                  </w:tcBorders>
                  <w:shd w:val="clear" w:color="auto" w:fill="auto"/>
                  <w:vAlign w:val="center"/>
                </w:tcPr>
                <w:p w14:paraId="3DF5C63A">
                  <w:pPr>
                    <w:jc w:val="center"/>
                    <w:rPr>
                      <w:highlight w:val="yellow"/>
                    </w:rPr>
                  </w:pPr>
                  <w:r>
                    <w:rPr>
                      <w:rFonts w:hint="eastAsia"/>
                      <w:szCs w:val="21"/>
                      <w:highlight w:val="yellow"/>
                    </w:rPr>
                    <w:t>草酸</w:t>
                  </w:r>
                </w:p>
              </w:tc>
              <w:tc>
                <w:tcPr>
                  <w:tcW w:w="1483" w:type="dxa"/>
                  <w:tcBorders>
                    <w:tl2br w:val="nil"/>
                    <w:tr2bl w:val="nil"/>
                  </w:tcBorders>
                  <w:shd w:val="clear" w:color="auto" w:fill="auto"/>
                  <w:vAlign w:val="center"/>
                </w:tcPr>
                <w:p w14:paraId="18C264C2">
                  <w:pPr>
                    <w:jc w:val="center"/>
                    <w:rPr>
                      <w:rFonts w:hint="eastAsia"/>
                      <w:highlight w:val="yellow"/>
                    </w:rPr>
                  </w:pPr>
                  <w:r>
                    <w:rPr>
                      <w:rFonts w:hint="eastAsia"/>
                      <w:highlight w:val="yellow"/>
                    </w:rPr>
                    <w:t>AR，98%</w:t>
                  </w:r>
                </w:p>
              </w:tc>
              <w:tc>
                <w:tcPr>
                  <w:tcW w:w="1543" w:type="dxa"/>
                  <w:tcBorders>
                    <w:tl2br w:val="nil"/>
                    <w:tr2bl w:val="nil"/>
                  </w:tcBorders>
                  <w:shd w:val="clear" w:color="auto" w:fill="auto"/>
                </w:tcPr>
                <w:p w14:paraId="74A0171A">
                  <w:pPr>
                    <w:jc w:val="center"/>
                    <w:rPr>
                      <w:rFonts w:hint="eastAsia"/>
                      <w:highlight w:val="yellow"/>
                    </w:rPr>
                  </w:pPr>
                  <w:r>
                    <w:rPr>
                      <w:rFonts w:hint="eastAsia"/>
                      <w:szCs w:val="21"/>
                      <w:highlight w:val="yellow"/>
                    </w:rPr>
                    <w:t>1.5kg</w:t>
                  </w:r>
                </w:p>
              </w:tc>
              <w:tc>
                <w:tcPr>
                  <w:tcW w:w="1588" w:type="dxa"/>
                  <w:tcBorders>
                    <w:tl2br w:val="nil"/>
                    <w:tr2bl w:val="nil"/>
                  </w:tcBorders>
                  <w:shd w:val="clear" w:color="auto" w:fill="auto"/>
                  <w:vAlign w:val="center"/>
                </w:tcPr>
                <w:p w14:paraId="3CA33C3A">
                  <w:pPr>
                    <w:jc w:val="center"/>
                    <w:rPr>
                      <w:rFonts w:hint="eastAsia"/>
                      <w:highlight w:val="yellow"/>
                    </w:rPr>
                  </w:pPr>
                  <w:r>
                    <w:rPr>
                      <w:rFonts w:hint="eastAsia"/>
                      <w:szCs w:val="21"/>
                      <w:highlight w:val="yellow"/>
                    </w:rPr>
                    <w:t>500g</w:t>
                  </w:r>
                </w:p>
              </w:tc>
              <w:tc>
                <w:tcPr>
                  <w:tcW w:w="1588" w:type="dxa"/>
                  <w:tcBorders>
                    <w:tl2br w:val="nil"/>
                    <w:tr2bl w:val="nil"/>
                  </w:tcBorders>
                  <w:shd w:val="clear" w:color="auto" w:fill="auto"/>
                  <w:vAlign w:val="center"/>
                </w:tcPr>
                <w:p w14:paraId="5D4A599B">
                  <w:pPr>
                    <w:jc w:val="center"/>
                    <w:rPr>
                      <w:highlight w:val="yellow"/>
                    </w:rPr>
                  </w:pPr>
                  <w:r>
                    <w:rPr>
                      <w:rFonts w:hint="eastAsia"/>
                      <w:highlight w:val="yellow"/>
                    </w:rPr>
                    <w:t>配料间</w:t>
                  </w:r>
                </w:p>
              </w:tc>
            </w:tr>
            <w:tr w14:paraId="0265124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734" w:type="dxa"/>
                  <w:tcBorders>
                    <w:tl2br w:val="nil"/>
                    <w:tr2bl w:val="nil"/>
                  </w:tcBorders>
                  <w:vAlign w:val="center"/>
                </w:tcPr>
                <w:p w14:paraId="30B8DCBB">
                  <w:pPr>
                    <w:numPr>
                      <w:ilvl w:val="0"/>
                      <w:numId w:val="9"/>
                    </w:numPr>
                    <w:jc w:val="center"/>
                    <w:rPr>
                      <w:szCs w:val="21"/>
                      <w:highlight w:val="yellow"/>
                    </w:rPr>
                  </w:pPr>
                </w:p>
              </w:tc>
              <w:tc>
                <w:tcPr>
                  <w:tcW w:w="1414" w:type="dxa"/>
                  <w:tcBorders>
                    <w:tl2br w:val="nil"/>
                    <w:tr2bl w:val="nil"/>
                  </w:tcBorders>
                  <w:shd w:val="clear" w:color="auto" w:fill="auto"/>
                  <w:vAlign w:val="center"/>
                </w:tcPr>
                <w:p w14:paraId="3EF8C09C">
                  <w:pPr>
                    <w:jc w:val="center"/>
                    <w:rPr>
                      <w:highlight w:val="yellow"/>
                    </w:rPr>
                  </w:pPr>
                  <w:r>
                    <w:rPr>
                      <w:rFonts w:hint="eastAsia"/>
                      <w:szCs w:val="21"/>
                      <w:highlight w:val="yellow"/>
                    </w:rPr>
                    <w:t>葡萄糖</w:t>
                  </w:r>
                </w:p>
              </w:tc>
              <w:tc>
                <w:tcPr>
                  <w:tcW w:w="1483" w:type="dxa"/>
                  <w:tcBorders>
                    <w:tl2br w:val="nil"/>
                    <w:tr2bl w:val="nil"/>
                  </w:tcBorders>
                  <w:shd w:val="clear" w:color="auto" w:fill="auto"/>
                  <w:vAlign w:val="center"/>
                </w:tcPr>
                <w:p w14:paraId="6801EFDE">
                  <w:pPr>
                    <w:jc w:val="center"/>
                    <w:rPr>
                      <w:rFonts w:hint="eastAsia"/>
                      <w:highlight w:val="yellow"/>
                    </w:rPr>
                  </w:pPr>
                  <w:r>
                    <w:rPr>
                      <w:rFonts w:hint="eastAsia"/>
                      <w:highlight w:val="yellow"/>
                    </w:rPr>
                    <w:t>AR，98%</w:t>
                  </w:r>
                </w:p>
              </w:tc>
              <w:tc>
                <w:tcPr>
                  <w:tcW w:w="1543" w:type="dxa"/>
                  <w:tcBorders>
                    <w:tl2br w:val="nil"/>
                    <w:tr2bl w:val="nil"/>
                  </w:tcBorders>
                  <w:shd w:val="clear" w:color="auto" w:fill="auto"/>
                </w:tcPr>
                <w:p w14:paraId="2D5C17A1">
                  <w:pPr>
                    <w:jc w:val="center"/>
                    <w:rPr>
                      <w:rFonts w:hint="eastAsia"/>
                      <w:highlight w:val="yellow"/>
                    </w:rPr>
                  </w:pPr>
                  <w:r>
                    <w:rPr>
                      <w:rFonts w:hint="eastAsia"/>
                      <w:szCs w:val="21"/>
                      <w:highlight w:val="yellow"/>
                    </w:rPr>
                    <w:t>3.5kg</w:t>
                  </w:r>
                </w:p>
              </w:tc>
              <w:tc>
                <w:tcPr>
                  <w:tcW w:w="1588" w:type="dxa"/>
                  <w:tcBorders>
                    <w:tl2br w:val="nil"/>
                    <w:tr2bl w:val="nil"/>
                  </w:tcBorders>
                  <w:shd w:val="clear" w:color="auto" w:fill="auto"/>
                  <w:vAlign w:val="center"/>
                </w:tcPr>
                <w:p w14:paraId="41033841">
                  <w:pPr>
                    <w:jc w:val="center"/>
                    <w:rPr>
                      <w:rFonts w:hint="eastAsia"/>
                      <w:highlight w:val="yellow"/>
                    </w:rPr>
                  </w:pPr>
                  <w:r>
                    <w:rPr>
                      <w:rFonts w:hint="eastAsia"/>
                      <w:szCs w:val="21"/>
                      <w:highlight w:val="yellow"/>
                    </w:rPr>
                    <w:t>500g</w:t>
                  </w:r>
                </w:p>
              </w:tc>
              <w:tc>
                <w:tcPr>
                  <w:tcW w:w="1588" w:type="dxa"/>
                  <w:tcBorders>
                    <w:tl2br w:val="nil"/>
                    <w:tr2bl w:val="nil"/>
                  </w:tcBorders>
                  <w:shd w:val="clear" w:color="auto" w:fill="auto"/>
                  <w:vAlign w:val="center"/>
                </w:tcPr>
                <w:p w14:paraId="3391FB5E">
                  <w:pPr>
                    <w:jc w:val="center"/>
                    <w:rPr>
                      <w:highlight w:val="yellow"/>
                    </w:rPr>
                  </w:pPr>
                  <w:r>
                    <w:rPr>
                      <w:rFonts w:hint="eastAsia"/>
                      <w:highlight w:val="yellow"/>
                    </w:rPr>
                    <w:t>配料间</w:t>
                  </w:r>
                </w:p>
              </w:tc>
            </w:tr>
            <w:tr w14:paraId="3648CF5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734" w:type="dxa"/>
                  <w:tcBorders>
                    <w:tl2br w:val="nil"/>
                    <w:tr2bl w:val="nil"/>
                  </w:tcBorders>
                  <w:vAlign w:val="center"/>
                </w:tcPr>
                <w:p w14:paraId="10992B54">
                  <w:pPr>
                    <w:numPr>
                      <w:ilvl w:val="0"/>
                      <w:numId w:val="9"/>
                    </w:numPr>
                    <w:jc w:val="center"/>
                    <w:rPr>
                      <w:szCs w:val="21"/>
                      <w:highlight w:val="yellow"/>
                    </w:rPr>
                  </w:pPr>
                </w:p>
              </w:tc>
              <w:tc>
                <w:tcPr>
                  <w:tcW w:w="1414" w:type="dxa"/>
                  <w:tcBorders>
                    <w:tl2br w:val="nil"/>
                    <w:tr2bl w:val="nil"/>
                  </w:tcBorders>
                  <w:shd w:val="clear" w:color="auto" w:fill="auto"/>
                  <w:vAlign w:val="center"/>
                </w:tcPr>
                <w:p w14:paraId="5F1FFF3E">
                  <w:pPr>
                    <w:jc w:val="center"/>
                    <w:rPr>
                      <w:rFonts w:hint="eastAsia"/>
                      <w:szCs w:val="21"/>
                      <w:highlight w:val="yellow"/>
                    </w:rPr>
                  </w:pPr>
                  <w:r>
                    <w:rPr>
                      <w:rFonts w:hint="eastAsia"/>
                      <w:szCs w:val="21"/>
                      <w:highlight w:val="yellow"/>
                    </w:rPr>
                    <w:t>乙醇</w:t>
                  </w:r>
                </w:p>
              </w:tc>
              <w:tc>
                <w:tcPr>
                  <w:tcW w:w="1483" w:type="dxa"/>
                  <w:tcBorders>
                    <w:tl2br w:val="nil"/>
                    <w:tr2bl w:val="nil"/>
                  </w:tcBorders>
                  <w:shd w:val="clear" w:color="auto" w:fill="auto"/>
                  <w:vAlign w:val="center"/>
                </w:tcPr>
                <w:p w14:paraId="698FE389">
                  <w:pPr>
                    <w:jc w:val="center"/>
                    <w:rPr>
                      <w:rFonts w:hint="eastAsia"/>
                      <w:highlight w:val="yellow"/>
                    </w:rPr>
                  </w:pPr>
                  <w:r>
                    <w:rPr>
                      <w:rFonts w:hint="eastAsia"/>
                      <w:highlight w:val="yellow"/>
                    </w:rPr>
                    <w:t>AR，98%</w:t>
                  </w:r>
                </w:p>
              </w:tc>
              <w:tc>
                <w:tcPr>
                  <w:tcW w:w="1543" w:type="dxa"/>
                  <w:tcBorders>
                    <w:tl2br w:val="nil"/>
                    <w:tr2bl w:val="nil"/>
                  </w:tcBorders>
                  <w:shd w:val="clear" w:color="auto" w:fill="auto"/>
                </w:tcPr>
                <w:p w14:paraId="5018DBD4">
                  <w:pPr>
                    <w:jc w:val="center"/>
                    <w:rPr>
                      <w:rFonts w:hint="eastAsia"/>
                      <w:szCs w:val="21"/>
                      <w:highlight w:val="yellow"/>
                    </w:rPr>
                  </w:pPr>
                  <w:r>
                    <w:rPr>
                      <w:rFonts w:hint="eastAsia"/>
                      <w:szCs w:val="21"/>
                      <w:highlight w:val="yellow"/>
                      <w:lang w:val="en-US" w:eastAsia="zh-CN"/>
                    </w:rPr>
                    <w:t>5</w:t>
                  </w:r>
                  <w:r>
                    <w:rPr>
                      <w:rFonts w:hint="eastAsia"/>
                      <w:szCs w:val="21"/>
                      <w:highlight w:val="yellow"/>
                    </w:rPr>
                    <w:t>L</w:t>
                  </w:r>
                </w:p>
              </w:tc>
              <w:tc>
                <w:tcPr>
                  <w:tcW w:w="1588" w:type="dxa"/>
                  <w:tcBorders>
                    <w:tl2br w:val="nil"/>
                    <w:tr2bl w:val="nil"/>
                  </w:tcBorders>
                  <w:shd w:val="clear" w:color="auto" w:fill="auto"/>
                  <w:vAlign w:val="center"/>
                </w:tcPr>
                <w:p w14:paraId="64B644C8">
                  <w:pPr>
                    <w:jc w:val="center"/>
                    <w:rPr>
                      <w:rFonts w:hint="eastAsia"/>
                      <w:szCs w:val="21"/>
                      <w:highlight w:val="yellow"/>
                    </w:rPr>
                  </w:pPr>
                  <w:r>
                    <w:rPr>
                      <w:rFonts w:hint="eastAsia"/>
                      <w:szCs w:val="21"/>
                      <w:highlight w:val="yellow"/>
                    </w:rPr>
                    <w:t>5L</w:t>
                  </w:r>
                </w:p>
              </w:tc>
              <w:tc>
                <w:tcPr>
                  <w:tcW w:w="1588" w:type="dxa"/>
                  <w:tcBorders>
                    <w:tl2br w:val="nil"/>
                    <w:tr2bl w:val="nil"/>
                  </w:tcBorders>
                  <w:shd w:val="clear" w:color="auto" w:fill="auto"/>
                  <w:vAlign w:val="center"/>
                </w:tcPr>
                <w:p w14:paraId="3F7994A8">
                  <w:pPr>
                    <w:jc w:val="center"/>
                    <w:rPr>
                      <w:rFonts w:hint="eastAsia"/>
                      <w:highlight w:val="yellow"/>
                    </w:rPr>
                  </w:pPr>
                  <w:r>
                    <w:rPr>
                      <w:rFonts w:hint="eastAsia"/>
                      <w:highlight w:val="yellow"/>
                    </w:rPr>
                    <w:t>配料间</w:t>
                  </w:r>
                </w:p>
              </w:tc>
            </w:tr>
            <w:tr w14:paraId="3A9705A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734" w:type="dxa"/>
                  <w:tcBorders>
                    <w:tl2br w:val="nil"/>
                    <w:tr2bl w:val="nil"/>
                  </w:tcBorders>
                  <w:vAlign w:val="center"/>
                </w:tcPr>
                <w:p w14:paraId="1FC7A3F8">
                  <w:pPr>
                    <w:numPr>
                      <w:ilvl w:val="0"/>
                      <w:numId w:val="9"/>
                    </w:numPr>
                    <w:jc w:val="center"/>
                    <w:rPr>
                      <w:szCs w:val="21"/>
                      <w:highlight w:val="yellow"/>
                    </w:rPr>
                  </w:pPr>
                </w:p>
              </w:tc>
              <w:tc>
                <w:tcPr>
                  <w:tcW w:w="1414" w:type="dxa"/>
                  <w:tcBorders>
                    <w:tl2br w:val="nil"/>
                    <w:tr2bl w:val="nil"/>
                  </w:tcBorders>
                  <w:shd w:val="clear" w:color="auto" w:fill="auto"/>
                  <w:vAlign w:val="center"/>
                </w:tcPr>
                <w:p w14:paraId="48EA329E">
                  <w:pPr>
                    <w:jc w:val="center"/>
                    <w:rPr>
                      <w:rFonts w:hint="eastAsia"/>
                      <w:szCs w:val="21"/>
                      <w:highlight w:val="yellow"/>
                    </w:rPr>
                  </w:pPr>
                  <w:r>
                    <w:rPr>
                      <w:rFonts w:hint="eastAsia"/>
                      <w:szCs w:val="21"/>
                      <w:highlight w:val="yellow"/>
                    </w:rPr>
                    <w:t>聚乙二醇</w:t>
                  </w:r>
                </w:p>
              </w:tc>
              <w:tc>
                <w:tcPr>
                  <w:tcW w:w="1483" w:type="dxa"/>
                  <w:tcBorders>
                    <w:tl2br w:val="nil"/>
                    <w:tr2bl w:val="nil"/>
                  </w:tcBorders>
                  <w:shd w:val="clear" w:color="auto" w:fill="auto"/>
                  <w:vAlign w:val="center"/>
                </w:tcPr>
                <w:p w14:paraId="5BA4A2DA">
                  <w:pPr>
                    <w:jc w:val="center"/>
                    <w:rPr>
                      <w:rFonts w:hint="eastAsia"/>
                      <w:highlight w:val="yellow"/>
                    </w:rPr>
                  </w:pPr>
                  <w:r>
                    <w:rPr>
                      <w:rFonts w:hint="eastAsia"/>
                      <w:highlight w:val="yellow"/>
                    </w:rPr>
                    <w:t>AR，98%</w:t>
                  </w:r>
                </w:p>
              </w:tc>
              <w:tc>
                <w:tcPr>
                  <w:tcW w:w="1543" w:type="dxa"/>
                  <w:tcBorders>
                    <w:tl2br w:val="nil"/>
                    <w:tr2bl w:val="nil"/>
                  </w:tcBorders>
                  <w:shd w:val="clear" w:color="auto" w:fill="auto"/>
                </w:tcPr>
                <w:p w14:paraId="56085BA9">
                  <w:pPr>
                    <w:jc w:val="center"/>
                    <w:rPr>
                      <w:rFonts w:hint="eastAsia"/>
                      <w:szCs w:val="21"/>
                      <w:highlight w:val="yellow"/>
                    </w:rPr>
                  </w:pPr>
                  <w:r>
                    <w:rPr>
                      <w:rFonts w:hint="eastAsia"/>
                      <w:szCs w:val="21"/>
                      <w:highlight w:val="yellow"/>
                    </w:rPr>
                    <w:t>2kg</w:t>
                  </w:r>
                </w:p>
              </w:tc>
              <w:tc>
                <w:tcPr>
                  <w:tcW w:w="1588" w:type="dxa"/>
                  <w:tcBorders>
                    <w:tl2br w:val="nil"/>
                    <w:tr2bl w:val="nil"/>
                  </w:tcBorders>
                  <w:shd w:val="clear" w:color="auto" w:fill="auto"/>
                  <w:vAlign w:val="center"/>
                </w:tcPr>
                <w:p w14:paraId="19B153C4">
                  <w:pPr>
                    <w:jc w:val="center"/>
                    <w:rPr>
                      <w:rFonts w:hint="eastAsia"/>
                      <w:szCs w:val="21"/>
                      <w:highlight w:val="yellow"/>
                    </w:rPr>
                  </w:pPr>
                  <w:r>
                    <w:rPr>
                      <w:rFonts w:hint="eastAsia"/>
                      <w:szCs w:val="21"/>
                      <w:highlight w:val="yellow"/>
                    </w:rPr>
                    <w:t>500g</w:t>
                  </w:r>
                </w:p>
              </w:tc>
              <w:tc>
                <w:tcPr>
                  <w:tcW w:w="1588" w:type="dxa"/>
                  <w:tcBorders>
                    <w:tl2br w:val="nil"/>
                    <w:tr2bl w:val="nil"/>
                  </w:tcBorders>
                  <w:shd w:val="clear" w:color="auto" w:fill="auto"/>
                  <w:vAlign w:val="center"/>
                </w:tcPr>
                <w:p w14:paraId="42E732DC">
                  <w:pPr>
                    <w:jc w:val="center"/>
                    <w:rPr>
                      <w:rFonts w:hint="eastAsia"/>
                      <w:highlight w:val="yellow"/>
                    </w:rPr>
                  </w:pPr>
                  <w:r>
                    <w:rPr>
                      <w:rFonts w:hint="eastAsia"/>
                      <w:highlight w:val="yellow"/>
                    </w:rPr>
                    <w:t>配料间</w:t>
                  </w:r>
                </w:p>
              </w:tc>
            </w:tr>
            <w:tr w14:paraId="28E21AA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734" w:type="dxa"/>
                  <w:tcBorders>
                    <w:tl2br w:val="nil"/>
                    <w:tr2bl w:val="nil"/>
                  </w:tcBorders>
                  <w:vAlign w:val="center"/>
                </w:tcPr>
                <w:p w14:paraId="4A782D26">
                  <w:pPr>
                    <w:numPr>
                      <w:ilvl w:val="0"/>
                      <w:numId w:val="9"/>
                    </w:numPr>
                    <w:jc w:val="center"/>
                    <w:rPr>
                      <w:szCs w:val="21"/>
                      <w:highlight w:val="yellow"/>
                    </w:rPr>
                  </w:pPr>
                </w:p>
              </w:tc>
              <w:tc>
                <w:tcPr>
                  <w:tcW w:w="1414" w:type="dxa"/>
                  <w:tcBorders>
                    <w:tl2br w:val="nil"/>
                    <w:tr2bl w:val="nil"/>
                  </w:tcBorders>
                  <w:shd w:val="clear" w:color="auto" w:fill="auto"/>
                  <w:vAlign w:val="center"/>
                </w:tcPr>
                <w:p w14:paraId="7F68D967">
                  <w:pPr>
                    <w:jc w:val="center"/>
                    <w:rPr>
                      <w:rFonts w:hint="eastAsia"/>
                      <w:szCs w:val="21"/>
                      <w:highlight w:val="yellow"/>
                    </w:rPr>
                  </w:pPr>
                  <w:r>
                    <w:rPr>
                      <w:rFonts w:hint="eastAsia"/>
                      <w:szCs w:val="21"/>
                      <w:highlight w:val="yellow"/>
                    </w:rPr>
                    <w:t>碳酸钠</w:t>
                  </w:r>
                </w:p>
              </w:tc>
              <w:tc>
                <w:tcPr>
                  <w:tcW w:w="1483" w:type="dxa"/>
                  <w:tcBorders>
                    <w:tl2br w:val="nil"/>
                    <w:tr2bl w:val="nil"/>
                  </w:tcBorders>
                  <w:shd w:val="clear" w:color="auto" w:fill="auto"/>
                  <w:vAlign w:val="center"/>
                </w:tcPr>
                <w:p w14:paraId="74693302">
                  <w:pPr>
                    <w:jc w:val="center"/>
                    <w:rPr>
                      <w:rFonts w:hint="eastAsia"/>
                      <w:highlight w:val="yellow"/>
                    </w:rPr>
                  </w:pPr>
                  <w:r>
                    <w:rPr>
                      <w:rFonts w:hint="eastAsia"/>
                      <w:highlight w:val="yellow"/>
                    </w:rPr>
                    <w:t>AR，98%</w:t>
                  </w:r>
                </w:p>
              </w:tc>
              <w:tc>
                <w:tcPr>
                  <w:tcW w:w="1543" w:type="dxa"/>
                  <w:tcBorders>
                    <w:tl2br w:val="nil"/>
                    <w:tr2bl w:val="nil"/>
                  </w:tcBorders>
                  <w:shd w:val="clear" w:color="auto" w:fill="auto"/>
                </w:tcPr>
                <w:p w14:paraId="02D6D7D4">
                  <w:pPr>
                    <w:jc w:val="center"/>
                    <w:rPr>
                      <w:rFonts w:hint="eastAsia"/>
                      <w:szCs w:val="21"/>
                      <w:highlight w:val="yellow"/>
                    </w:rPr>
                  </w:pPr>
                  <w:r>
                    <w:rPr>
                      <w:rFonts w:hint="eastAsia"/>
                      <w:szCs w:val="21"/>
                      <w:highlight w:val="yellow"/>
                    </w:rPr>
                    <w:t>4kg</w:t>
                  </w:r>
                </w:p>
              </w:tc>
              <w:tc>
                <w:tcPr>
                  <w:tcW w:w="1588" w:type="dxa"/>
                  <w:tcBorders>
                    <w:tl2br w:val="nil"/>
                    <w:tr2bl w:val="nil"/>
                  </w:tcBorders>
                  <w:shd w:val="clear" w:color="auto" w:fill="auto"/>
                  <w:vAlign w:val="center"/>
                </w:tcPr>
                <w:p w14:paraId="07229C7D">
                  <w:pPr>
                    <w:jc w:val="center"/>
                    <w:rPr>
                      <w:rFonts w:hint="eastAsia"/>
                      <w:szCs w:val="21"/>
                      <w:highlight w:val="yellow"/>
                    </w:rPr>
                  </w:pPr>
                  <w:r>
                    <w:rPr>
                      <w:rFonts w:hint="eastAsia"/>
                      <w:szCs w:val="21"/>
                      <w:highlight w:val="yellow"/>
                    </w:rPr>
                    <w:t>500g</w:t>
                  </w:r>
                </w:p>
              </w:tc>
              <w:tc>
                <w:tcPr>
                  <w:tcW w:w="1588" w:type="dxa"/>
                  <w:tcBorders>
                    <w:tl2br w:val="nil"/>
                    <w:tr2bl w:val="nil"/>
                  </w:tcBorders>
                  <w:shd w:val="clear" w:color="auto" w:fill="auto"/>
                  <w:vAlign w:val="center"/>
                </w:tcPr>
                <w:p w14:paraId="55DA0AED">
                  <w:pPr>
                    <w:jc w:val="center"/>
                    <w:rPr>
                      <w:rFonts w:hint="eastAsia"/>
                      <w:highlight w:val="yellow"/>
                    </w:rPr>
                  </w:pPr>
                  <w:r>
                    <w:rPr>
                      <w:rFonts w:hint="eastAsia"/>
                      <w:highlight w:val="yellow"/>
                    </w:rPr>
                    <w:t>配料间</w:t>
                  </w:r>
                </w:p>
              </w:tc>
            </w:tr>
            <w:tr w14:paraId="1A4EEB7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734" w:type="dxa"/>
                  <w:tcBorders>
                    <w:tl2br w:val="nil"/>
                    <w:tr2bl w:val="nil"/>
                  </w:tcBorders>
                  <w:vAlign w:val="center"/>
                </w:tcPr>
                <w:p w14:paraId="40F0D1DA">
                  <w:pPr>
                    <w:numPr>
                      <w:ilvl w:val="0"/>
                      <w:numId w:val="9"/>
                    </w:numPr>
                    <w:jc w:val="center"/>
                    <w:rPr>
                      <w:szCs w:val="21"/>
                      <w:highlight w:val="yellow"/>
                    </w:rPr>
                  </w:pPr>
                </w:p>
              </w:tc>
              <w:tc>
                <w:tcPr>
                  <w:tcW w:w="1414" w:type="dxa"/>
                  <w:tcBorders>
                    <w:tl2br w:val="nil"/>
                    <w:tr2bl w:val="nil"/>
                  </w:tcBorders>
                  <w:shd w:val="clear" w:color="auto" w:fill="auto"/>
                  <w:vAlign w:val="center"/>
                </w:tcPr>
                <w:p w14:paraId="71AF813E">
                  <w:pPr>
                    <w:jc w:val="center"/>
                    <w:rPr>
                      <w:rFonts w:hint="eastAsia"/>
                      <w:szCs w:val="21"/>
                      <w:highlight w:val="yellow"/>
                    </w:rPr>
                  </w:pPr>
                  <w:r>
                    <w:rPr>
                      <w:rFonts w:hint="eastAsia"/>
                      <w:szCs w:val="21"/>
                      <w:highlight w:val="yellow"/>
                    </w:rPr>
                    <w:t>草酸锂</w:t>
                  </w:r>
                </w:p>
              </w:tc>
              <w:tc>
                <w:tcPr>
                  <w:tcW w:w="1483" w:type="dxa"/>
                  <w:tcBorders>
                    <w:tl2br w:val="nil"/>
                    <w:tr2bl w:val="nil"/>
                  </w:tcBorders>
                  <w:shd w:val="clear" w:color="auto" w:fill="auto"/>
                  <w:vAlign w:val="center"/>
                </w:tcPr>
                <w:p w14:paraId="74FE1AAF">
                  <w:pPr>
                    <w:jc w:val="center"/>
                    <w:rPr>
                      <w:rFonts w:hint="eastAsia"/>
                      <w:highlight w:val="yellow"/>
                    </w:rPr>
                  </w:pPr>
                  <w:r>
                    <w:rPr>
                      <w:rFonts w:hint="eastAsia"/>
                      <w:highlight w:val="yellow"/>
                    </w:rPr>
                    <w:t>AR，98%</w:t>
                  </w:r>
                </w:p>
              </w:tc>
              <w:tc>
                <w:tcPr>
                  <w:tcW w:w="1543" w:type="dxa"/>
                  <w:tcBorders>
                    <w:tl2br w:val="nil"/>
                    <w:tr2bl w:val="nil"/>
                  </w:tcBorders>
                  <w:shd w:val="clear" w:color="auto" w:fill="auto"/>
                </w:tcPr>
                <w:p w14:paraId="5352B2D2">
                  <w:pPr>
                    <w:jc w:val="center"/>
                    <w:rPr>
                      <w:rFonts w:hint="eastAsia"/>
                      <w:szCs w:val="21"/>
                      <w:highlight w:val="yellow"/>
                    </w:rPr>
                  </w:pPr>
                  <w:r>
                    <w:rPr>
                      <w:rFonts w:hint="eastAsia"/>
                      <w:szCs w:val="21"/>
                      <w:highlight w:val="yellow"/>
                    </w:rPr>
                    <w:t>2kg</w:t>
                  </w:r>
                </w:p>
              </w:tc>
              <w:tc>
                <w:tcPr>
                  <w:tcW w:w="1588" w:type="dxa"/>
                  <w:tcBorders>
                    <w:tl2br w:val="nil"/>
                    <w:tr2bl w:val="nil"/>
                  </w:tcBorders>
                  <w:shd w:val="clear" w:color="auto" w:fill="auto"/>
                  <w:vAlign w:val="center"/>
                </w:tcPr>
                <w:p w14:paraId="26A2F6E3">
                  <w:pPr>
                    <w:jc w:val="center"/>
                    <w:rPr>
                      <w:rFonts w:hint="eastAsia"/>
                      <w:szCs w:val="21"/>
                      <w:highlight w:val="yellow"/>
                    </w:rPr>
                  </w:pPr>
                  <w:r>
                    <w:rPr>
                      <w:rFonts w:hint="eastAsia"/>
                      <w:szCs w:val="21"/>
                      <w:highlight w:val="yellow"/>
                    </w:rPr>
                    <w:t>500g</w:t>
                  </w:r>
                </w:p>
              </w:tc>
              <w:tc>
                <w:tcPr>
                  <w:tcW w:w="1588" w:type="dxa"/>
                  <w:tcBorders>
                    <w:tl2br w:val="nil"/>
                    <w:tr2bl w:val="nil"/>
                  </w:tcBorders>
                  <w:shd w:val="clear" w:color="auto" w:fill="auto"/>
                  <w:vAlign w:val="center"/>
                </w:tcPr>
                <w:p w14:paraId="54E618B6">
                  <w:pPr>
                    <w:jc w:val="center"/>
                    <w:rPr>
                      <w:rFonts w:hint="eastAsia"/>
                      <w:highlight w:val="yellow"/>
                    </w:rPr>
                  </w:pPr>
                  <w:r>
                    <w:rPr>
                      <w:rFonts w:hint="eastAsia"/>
                      <w:highlight w:val="yellow"/>
                    </w:rPr>
                    <w:t>配料间</w:t>
                  </w:r>
                </w:p>
              </w:tc>
            </w:tr>
            <w:tr w14:paraId="54487CD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734" w:type="dxa"/>
                  <w:tcBorders>
                    <w:tl2br w:val="nil"/>
                    <w:tr2bl w:val="nil"/>
                  </w:tcBorders>
                  <w:vAlign w:val="center"/>
                </w:tcPr>
                <w:p w14:paraId="3A418533">
                  <w:pPr>
                    <w:numPr>
                      <w:ilvl w:val="0"/>
                      <w:numId w:val="9"/>
                    </w:numPr>
                    <w:jc w:val="center"/>
                    <w:rPr>
                      <w:szCs w:val="21"/>
                      <w:highlight w:val="yellow"/>
                    </w:rPr>
                  </w:pPr>
                </w:p>
              </w:tc>
              <w:tc>
                <w:tcPr>
                  <w:tcW w:w="1414" w:type="dxa"/>
                  <w:tcBorders>
                    <w:tl2br w:val="nil"/>
                    <w:tr2bl w:val="nil"/>
                  </w:tcBorders>
                  <w:shd w:val="clear" w:color="auto" w:fill="auto"/>
                  <w:vAlign w:val="center"/>
                </w:tcPr>
                <w:p w14:paraId="7E9FCF83">
                  <w:pPr>
                    <w:jc w:val="center"/>
                    <w:rPr>
                      <w:rFonts w:hint="eastAsia"/>
                      <w:szCs w:val="21"/>
                      <w:highlight w:val="yellow"/>
                    </w:rPr>
                  </w:pPr>
                  <w:r>
                    <w:rPr>
                      <w:rFonts w:hint="eastAsia"/>
                      <w:szCs w:val="21"/>
                      <w:highlight w:val="yellow"/>
                    </w:rPr>
                    <w:t>硫酸亚铁</w:t>
                  </w:r>
                </w:p>
              </w:tc>
              <w:tc>
                <w:tcPr>
                  <w:tcW w:w="1483" w:type="dxa"/>
                  <w:tcBorders>
                    <w:tl2br w:val="nil"/>
                    <w:tr2bl w:val="nil"/>
                  </w:tcBorders>
                  <w:shd w:val="clear" w:color="auto" w:fill="auto"/>
                  <w:vAlign w:val="center"/>
                </w:tcPr>
                <w:p w14:paraId="53E8DA90">
                  <w:pPr>
                    <w:jc w:val="center"/>
                    <w:rPr>
                      <w:rFonts w:hint="eastAsia"/>
                      <w:highlight w:val="yellow"/>
                    </w:rPr>
                  </w:pPr>
                  <w:r>
                    <w:rPr>
                      <w:rFonts w:hint="eastAsia"/>
                      <w:highlight w:val="yellow"/>
                    </w:rPr>
                    <w:t>AR，98%</w:t>
                  </w:r>
                </w:p>
              </w:tc>
              <w:tc>
                <w:tcPr>
                  <w:tcW w:w="1543" w:type="dxa"/>
                  <w:tcBorders>
                    <w:tl2br w:val="nil"/>
                    <w:tr2bl w:val="nil"/>
                  </w:tcBorders>
                  <w:shd w:val="clear" w:color="auto" w:fill="auto"/>
                </w:tcPr>
                <w:p w14:paraId="27159776">
                  <w:pPr>
                    <w:jc w:val="center"/>
                    <w:rPr>
                      <w:rFonts w:hint="eastAsia"/>
                      <w:szCs w:val="21"/>
                      <w:highlight w:val="yellow"/>
                    </w:rPr>
                  </w:pPr>
                  <w:r>
                    <w:rPr>
                      <w:rFonts w:hint="eastAsia"/>
                      <w:szCs w:val="21"/>
                      <w:highlight w:val="yellow"/>
                    </w:rPr>
                    <w:t>5.5kg</w:t>
                  </w:r>
                </w:p>
              </w:tc>
              <w:tc>
                <w:tcPr>
                  <w:tcW w:w="1588" w:type="dxa"/>
                  <w:tcBorders>
                    <w:tl2br w:val="nil"/>
                    <w:tr2bl w:val="nil"/>
                  </w:tcBorders>
                  <w:shd w:val="clear" w:color="auto" w:fill="auto"/>
                  <w:vAlign w:val="center"/>
                </w:tcPr>
                <w:p w14:paraId="026058D8">
                  <w:pPr>
                    <w:jc w:val="center"/>
                    <w:rPr>
                      <w:rFonts w:hint="eastAsia"/>
                      <w:szCs w:val="21"/>
                      <w:highlight w:val="yellow"/>
                    </w:rPr>
                  </w:pPr>
                  <w:r>
                    <w:rPr>
                      <w:rFonts w:hint="eastAsia"/>
                      <w:szCs w:val="21"/>
                      <w:highlight w:val="yellow"/>
                    </w:rPr>
                    <w:t>500g</w:t>
                  </w:r>
                </w:p>
              </w:tc>
              <w:tc>
                <w:tcPr>
                  <w:tcW w:w="1588" w:type="dxa"/>
                  <w:tcBorders>
                    <w:tl2br w:val="nil"/>
                    <w:tr2bl w:val="nil"/>
                  </w:tcBorders>
                  <w:shd w:val="clear" w:color="auto" w:fill="auto"/>
                  <w:vAlign w:val="center"/>
                </w:tcPr>
                <w:p w14:paraId="453D1B2E">
                  <w:pPr>
                    <w:jc w:val="center"/>
                    <w:rPr>
                      <w:rFonts w:hint="eastAsia"/>
                      <w:highlight w:val="yellow"/>
                    </w:rPr>
                  </w:pPr>
                  <w:r>
                    <w:rPr>
                      <w:rFonts w:hint="eastAsia"/>
                      <w:highlight w:val="yellow"/>
                    </w:rPr>
                    <w:t>配料间</w:t>
                  </w:r>
                </w:p>
              </w:tc>
            </w:tr>
            <w:tr w14:paraId="623A8A4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734" w:type="dxa"/>
                  <w:tcBorders>
                    <w:tl2br w:val="nil"/>
                    <w:tr2bl w:val="nil"/>
                  </w:tcBorders>
                  <w:vAlign w:val="center"/>
                </w:tcPr>
                <w:p w14:paraId="4B72C39F">
                  <w:pPr>
                    <w:numPr>
                      <w:ilvl w:val="0"/>
                      <w:numId w:val="9"/>
                    </w:numPr>
                    <w:jc w:val="center"/>
                    <w:rPr>
                      <w:szCs w:val="21"/>
                      <w:highlight w:val="yellow"/>
                    </w:rPr>
                  </w:pPr>
                </w:p>
              </w:tc>
              <w:tc>
                <w:tcPr>
                  <w:tcW w:w="1414" w:type="dxa"/>
                  <w:tcBorders>
                    <w:tl2br w:val="nil"/>
                    <w:tr2bl w:val="nil"/>
                  </w:tcBorders>
                  <w:shd w:val="clear" w:color="auto" w:fill="auto"/>
                  <w:vAlign w:val="center"/>
                </w:tcPr>
                <w:p w14:paraId="0CC7759E">
                  <w:pPr>
                    <w:jc w:val="center"/>
                    <w:rPr>
                      <w:rFonts w:hint="eastAsia"/>
                      <w:szCs w:val="21"/>
                      <w:highlight w:val="yellow"/>
                    </w:rPr>
                  </w:pPr>
                  <w:r>
                    <w:rPr>
                      <w:rFonts w:hint="eastAsia"/>
                      <w:szCs w:val="21"/>
                      <w:highlight w:val="yellow"/>
                    </w:rPr>
                    <w:t>氩气</w:t>
                  </w:r>
                </w:p>
              </w:tc>
              <w:tc>
                <w:tcPr>
                  <w:tcW w:w="1483" w:type="dxa"/>
                  <w:tcBorders>
                    <w:tl2br w:val="nil"/>
                    <w:tr2bl w:val="nil"/>
                  </w:tcBorders>
                  <w:shd w:val="clear" w:color="auto" w:fill="auto"/>
                </w:tcPr>
                <w:p w14:paraId="5AF7F37B">
                  <w:pPr>
                    <w:rPr>
                      <w:rFonts w:hint="eastAsia"/>
                      <w:highlight w:val="yellow"/>
                    </w:rPr>
                  </w:pPr>
                  <w:r>
                    <w:rPr>
                      <w:rFonts w:hint="eastAsia"/>
                      <w:highlight w:val="yellow"/>
                    </w:rPr>
                    <w:t>99.99%，40L/瓶</w:t>
                  </w:r>
                </w:p>
              </w:tc>
              <w:tc>
                <w:tcPr>
                  <w:tcW w:w="1543" w:type="dxa"/>
                  <w:tcBorders>
                    <w:tl2br w:val="nil"/>
                    <w:tr2bl w:val="nil"/>
                  </w:tcBorders>
                  <w:shd w:val="clear" w:color="auto" w:fill="auto"/>
                </w:tcPr>
                <w:p w14:paraId="7544A1A7">
                  <w:pPr>
                    <w:jc w:val="center"/>
                    <w:rPr>
                      <w:rFonts w:hint="eastAsia"/>
                      <w:szCs w:val="21"/>
                      <w:highlight w:val="yellow"/>
                    </w:rPr>
                  </w:pPr>
                  <w:r>
                    <w:rPr>
                      <w:rFonts w:hint="eastAsia"/>
                      <w:szCs w:val="21"/>
                      <w:highlight w:val="yellow"/>
                    </w:rPr>
                    <w:t>45瓶</w:t>
                  </w:r>
                </w:p>
              </w:tc>
              <w:tc>
                <w:tcPr>
                  <w:tcW w:w="1588" w:type="dxa"/>
                  <w:tcBorders>
                    <w:tl2br w:val="nil"/>
                    <w:tr2bl w:val="nil"/>
                  </w:tcBorders>
                  <w:shd w:val="clear" w:color="auto" w:fill="auto"/>
                  <w:vAlign w:val="center"/>
                </w:tcPr>
                <w:p w14:paraId="64FA7A0E">
                  <w:pPr>
                    <w:jc w:val="center"/>
                    <w:rPr>
                      <w:rFonts w:hint="eastAsia"/>
                      <w:szCs w:val="21"/>
                      <w:highlight w:val="yellow"/>
                    </w:rPr>
                  </w:pPr>
                  <w:r>
                    <w:rPr>
                      <w:rFonts w:hint="eastAsia"/>
                      <w:szCs w:val="21"/>
                      <w:highlight w:val="yellow"/>
                    </w:rPr>
                    <w:t>4瓶</w:t>
                  </w:r>
                </w:p>
              </w:tc>
              <w:tc>
                <w:tcPr>
                  <w:tcW w:w="1588" w:type="dxa"/>
                  <w:tcBorders>
                    <w:tl2br w:val="nil"/>
                    <w:tr2bl w:val="nil"/>
                  </w:tcBorders>
                  <w:shd w:val="clear" w:color="auto" w:fill="auto"/>
                  <w:vAlign w:val="center"/>
                </w:tcPr>
                <w:p w14:paraId="7829449F">
                  <w:pPr>
                    <w:jc w:val="center"/>
                    <w:rPr>
                      <w:rFonts w:hint="eastAsia"/>
                      <w:highlight w:val="yellow"/>
                    </w:rPr>
                  </w:pPr>
                  <w:r>
                    <w:rPr>
                      <w:rFonts w:hint="eastAsia"/>
                      <w:highlight w:val="yellow"/>
                    </w:rPr>
                    <w:t>烧结间</w:t>
                  </w:r>
                </w:p>
              </w:tc>
            </w:tr>
          </w:tbl>
          <w:p w14:paraId="72B59917">
            <w:pPr>
              <w:adjustRightInd w:val="0"/>
              <w:snapToGrid w:val="0"/>
              <w:spacing w:line="360" w:lineRule="auto"/>
              <w:ind w:firstLine="480" w:firstLineChars="200"/>
              <w:rPr>
                <w:rFonts w:hint="default" w:ascii="Times New Roman" w:hAnsi="Times New Roman" w:eastAsia="宋体" w:cs="Times New Roman"/>
                <w:bCs/>
                <w:color w:val="auto"/>
                <w:sz w:val="24"/>
                <w:highlight w:val="none"/>
              </w:rPr>
            </w:pPr>
            <w:r>
              <w:rPr>
                <w:rFonts w:hint="default" w:ascii="Times New Roman" w:hAnsi="Times New Roman" w:eastAsia="宋体" w:cs="Times New Roman"/>
                <w:bCs/>
                <w:color w:val="auto"/>
                <w:sz w:val="24"/>
                <w:highlight w:val="none"/>
              </w:rPr>
              <w:t>项目主要原辅材料理化性质详见下表。</w:t>
            </w:r>
          </w:p>
          <w:p w14:paraId="3BBF04DC">
            <w:pPr>
              <w:numPr>
                <w:ilvl w:val="0"/>
                <w:numId w:val="7"/>
              </w:numPr>
              <w:adjustRightInd w:val="0"/>
              <w:snapToGrid w:val="0"/>
              <w:spacing w:line="360" w:lineRule="auto"/>
              <w:jc w:val="center"/>
              <w:rPr>
                <w:rFonts w:hint="default" w:ascii="Times New Roman" w:hAnsi="Times New Roman" w:eastAsia="宋体" w:cs="Times New Roman"/>
                <w:b/>
                <w:bCs/>
                <w:color w:val="auto"/>
                <w:sz w:val="24"/>
                <w:highlight w:val="none"/>
              </w:rPr>
            </w:pPr>
            <w:r>
              <w:rPr>
                <w:rFonts w:hint="eastAsia" w:cs="Times New Roman"/>
                <w:b/>
                <w:bCs/>
                <w:color w:val="auto"/>
                <w:sz w:val="24"/>
                <w:highlight w:val="none"/>
                <w:lang w:val="en-US" w:eastAsia="zh-CN"/>
              </w:rPr>
              <w:t>本</w:t>
            </w:r>
            <w:r>
              <w:rPr>
                <w:rFonts w:hint="default" w:ascii="Times New Roman" w:hAnsi="Times New Roman" w:eastAsia="宋体" w:cs="Times New Roman"/>
                <w:b/>
                <w:bCs/>
                <w:color w:val="auto"/>
                <w:sz w:val="24"/>
                <w:highlight w:val="none"/>
              </w:rPr>
              <w:t>主要原辅材料理化性质一览表</w:t>
            </w:r>
          </w:p>
          <w:tbl>
            <w:tblPr>
              <w:tblStyle w:val="23"/>
              <w:tblW w:w="7879" w:type="dxa"/>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15"/>
              <w:gridCol w:w="1292"/>
              <w:gridCol w:w="5972"/>
            </w:tblGrid>
            <w:tr w14:paraId="34A6834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5" w:type="dxa"/>
                  <w:tcBorders>
                    <w:tl2br w:val="nil"/>
                    <w:tr2bl w:val="nil"/>
                  </w:tcBorders>
                  <w:noWrap w:val="0"/>
                  <w:vAlign w:val="center"/>
                </w:tcPr>
                <w:p w14:paraId="05329724">
                  <w:pPr>
                    <w:spacing w:before="53" w:line="240" w:lineRule="auto"/>
                    <w:jc w:val="center"/>
                    <w:rPr>
                      <w:b/>
                      <w:bCs/>
                      <w:color w:val="auto"/>
                      <w:spacing w:val="6"/>
                      <w:sz w:val="21"/>
                      <w:szCs w:val="21"/>
                      <w:highlight w:val="none"/>
                    </w:rPr>
                  </w:pPr>
                  <w:r>
                    <w:rPr>
                      <w:b/>
                      <w:bCs/>
                      <w:color w:val="auto"/>
                      <w:spacing w:val="6"/>
                      <w:sz w:val="21"/>
                      <w:szCs w:val="21"/>
                      <w:highlight w:val="none"/>
                    </w:rPr>
                    <w:t>序号</w:t>
                  </w:r>
                </w:p>
              </w:tc>
              <w:tc>
                <w:tcPr>
                  <w:tcW w:w="1292" w:type="dxa"/>
                  <w:tcBorders>
                    <w:tl2br w:val="nil"/>
                    <w:tr2bl w:val="nil"/>
                  </w:tcBorders>
                  <w:noWrap w:val="0"/>
                  <w:vAlign w:val="center"/>
                </w:tcPr>
                <w:p w14:paraId="74673331">
                  <w:pPr>
                    <w:spacing w:before="53" w:line="240" w:lineRule="auto"/>
                    <w:jc w:val="center"/>
                    <w:rPr>
                      <w:b/>
                      <w:bCs/>
                      <w:color w:val="auto"/>
                      <w:spacing w:val="6"/>
                      <w:sz w:val="21"/>
                      <w:szCs w:val="21"/>
                      <w:highlight w:val="none"/>
                    </w:rPr>
                  </w:pPr>
                  <w:r>
                    <w:rPr>
                      <w:b/>
                      <w:bCs/>
                      <w:color w:val="auto"/>
                      <w:spacing w:val="6"/>
                      <w:sz w:val="21"/>
                      <w:szCs w:val="21"/>
                      <w:highlight w:val="none"/>
                    </w:rPr>
                    <w:t>名称</w:t>
                  </w:r>
                </w:p>
              </w:tc>
              <w:tc>
                <w:tcPr>
                  <w:tcW w:w="5972" w:type="dxa"/>
                  <w:tcBorders>
                    <w:tl2br w:val="nil"/>
                    <w:tr2bl w:val="nil"/>
                  </w:tcBorders>
                  <w:noWrap w:val="0"/>
                  <w:vAlign w:val="center"/>
                </w:tcPr>
                <w:p w14:paraId="29960D93">
                  <w:pPr>
                    <w:spacing w:before="53" w:line="240" w:lineRule="auto"/>
                    <w:jc w:val="center"/>
                    <w:rPr>
                      <w:b/>
                      <w:bCs/>
                      <w:color w:val="auto"/>
                      <w:spacing w:val="6"/>
                      <w:sz w:val="21"/>
                      <w:szCs w:val="21"/>
                      <w:highlight w:val="none"/>
                    </w:rPr>
                  </w:pPr>
                  <w:r>
                    <w:rPr>
                      <w:b/>
                      <w:bCs/>
                      <w:color w:val="auto"/>
                      <w:spacing w:val="6"/>
                      <w:sz w:val="21"/>
                      <w:szCs w:val="21"/>
                      <w:highlight w:val="none"/>
                    </w:rPr>
                    <w:t>理化性质</w:t>
                  </w:r>
                </w:p>
              </w:tc>
            </w:tr>
            <w:tr w14:paraId="6E6896E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15" w:hRule="atLeast"/>
              </w:trPr>
              <w:tc>
                <w:tcPr>
                  <w:tcW w:w="615" w:type="dxa"/>
                  <w:tcBorders>
                    <w:tl2br w:val="nil"/>
                    <w:tr2bl w:val="nil"/>
                  </w:tcBorders>
                  <w:noWrap w:val="0"/>
                  <w:vAlign w:val="center"/>
                </w:tcPr>
                <w:p w14:paraId="79A06921">
                  <w:pPr>
                    <w:numPr>
                      <w:ilvl w:val="0"/>
                      <w:numId w:val="10"/>
                    </w:numPr>
                    <w:spacing w:before="53" w:line="240" w:lineRule="auto"/>
                    <w:ind w:left="425" w:leftChars="0" w:hanging="425" w:firstLineChars="0"/>
                    <w:jc w:val="center"/>
                    <w:rPr>
                      <w:rFonts w:hint="eastAsia" w:ascii="Times New Roman" w:hAnsi="Times New Roman" w:eastAsia="宋体" w:cs="Times New Roman"/>
                      <w:b w:val="0"/>
                      <w:bCs w:val="0"/>
                      <w:color w:val="auto"/>
                      <w:spacing w:val="6"/>
                      <w:sz w:val="21"/>
                      <w:szCs w:val="21"/>
                      <w:highlight w:val="none"/>
                      <w:lang w:val="en-US" w:eastAsia="zh-CN"/>
                    </w:rPr>
                  </w:pPr>
                </w:p>
              </w:tc>
              <w:tc>
                <w:tcPr>
                  <w:tcW w:w="1292" w:type="dxa"/>
                  <w:tcBorders>
                    <w:tl2br w:val="nil"/>
                    <w:tr2bl w:val="nil"/>
                  </w:tcBorders>
                  <w:noWrap w:val="0"/>
                  <w:vAlign w:val="center"/>
                </w:tcPr>
                <w:p w14:paraId="7962216C">
                  <w:pPr>
                    <w:keepNext w:val="0"/>
                    <w:keepLines w:val="0"/>
                    <w:widowControl/>
                    <w:numPr>
                      <w:ilvl w:val="0"/>
                      <w:numId w:val="0"/>
                    </w:numPr>
                    <w:suppressLineNumbers w:val="0"/>
                    <w:pBdr>
                      <w:left w:val="none" w:color="auto" w:sz="0" w:space="0"/>
                    </w:pBdr>
                    <w:spacing w:before="0" w:beforeAutospacing="1" w:after="0" w:afterAutospacing="1"/>
                    <w:ind w:left="0" w:leftChars="0" w:firstLine="0" w:firstLineChars="0"/>
                    <w:jc w:val="center"/>
                    <w:rPr>
                      <w:rFonts w:hint="default" w:ascii="Times New Roman" w:hAnsi="Times New Roman" w:eastAsia="宋体" w:cs="Times New Roman"/>
                      <w:i w:val="0"/>
                      <w:iCs w:val="0"/>
                      <w:caps w:val="0"/>
                      <w:color w:val="auto"/>
                      <w:spacing w:val="0"/>
                      <w:sz w:val="21"/>
                      <w:szCs w:val="21"/>
                      <w:shd w:val="clear" w:fill="FFFFFF"/>
                      <w:lang w:val="en-US" w:eastAsia="zh-CN"/>
                    </w:rPr>
                  </w:pPr>
                  <w:r>
                    <w:rPr>
                      <w:rFonts w:hint="default" w:ascii="Times New Roman" w:hAnsi="Times New Roman" w:eastAsia="宋体" w:cs="Times New Roman"/>
                      <w:i w:val="0"/>
                      <w:iCs w:val="0"/>
                      <w:caps w:val="0"/>
                      <w:color w:val="auto"/>
                      <w:spacing w:val="0"/>
                      <w:sz w:val="21"/>
                      <w:szCs w:val="21"/>
                      <w:shd w:val="clear" w:fill="FFFFFF"/>
                    </w:rPr>
                    <w:t>磷酸铁锂</w:t>
                  </w:r>
                </w:p>
              </w:tc>
              <w:tc>
                <w:tcPr>
                  <w:tcW w:w="5972" w:type="dxa"/>
                  <w:tcBorders>
                    <w:tl2br w:val="nil"/>
                    <w:tr2bl w:val="nil"/>
                  </w:tcBorders>
                  <w:noWrap w:val="0"/>
                  <w:vAlign w:val="center"/>
                </w:tcPr>
                <w:p w14:paraId="1B038303">
                  <w:pPr>
                    <w:keepNext w:val="0"/>
                    <w:keepLines w:val="0"/>
                    <w:widowControl/>
                    <w:numPr>
                      <w:ilvl w:val="0"/>
                      <w:numId w:val="0"/>
                    </w:numPr>
                    <w:suppressLineNumbers w:val="0"/>
                    <w:pBdr>
                      <w:left w:val="none" w:color="auto" w:sz="0" w:space="0"/>
                    </w:pBdr>
                    <w:spacing w:before="0" w:beforeAutospacing="1" w:after="0" w:afterAutospacing="1"/>
                    <w:ind w:left="0" w:leftChars="0" w:firstLine="0" w:firstLineChars="0"/>
                    <w:jc w:val="left"/>
                    <w:rPr>
                      <w:rFonts w:hint="default" w:ascii="Times New Roman" w:hAnsi="Times New Roman" w:eastAsia="宋体" w:cs="Times New Roman"/>
                      <w:i w:val="0"/>
                      <w:iCs w:val="0"/>
                      <w:caps w:val="0"/>
                      <w:color w:val="auto"/>
                      <w:spacing w:val="0"/>
                      <w:sz w:val="21"/>
                      <w:szCs w:val="21"/>
                      <w:shd w:val="clear" w:fill="FFFFFF"/>
                    </w:rPr>
                  </w:pPr>
                  <w:r>
                    <w:rPr>
                      <w:rFonts w:hint="default" w:ascii="Times New Roman" w:hAnsi="Times New Roman" w:eastAsia="宋体" w:cs="Times New Roman"/>
                      <w:i w:val="0"/>
                      <w:iCs w:val="0"/>
                      <w:caps w:val="0"/>
                      <w:color w:val="auto"/>
                      <w:spacing w:val="0"/>
                      <w:sz w:val="21"/>
                      <w:szCs w:val="21"/>
                      <w:shd w:val="clear" w:fill="FFFFFF"/>
                    </w:rPr>
                    <w:t>磷酸铁锂是橄榄石结构的化合物，具有高安全性、长循环寿命等优势</w:t>
                  </w:r>
                  <w:r>
                    <w:rPr>
                      <w:rFonts w:hint="eastAsia" w:ascii="Times New Roman" w:hAnsi="Times New Roman" w:eastAsia="宋体" w:cs="Times New Roman"/>
                      <w:i w:val="0"/>
                      <w:iCs w:val="0"/>
                      <w:caps w:val="0"/>
                      <w:color w:val="auto"/>
                      <w:spacing w:val="0"/>
                      <w:sz w:val="21"/>
                      <w:szCs w:val="21"/>
                      <w:shd w:val="clear" w:fill="FFFFFF"/>
                      <w:lang w:eastAsia="zh-CN"/>
                    </w:rPr>
                    <w:t>，</w:t>
                  </w:r>
                  <w:r>
                    <w:rPr>
                      <w:rFonts w:hint="default" w:ascii="Times New Roman" w:hAnsi="Times New Roman" w:eastAsia="宋体" w:cs="Times New Roman"/>
                      <w:i w:val="0"/>
                      <w:iCs w:val="0"/>
                      <w:caps w:val="0"/>
                      <w:color w:val="auto"/>
                      <w:spacing w:val="0"/>
                      <w:sz w:val="21"/>
                      <w:szCs w:val="21"/>
                      <w:shd w:val="clear" w:fill="FFFFFF"/>
                    </w:rPr>
                    <w:t>磷酸铁锂的电化学性能良好，具有较低的电阻</w:t>
                  </w:r>
                  <w:r>
                    <w:rPr>
                      <w:rFonts w:hint="eastAsia" w:ascii="Times New Roman" w:hAnsi="Times New Roman" w:eastAsia="宋体" w:cs="Times New Roman"/>
                      <w:i w:val="0"/>
                      <w:iCs w:val="0"/>
                      <w:caps w:val="0"/>
                      <w:color w:val="auto"/>
                      <w:spacing w:val="0"/>
                      <w:sz w:val="21"/>
                      <w:szCs w:val="21"/>
                      <w:shd w:val="clear" w:fill="FFFFFF"/>
                      <w:lang w:eastAsia="zh-CN"/>
                    </w:rPr>
                    <w:t>，</w:t>
                  </w:r>
                  <w:r>
                    <w:rPr>
                      <w:rFonts w:hint="default" w:ascii="Times New Roman" w:hAnsi="Times New Roman" w:eastAsia="宋体" w:cs="Times New Roman"/>
                      <w:i w:val="0"/>
                      <w:iCs w:val="0"/>
                      <w:caps w:val="0"/>
                      <w:color w:val="auto"/>
                      <w:spacing w:val="0"/>
                      <w:sz w:val="21"/>
                      <w:szCs w:val="21"/>
                      <w:shd w:val="clear" w:fill="FFFFFF"/>
                    </w:rPr>
                    <w:t>理论比容量为170mAh/g，产品实际比容量可超过140mAh/g（0.2C,25C）</w:t>
                  </w:r>
                  <w:r>
                    <w:rPr>
                      <w:rFonts w:hint="eastAsia" w:ascii="Times New Roman" w:hAnsi="Times New Roman" w:eastAsia="宋体" w:cs="Times New Roman"/>
                      <w:i w:val="0"/>
                      <w:iCs w:val="0"/>
                      <w:caps w:val="0"/>
                      <w:color w:val="auto"/>
                      <w:spacing w:val="0"/>
                      <w:sz w:val="21"/>
                      <w:szCs w:val="21"/>
                      <w:shd w:val="clear" w:fill="FFFFFF"/>
                      <w:lang w:eastAsia="zh-CN"/>
                    </w:rPr>
                    <w:t>，</w:t>
                  </w:r>
                  <w:r>
                    <w:rPr>
                      <w:rFonts w:hint="default" w:ascii="Times New Roman" w:hAnsi="Times New Roman" w:eastAsia="宋体" w:cs="Times New Roman"/>
                      <w:i w:val="0"/>
                      <w:iCs w:val="0"/>
                      <w:caps w:val="0"/>
                      <w:color w:val="auto"/>
                      <w:spacing w:val="0"/>
                      <w:sz w:val="21"/>
                      <w:szCs w:val="21"/>
                      <w:shd w:val="clear" w:fill="FFFFFF"/>
                    </w:rPr>
                    <w:t>电位平台较为平稳，约为3.2V</w:t>
                  </w:r>
                  <w:r>
                    <w:rPr>
                      <w:rFonts w:hint="eastAsia" w:ascii="Times New Roman" w:hAnsi="Times New Roman" w:eastAsia="宋体" w:cs="Times New Roman"/>
                      <w:i w:val="0"/>
                      <w:iCs w:val="0"/>
                      <w:caps w:val="0"/>
                      <w:color w:val="auto"/>
                      <w:spacing w:val="0"/>
                      <w:sz w:val="21"/>
                      <w:szCs w:val="21"/>
                      <w:shd w:val="clear" w:fill="FFFFFF"/>
                      <w:lang w:eastAsia="zh-CN"/>
                    </w:rPr>
                    <w:t>。</w:t>
                  </w:r>
                </w:p>
              </w:tc>
            </w:tr>
            <w:tr w14:paraId="1D2F82D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97" w:hRule="atLeast"/>
              </w:trPr>
              <w:tc>
                <w:tcPr>
                  <w:tcW w:w="615" w:type="dxa"/>
                  <w:tcBorders>
                    <w:tl2br w:val="nil"/>
                    <w:tr2bl w:val="nil"/>
                  </w:tcBorders>
                  <w:noWrap w:val="0"/>
                  <w:vAlign w:val="center"/>
                </w:tcPr>
                <w:p w14:paraId="27E6CE61">
                  <w:pPr>
                    <w:numPr>
                      <w:ilvl w:val="0"/>
                      <w:numId w:val="10"/>
                    </w:numPr>
                    <w:spacing w:before="53" w:line="240" w:lineRule="auto"/>
                    <w:ind w:left="425" w:leftChars="0" w:hanging="425" w:firstLineChars="0"/>
                    <w:jc w:val="center"/>
                    <w:rPr>
                      <w:rFonts w:hint="eastAsia" w:ascii="Times New Roman" w:hAnsi="Times New Roman" w:eastAsia="宋体" w:cs="Times New Roman"/>
                      <w:b w:val="0"/>
                      <w:bCs w:val="0"/>
                      <w:color w:val="auto"/>
                      <w:spacing w:val="6"/>
                      <w:sz w:val="21"/>
                      <w:szCs w:val="21"/>
                      <w:highlight w:val="none"/>
                      <w:lang w:val="en-US" w:eastAsia="zh-CN"/>
                    </w:rPr>
                  </w:pPr>
                </w:p>
              </w:tc>
              <w:tc>
                <w:tcPr>
                  <w:tcW w:w="1292" w:type="dxa"/>
                  <w:tcBorders>
                    <w:tl2br w:val="nil"/>
                    <w:tr2bl w:val="nil"/>
                  </w:tcBorders>
                  <w:shd w:val="clear" w:color="auto" w:fill="auto"/>
                  <w:noWrap w:val="0"/>
                  <w:vAlign w:val="center"/>
                </w:tcPr>
                <w:p w14:paraId="4AB4C339">
                  <w:pPr>
                    <w:keepNext w:val="0"/>
                    <w:keepLines w:val="0"/>
                    <w:widowControl/>
                    <w:numPr>
                      <w:ilvl w:val="0"/>
                      <w:numId w:val="0"/>
                    </w:numPr>
                    <w:suppressLineNumbers w:val="0"/>
                    <w:pBdr>
                      <w:left w:val="none" w:color="auto" w:sz="0" w:space="0"/>
                    </w:pBdr>
                    <w:spacing w:before="0" w:beforeAutospacing="1" w:after="0" w:afterAutospacing="1"/>
                    <w:ind w:left="0" w:leftChars="0" w:firstLine="0" w:firstLineChars="0"/>
                    <w:jc w:val="center"/>
                    <w:rPr>
                      <w:rFonts w:hint="eastAsia" w:ascii="Times New Roman" w:hAnsi="Times New Roman" w:eastAsia="宋体" w:cs="Times New Roman"/>
                      <w:i w:val="0"/>
                      <w:iCs w:val="0"/>
                      <w:caps w:val="0"/>
                      <w:color w:val="auto"/>
                      <w:spacing w:val="0"/>
                      <w:sz w:val="21"/>
                      <w:szCs w:val="21"/>
                      <w:shd w:val="clear" w:fill="FFFFFF"/>
                      <w:lang w:val="en-US" w:eastAsia="zh-CN"/>
                    </w:rPr>
                  </w:pPr>
                  <w:r>
                    <w:rPr>
                      <w:rFonts w:hint="default" w:ascii="Times New Roman" w:hAnsi="Times New Roman" w:eastAsia="宋体" w:cs="Times New Roman"/>
                      <w:i w:val="0"/>
                      <w:iCs w:val="0"/>
                      <w:caps w:val="0"/>
                      <w:color w:val="auto"/>
                      <w:spacing w:val="0"/>
                      <w:sz w:val="21"/>
                      <w:szCs w:val="21"/>
                      <w:shd w:val="clear" w:fill="FFFFFF"/>
                    </w:rPr>
                    <w:t>N-甲基吡咯烷酮（NMP）</w:t>
                  </w:r>
                </w:p>
              </w:tc>
              <w:tc>
                <w:tcPr>
                  <w:tcW w:w="5972" w:type="dxa"/>
                  <w:tcBorders>
                    <w:tl2br w:val="nil"/>
                    <w:tr2bl w:val="nil"/>
                  </w:tcBorders>
                  <w:shd w:val="clear" w:color="auto" w:fill="auto"/>
                  <w:noWrap w:val="0"/>
                  <w:vAlign w:val="center"/>
                </w:tcPr>
                <w:p w14:paraId="6C117297">
                  <w:pPr>
                    <w:keepNext w:val="0"/>
                    <w:keepLines w:val="0"/>
                    <w:widowControl/>
                    <w:numPr>
                      <w:ilvl w:val="0"/>
                      <w:numId w:val="0"/>
                    </w:numPr>
                    <w:suppressLineNumbers w:val="0"/>
                    <w:pBdr>
                      <w:left w:val="none" w:color="auto" w:sz="0" w:space="0"/>
                    </w:pBdr>
                    <w:spacing w:before="0" w:beforeAutospacing="1" w:after="0" w:afterAutospacing="1"/>
                    <w:ind w:left="0" w:leftChars="0" w:firstLine="0" w:firstLineChars="0"/>
                    <w:jc w:val="left"/>
                    <w:rPr>
                      <w:rFonts w:hint="default" w:ascii="Times New Roman" w:hAnsi="Times New Roman" w:eastAsia="宋体" w:cs="Times New Roman"/>
                      <w:i w:val="0"/>
                      <w:iCs w:val="0"/>
                      <w:caps w:val="0"/>
                      <w:color w:val="auto"/>
                      <w:spacing w:val="0"/>
                      <w:sz w:val="21"/>
                      <w:szCs w:val="21"/>
                      <w:shd w:val="clear" w:fill="FFFFFF"/>
                      <w:lang w:val="en-US" w:eastAsia="zh-CN"/>
                    </w:rPr>
                  </w:pPr>
                  <w:r>
                    <w:rPr>
                      <w:rFonts w:hint="default" w:ascii="Times New Roman" w:hAnsi="Times New Roman" w:eastAsia="宋体" w:cs="Times New Roman"/>
                      <w:i w:val="0"/>
                      <w:iCs w:val="0"/>
                      <w:caps w:val="0"/>
                      <w:color w:val="auto"/>
                      <w:spacing w:val="0"/>
                      <w:sz w:val="21"/>
                      <w:szCs w:val="21"/>
                      <w:shd w:val="clear" w:fill="FFFFFF"/>
                    </w:rPr>
                    <w:t>无色透明油状液体，微有胺的气味；熔点-24.4℃，沸点203℃；150℃（30.66kPa)；135℃（13.33kPa)；81～82℃（1.33kPa)，闪点95℃，相对密度</w:t>
                  </w:r>
                  <w:r>
                    <w:rPr>
                      <w:rFonts w:hint="eastAsia" w:cs="Times New Roman"/>
                      <w:i w:val="0"/>
                      <w:iCs w:val="0"/>
                      <w:caps w:val="0"/>
                      <w:color w:val="auto"/>
                      <w:spacing w:val="0"/>
                      <w:sz w:val="21"/>
                      <w:szCs w:val="21"/>
                      <w:shd w:val="clear" w:fill="FFFFFF"/>
                      <w:lang w:val="en-US" w:eastAsia="zh-CN"/>
                    </w:rPr>
                    <w:t>1.028</w:t>
                  </w:r>
                  <w:r>
                    <w:rPr>
                      <w:rFonts w:hint="default" w:ascii="Times New Roman" w:hAnsi="Times New Roman" w:eastAsia="宋体" w:cs="Times New Roman"/>
                      <w:i w:val="0"/>
                      <w:iCs w:val="0"/>
                      <w:caps w:val="0"/>
                      <w:color w:val="auto"/>
                      <w:spacing w:val="0"/>
                      <w:sz w:val="21"/>
                      <w:szCs w:val="21"/>
                      <w:shd w:val="clear" w:fill="FFFFFF"/>
                    </w:rPr>
                    <w:t>(25℃)，能与水、醇、醚、酯、酮、卤代烃、芳烃互溶；挥发度低，热稳定性、化学稳定性均佳。LC50：&gt;5130mg/kg (小鼠经口)，LD50：&gt;3914mg/kg (大鼠经口)。</w:t>
                  </w:r>
                </w:p>
              </w:tc>
            </w:tr>
            <w:tr w14:paraId="5070FD8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74" w:hRule="atLeast"/>
              </w:trPr>
              <w:tc>
                <w:tcPr>
                  <w:tcW w:w="615" w:type="dxa"/>
                  <w:tcBorders>
                    <w:tl2br w:val="nil"/>
                    <w:tr2bl w:val="nil"/>
                  </w:tcBorders>
                  <w:noWrap w:val="0"/>
                  <w:vAlign w:val="center"/>
                </w:tcPr>
                <w:p w14:paraId="1C2A1930">
                  <w:pPr>
                    <w:numPr>
                      <w:ilvl w:val="0"/>
                      <w:numId w:val="10"/>
                    </w:numPr>
                    <w:spacing w:before="53" w:line="240" w:lineRule="auto"/>
                    <w:ind w:left="425" w:leftChars="0" w:hanging="425" w:firstLineChars="0"/>
                    <w:jc w:val="center"/>
                    <w:rPr>
                      <w:rFonts w:hint="eastAsia" w:ascii="Times New Roman" w:hAnsi="Times New Roman" w:eastAsia="宋体" w:cs="Times New Roman"/>
                      <w:b w:val="0"/>
                      <w:bCs w:val="0"/>
                      <w:color w:val="auto"/>
                      <w:spacing w:val="6"/>
                      <w:sz w:val="21"/>
                      <w:szCs w:val="21"/>
                      <w:highlight w:val="none"/>
                      <w:lang w:val="en-US" w:eastAsia="zh-CN"/>
                    </w:rPr>
                  </w:pPr>
                </w:p>
              </w:tc>
              <w:tc>
                <w:tcPr>
                  <w:tcW w:w="1292" w:type="dxa"/>
                  <w:tcBorders>
                    <w:tl2br w:val="nil"/>
                    <w:tr2bl w:val="nil"/>
                  </w:tcBorders>
                  <w:noWrap w:val="0"/>
                  <w:vAlign w:val="center"/>
                </w:tcPr>
                <w:p w14:paraId="4D5D5475">
                  <w:pPr>
                    <w:keepNext w:val="0"/>
                    <w:keepLines w:val="0"/>
                    <w:widowControl/>
                    <w:numPr>
                      <w:ilvl w:val="0"/>
                      <w:numId w:val="0"/>
                    </w:numPr>
                    <w:suppressLineNumbers w:val="0"/>
                    <w:pBdr>
                      <w:left w:val="none" w:color="auto" w:sz="0" w:space="0"/>
                    </w:pBdr>
                    <w:spacing w:before="0" w:beforeAutospacing="1" w:after="0" w:afterAutospacing="1"/>
                    <w:ind w:left="0" w:leftChars="0" w:firstLine="0" w:firstLineChars="0"/>
                    <w:jc w:val="center"/>
                    <w:rPr>
                      <w:rFonts w:hint="eastAsia" w:ascii="Times New Roman" w:hAnsi="Times New Roman" w:eastAsia="宋体" w:cs="Times New Roman"/>
                      <w:i w:val="0"/>
                      <w:iCs w:val="0"/>
                      <w:caps w:val="0"/>
                      <w:color w:val="auto"/>
                      <w:spacing w:val="0"/>
                      <w:sz w:val="21"/>
                      <w:szCs w:val="21"/>
                      <w:shd w:val="clear" w:fill="FFFFFF"/>
                      <w:lang w:val="en-US" w:eastAsia="zh-CN"/>
                    </w:rPr>
                  </w:pPr>
                  <w:r>
                    <w:rPr>
                      <w:rFonts w:hint="eastAsia" w:ascii="Times New Roman" w:hAnsi="Times New Roman" w:eastAsia="宋体" w:cs="Times New Roman"/>
                      <w:i w:val="0"/>
                      <w:iCs w:val="0"/>
                      <w:caps w:val="0"/>
                      <w:color w:val="auto"/>
                      <w:spacing w:val="0"/>
                      <w:sz w:val="21"/>
                      <w:szCs w:val="21"/>
                      <w:shd w:val="clear" w:fill="FFFFFF"/>
                    </w:rPr>
                    <w:t>羧甲基纤维素钠</w:t>
                  </w:r>
                </w:p>
              </w:tc>
              <w:tc>
                <w:tcPr>
                  <w:tcW w:w="5972" w:type="dxa"/>
                  <w:tcBorders>
                    <w:tl2br w:val="nil"/>
                    <w:tr2bl w:val="nil"/>
                  </w:tcBorders>
                  <w:noWrap w:val="0"/>
                  <w:vAlign w:val="center"/>
                </w:tcPr>
                <w:p w14:paraId="4616C47D">
                  <w:pPr>
                    <w:keepNext w:val="0"/>
                    <w:keepLines w:val="0"/>
                    <w:widowControl/>
                    <w:numPr>
                      <w:ilvl w:val="0"/>
                      <w:numId w:val="0"/>
                    </w:numPr>
                    <w:suppressLineNumbers w:val="0"/>
                    <w:pBdr>
                      <w:left w:val="none" w:color="auto" w:sz="0" w:space="0"/>
                    </w:pBdr>
                    <w:spacing w:before="0" w:beforeAutospacing="1" w:after="0" w:afterAutospacing="1"/>
                    <w:ind w:left="0" w:leftChars="0" w:firstLine="0" w:firstLineChars="0"/>
                    <w:jc w:val="left"/>
                    <w:rPr>
                      <w:rFonts w:hint="eastAsia" w:ascii="Times New Roman" w:hAnsi="Times New Roman" w:eastAsia="宋体" w:cs="Times New Roman"/>
                      <w:i w:val="0"/>
                      <w:iCs w:val="0"/>
                      <w:caps w:val="0"/>
                      <w:color w:val="auto"/>
                      <w:spacing w:val="0"/>
                      <w:sz w:val="21"/>
                      <w:szCs w:val="21"/>
                      <w:shd w:val="clear" w:fill="FFFFFF"/>
                      <w:lang w:eastAsia="zh-CN"/>
                    </w:rPr>
                  </w:pPr>
                  <w:r>
                    <w:rPr>
                      <w:rFonts w:hint="default" w:ascii="Times New Roman" w:hAnsi="Times New Roman" w:eastAsia="宋体" w:cs="Times New Roman"/>
                      <w:i w:val="0"/>
                      <w:iCs w:val="0"/>
                      <w:caps w:val="0"/>
                      <w:color w:val="auto"/>
                      <w:spacing w:val="0"/>
                      <w:sz w:val="21"/>
                      <w:szCs w:val="21"/>
                      <w:shd w:val="clear" w:fill="FFFFFF"/>
                    </w:rPr>
                    <w:t>一种常见的纤维素衍生物，白色至微黄色纤维状或颗粒状粉末，无臭，无味</w:t>
                  </w:r>
                  <w:r>
                    <w:rPr>
                      <w:rFonts w:hint="eastAsia" w:ascii="Times New Roman" w:hAnsi="Times New Roman" w:eastAsia="宋体" w:cs="Times New Roman"/>
                      <w:i w:val="0"/>
                      <w:iCs w:val="0"/>
                      <w:caps w:val="0"/>
                      <w:color w:val="auto"/>
                      <w:spacing w:val="0"/>
                      <w:sz w:val="21"/>
                      <w:szCs w:val="21"/>
                      <w:shd w:val="clear" w:fill="FFFFFF"/>
                      <w:lang w:eastAsia="zh-CN"/>
                    </w:rPr>
                    <w:t>，</w:t>
                  </w:r>
                  <w:r>
                    <w:rPr>
                      <w:rFonts w:hint="default" w:ascii="Times New Roman" w:hAnsi="Times New Roman" w:eastAsia="宋体" w:cs="Times New Roman"/>
                      <w:i w:val="0"/>
                      <w:iCs w:val="0"/>
                      <w:caps w:val="0"/>
                      <w:color w:val="auto"/>
                      <w:spacing w:val="0"/>
                      <w:sz w:val="21"/>
                      <w:szCs w:val="21"/>
                      <w:shd w:val="clear" w:fill="FFFFFF"/>
                    </w:rPr>
                    <w:t>易溶于水，形成透明胶状液；不溶于乙醇、乙醚或三氯甲烷等有机溶剂</w:t>
                  </w:r>
                  <w:r>
                    <w:rPr>
                      <w:rFonts w:hint="eastAsia" w:ascii="Times New Roman" w:hAnsi="Times New Roman" w:eastAsia="宋体" w:cs="Times New Roman"/>
                      <w:i w:val="0"/>
                      <w:iCs w:val="0"/>
                      <w:caps w:val="0"/>
                      <w:color w:val="auto"/>
                      <w:spacing w:val="0"/>
                      <w:sz w:val="21"/>
                      <w:szCs w:val="21"/>
                      <w:shd w:val="clear" w:fill="FFFFFF"/>
                      <w:lang w:eastAsia="zh-CN"/>
                    </w:rPr>
                    <w:t>。</w:t>
                  </w:r>
                </w:p>
              </w:tc>
            </w:tr>
            <w:tr w14:paraId="2B06C5B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27" w:hRule="atLeast"/>
              </w:trPr>
              <w:tc>
                <w:tcPr>
                  <w:tcW w:w="615" w:type="dxa"/>
                  <w:tcBorders>
                    <w:tl2br w:val="nil"/>
                    <w:tr2bl w:val="nil"/>
                  </w:tcBorders>
                  <w:noWrap w:val="0"/>
                  <w:vAlign w:val="center"/>
                </w:tcPr>
                <w:p w14:paraId="6697EA1F">
                  <w:pPr>
                    <w:numPr>
                      <w:ilvl w:val="0"/>
                      <w:numId w:val="10"/>
                    </w:numPr>
                    <w:spacing w:before="53" w:line="240" w:lineRule="auto"/>
                    <w:ind w:left="425" w:leftChars="0" w:hanging="425" w:firstLineChars="0"/>
                    <w:jc w:val="center"/>
                    <w:rPr>
                      <w:rFonts w:hint="eastAsia" w:eastAsia="宋体"/>
                      <w:b w:val="0"/>
                      <w:bCs w:val="0"/>
                      <w:color w:val="auto"/>
                      <w:spacing w:val="6"/>
                      <w:sz w:val="21"/>
                      <w:szCs w:val="21"/>
                      <w:highlight w:val="none"/>
                      <w:lang w:val="en-US" w:eastAsia="zh-CN"/>
                    </w:rPr>
                  </w:pPr>
                </w:p>
              </w:tc>
              <w:tc>
                <w:tcPr>
                  <w:tcW w:w="1292" w:type="dxa"/>
                  <w:tcBorders>
                    <w:tl2br w:val="nil"/>
                    <w:tr2bl w:val="nil"/>
                  </w:tcBorders>
                  <w:shd w:val="clear" w:color="auto" w:fill="auto"/>
                  <w:noWrap w:val="0"/>
                  <w:vAlign w:val="center"/>
                </w:tcPr>
                <w:p w14:paraId="5809A3D7">
                  <w:pPr>
                    <w:jc w:val="center"/>
                    <w:rPr>
                      <w:rFonts w:hint="eastAsia" w:ascii="Times New Roman" w:hAnsi="Times New Roman" w:eastAsia="宋体" w:cs="Times New Roman"/>
                      <w:kern w:val="2"/>
                      <w:sz w:val="21"/>
                      <w:szCs w:val="21"/>
                      <w:highlight w:val="yellow"/>
                      <w:lang w:val="en-US" w:eastAsia="zh-CN" w:bidi="ar-SA"/>
                    </w:rPr>
                  </w:pPr>
                  <w:r>
                    <w:rPr>
                      <w:rFonts w:hint="eastAsia"/>
                      <w:sz w:val="21"/>
                      <w:szCs w:val="21"/>
                      <w:highlight w:val="yellow"/>
                    </w:rPr>
                    <w:t>碳酸二乙酯</w:t>
                  </w:r>
                </w:p>
              </w:tc>
              <w:tc>
                <w:tcPr>
                  <w:tcW w:w="5972" w:type="dxa"/>
                  <w:tcBorders>
                    <w:tl2br w:val="nil"/>
                    <w:tr2bl w:val="nil"/>
                  </w:tcBorders>
                  <w:shd w:val="clear" w:color="auto" w:fill="auto"/>
                  <w:noWrap w:val="0"/>
                  <w:vAlign w:val="center"/>
                </w:tcPr>
                <w:p w14:paraId="4B09F721">
                  <w:pPr>
                    <w:keepNext w:val="0"/>
                    <w:keepLines w:val="0"/>
                    <w:widowControl/>
                    <w:numPr>
                      <w:ilvl w:val="0"/>
                      <w:numId w:val="0"/>
                    </w:numPr>
                    <w:suppressLineNumbers w:val="0"/>
                    <w:pBdr>
                      <w:left w:val="none" w:color="auto" w:sz="0" w:space="0"/>
                    </w:pBdr>
                    <w:spacing w:before="0" w:beforeAutospacing="1" w:after="0" w:afterAutospacing="1"/>
                    <w:ind w:left="0" w:leftChars="0" w:firstLine="0" w:firstLineChars="0"/>
                    <w:jc w:val="left"/>
                    <w:rPr>
                      <w:rFonts w:hint="default" w:ascii="Times New Roman" w:hAnsi="Times New Roman" w:eastAsia="宋体" w:cs="Times New Roman"/>
                      <w:i w:val="0"/>
                      <w:iCs w:val="0"/>
                      <w:caps w:val="0"/>
                      <w:color w:val="auto"/>
                      <w:spacing w:val="0"/>
                      <w:sz w:val="21"/>
                      <w:szCs w:val="21"/>
                      <w:shd w:val="clear" w:fill="FFFFFF"/>
                      <w:lang w:val="en-US" w:eastAsia="zh-CN"/>
                    </w:rPr>
                  </w:pPr>
                  <w:r>
                    <w:rPr>
                      <w:rFonts w:hint="default" w:ascii="Times New Roman" w:hAnsi="Times New Roman" w:eastAsia="宋体" w:cs="Times New Roman"/>
                      <w:i w:val="0"/>
                      <w:iCs w:val="0"/>
                      <w:caps w:val="0"/>
                      <w:color w:val="auto"/>
                      <w:spacing w:val="0"/>
                      <w:sz w:val="21"/>
                      <w:szCs w:val="21"/>
                      <w:shd w:val="clear" w:fill="FFFFFF"/>
                    </w:rPr>
                    <w:t>无色液体，略有气味；熔点（℃）：-43；相对密度（水=1）：1.0；沸点（℃）：125.8；相对蒸汽密度（空气=1）：4.07；溶解性：不溶于水，可混溶于醇、酮、酯等多数有机溶剂。</w:t>
                  </w:r>
                </w:p>
              </w:tc>
            </w:tr>
            <w:tr w14:paraId="7BFBFCA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87" w:hRule="atLeast"/>
              </w:trPr>
              <w:tc>
                <w:tcPr>
                  <w:tcW w:w="615" w:type="dxa"/>
                  <w:tcBorders>
                    <w:tl2br w:val="nil"/>
                    <w:tr2bl w:val="nil"/>
                  </w:tcBorders>
                  <w:noWrap w:val="0"/>
                  <w:vAlign w:val="center"/>
                </w:tcPr>
                <w:p w14:paraId="62DFDC93">
                  <w:pPr>
                    <w:numPr>
                      <w:ilvl w:val="0"/>
                      <w:numId w:val="10"/>
                    </w:numPr>
                    <w:spacing w:before="53" w:line="240" w:lineRule="auto"/>
                    <w:ind w:left="425" w:leftChars="0" w:hanging="425" w:firstLineChars="0"/>
                    <w:jc w:val="center"/>
                    <w:rPr>
                      <w:rFonts w:hint="eastAsia" w:eastAsia="宋体"/>
                      <w:b w:val="0"/>
                      <w:bCs w:val="0"/>
                      <w:color w:val="auto"/>
                      <w:spacing w:val="6"/>
                      <w:sz w:val="21"/>
                      <w:szCs w:val="21"/>
                      <w:highlight w:val="none"/>
                      <w:lang w:val="en-US" w:eastAsia="zh-CN"/>
                    </w:rPr>
                  </w:pPr>
                </w:p>
              </w:tc>
              <w:tc>
                <w:tcPr>
                  <w:tcW w:w="1292" w:type="dxa"/>
                  <w:tcBorders>
                    <w:tl2br w:val="nil"/>
                    <w:tr2bl w:val="nil"/>
                  </w:tcBorders>
                  <w:shd w:val="clear" w:color="auto" w:fill="auto"/>
                  <w:noWrap w:val="0"/>
                  <w:vAlign w:val="center"/>
                </w:tcPr>
                <w:p w14:paraId="4E5E8A4F">
                  <w:pPr>
                    <w:keepNext w:val="0"/>
                    <w:keepLines w:val="0"/>
                    <w:widowControl/>
                    <w:numPr>
                      <w:ilvl w:val="0"/>
                      <w:numId w:val="0"/>
                    </w:numPr>
                    <w:suppressLineNumbers w:val="0"/>
                    <w:pBdr>
                      <w:left w:val="none" w:color="auto" w:sz="0" w:space="0"/>
                    </w:pBdr>
                    <w:spacing w:before="0" w:beforeAutospacing="1" w:after="0" w:afterAutospacing="1"/>
                    <w:ind w:left="0" w:leftChars="0" w:firstLine="0" w:firstLineChars="0"/>
                    <w:jc w:val="left"/>
                    <w:rPr>
                      <w:rFonts w:hint="eastAsia" w:ascii="Times New Roman" w:hAnsi="Times New Roman" w:eastAsia="宋体" w:cs="Times New Roman"/>
                      <w:i w:val="0"/>
                      <w:iCs w:val="0"/>
                      <w:caps w:val="0"/>
                      <w:color w:val="auto"/>
                      <w:spacing w:val="0"/>
                      <w:sz w:val="21"/>
                      <w:szCs w:val="21"/>
                      <w:shd w:val="clear" w:fill="FFFFFF"/>
                      <w:lang w:val="en-US" w:eastAsia="zh-CN"/>
                    </w:rPr>
                  </w:pPr>
                  <w:r>
                    <w:rPr>
                      <w:rFonts w:hint="eastAsia" w:ascii="Times New Roman" w:hAnsi="Times New Roman" w:eastAsia="宋体" w:cs="Times New Roman"/>
                      <w:i w:val="0"/>
                      <w:iCs w:val="0"/>
                      <w:caps w:val="0"/>
                      <w:color w:val="auto"/>
                      <w:spacing w:val="0"/>
                      <w:sz w:val="21"/>
                      <w:szCs w:val="21"/>
                      <w:shd w:val="clear" w:fill="FFFFFF"/>
                    </w:rPr>
                    <w:t>碳酸丙烯酯</w:t>
                  </w:r>
                </w:p>
              </w:tc>
              <w:tc>
                <w:tcPr>
                  <w:tcW w:w="5972" w:type="dxa"/>
                  <w:tcBorders>
                    <w:tl2br w:val="nil"/>
                    <w:tr2bl w:val="nil"/>
                  </w:tcBorders>
                  <w:shd w:val="clear" w:color="auto" w:fill="auto"/>
                  <w:noWrap w:val="0"/>
                  <w:vAlign w:val="center"/>
                </w:tcPr>
                <w:p w14:paraId="41C3C65E">
                  <w:pPr>
                    <w:keepNext w:val="0"/>
                    <w:keepLines w:val="0"/>
                    <w:widowControl/>
                    <w:numPr>
                      <w:ilvl w:val="0"/>
                      <w:numId w:val="0"/>
                    </w:numPr>
                    <w:suppressLineNumbers w:val="0"/>
                    <w:pBdr>
                      <w:left w:val="none" w:color="auto" w:sz="0" w:space="0"/>
                    </w:pBdr>
                    <w:spacing w:before="0" w:beforeAutospacing="1" w:after="0" w:afterAutospacing="1"/>
                    <w:ind w:left="0" w:leftChars="0" w:firstLine="0" w:firstLineChars="0"/>
                    <w:jc w:val="left"/>
                    <w:rPr>
                      <w:rFonts w:hint="default" w:ascii="Times New Roman" w:hAnsi="Times New Roman" w:eastAsia="宋体" w:cs="Times New Roman"/>
                      <w:i w:val="0"/>
                      <w:iCs w:val="0"/>
                      <w:caps w:val="0"/>
                      <w:color w:val="auto"/>
                      <w:spacing w:val="0"/>
                      <w:sz w:val="21"/>
                      <w:szCs w:val="21"/>
                      <w:shd w:val="clear" w:fill="FFFFFF"/>
                      <w:lang w:val="en-US" w:eastAsia="zh-CN"/>
                    </w:rPr>
                  </w:pPr>
                  <w:r>
                    <w:rPr>
                      <w:rFonts w:hint="default" w:ascii="Times New Roman" w:hAnsi="Times New Roman" w:eastAsia="宋体" w:cs="Times New Roman"/>
                      <w:i w:val="0"/>
                      <w:iCs w:val="0"/>
                      <w:caps w:val="0"/>
                      <w:color w:val="auto"/>
                      <w:spacing w:val="0"/>
                      <w:sz w:val="21"/>
                      <w:szCs w:val="21"/>
                      <w:shd w:val="clear" w:fill="FFFFFF"/>
                    </w:rPr>
                    <w:t>外观无色透明液体</w:t>
                  </w:r>
                  <w:r>
                    <w:rPr>
                      <w:rFonts w:hint="eastAsia" w:ascii="Times New Roman" w:hAnsi="Times New Roman" w:eastAsia="宋体" w:cs="Times New Roman"/>
                      <w:i w:val="0"/>
                      <w:iCs w:val="0"/>
                      <w:caps w:val="0"/>
                      <w:color w:val="auto"/>
                      <w:spacing w:val="0"/>
                      <w:sz w:val="21"/>
                      <w:szCs w:val="21"/>
                      <w:shd w:val="clear" w:fill="FFFFFF"/>
                      <w:lang w:eastAsia="zh-CN"/>
                    </w:rPr>
                    <w:t>，</w:t>
                  </w:r>
                  <w:r>
                    <w:rPr>
                      <w:rFonts w:hint="default" w:ascii="Times New Roman" w:hAnsi="Times New Roman" w:eastAsia="宋体" w:cs="Times New Roman"/>
                      <w:i w:val="0"/>
                      <w:iCs w:val="0"/>
                      <w:caps w:val="0"/>
                      <w:color w:val="auto"/>
                      <w:spacing w:val="0"/>
                      <w:sz w:val="21"/>
                      <w:szCs w:val="21"/>
                      <w:shd w:val="clear" w:fill="FFFFFF"/>
                    </w:rPr>
                    <w:t>闪点132℃</w:t>
                  </w:r>
                  <w:r>
                    <w:rPr>
                      <w:rFonts w:hint="eastAsia" w:ascii="Times New Roman" w:hAnsi="Times New Roman" w:eastAsia="宋体" w:cs="Times New Roman"/>
                      <w:i w:val="0"/>
                      <w:iCs w:val="0"/>
                      <w:caps w:val="0"/>
                      <w:color w:val="auto"/>
                      <w:spacing w:val="0"/>
                      <w:sz w:val="21"/>
                      <w:szCs w:val="21"/>
                      <w:shd w:val="clear" w:fill="FFFFFF"/>
                      <w:lang w:eastAsia="zh-CN"/>
                    </w:rPr>
                    <w:t>，</w:t>
                  </w:r>
                  <w:r>
                    <w:rPr>
                      <w:rFonts w:hint="default" w:ascii="Times New Roman" w:hAnsi="Times New Roman" w:eastAsia="宋体" w:cs="Times New Roman"/>
                      <w:i w:val="0"/>
                      <w:iCs w:val="0"/>
                      <w:caps w:val="0"/>
                      <w:color w:val="auto"/>
                      <w:spacing w:val="0"/>
                      <w:sz w:val="21"/>
                      <w:szCs w:val="21"/>
                      <w:shd w:val="clear" w:fill="FFFFFF"/>
                    </w:rPr>
                    <w:t>溶解度参数δ=14.5</w:t>
                  </w:r>
                  <w:r>
                    <w:rPr>
                      <w:rFonts w:hint="eastAsia" w:ascii="Times New Roman" w:hAnsi="Times New Roman" w:eastAsia="宋体" w:cs="Times New Roman"/>
                      <w:i w:val="0"/>
                      <w:iCs w:val="0"/>
                      <w:caps w:val="0"/>
                      <w:color w:val="auto"/>
                      <w:spacing w:val="0"/>
                      <w:sz w:val="21"/>
                      <w:szCs w:val="21"/>
                      <w:shd w:val="clear" w:fill="FFFFFF"/>
                      <w:lang w:eastAsia="zh-CN"/>
                    </w:rPr>
                    <w:t>，</w:t>
                  </w:r>
                  <w:r>
                    <w:rPr>
                      <w:rFonts w:hint="default" w:ascii="Times New Roman" w:hAnsi="Times New Roman" w:eastAsia="宋体" w:cs="Times New Roman"/>
                      <w:i w:val="0"/>
                      <w:iCs w:val="0"/>
                      <w:caps w:val="0"/>
                      <w:color w:val="auto"/>
                      <w:spacing w:val="0"/>
                      <w:sz w:val="21"/>
                      <w:szCs w:val="21"/>
                      <w:shd w:val="clear" w:fill="FFFFFF"/>
                    </w:rPr>
                    <w:t>相对密度1.2069</w:t>
                  </w:r>
                  <w:r>
                    <w:rPr>
                      <w:rFonts w:hint="eastAsia" w:ascii="Times New Roman" w:hAnsi="Times New Roman" w:eastAsia="宋体" w:cs="Times New Roman"/>
                      <w:i w:val="0"/>
                      <w:iCs w:val="0"/>
                      <w:caps w:val="0"/>
                      <w:color w:val="auto"/>
                      <w:spacing w:val="0"/>
                      <w:sz w:val="21"/>
                      <w:szCs w:val="21"/>
                      <w:shd w:val="clear" w:fill="FFFFFF"/>
                      <w:lang w:eastAsia="zh-CN"/>
                    </w:rPr>
                    <w:t>，</w:t>
                  </w:r>
                  <w:r>
                    <w:rPr>
                      <w:rFonts w:hint="default" w:ascii="Times New Roman" w:hAnsi="Times New Roman" w:eastAsia="宋体" w:cs="Times New Roman"/>
                      <w:i w:val="0"/>
                      <w:iCs w:val="0"/>
                      <w:caps w:val="0"/>
                      <w:color w:val="auto"/>
                      <w:spacing w:val="0"/>
                      <w:sz w:val="21"/>
                      <w:szCs w:val="21"/>
                      <w:shd w:val="clear" w:fill="FFFFFF"/>
                    </w:rPr>
                    <w:t>饱和蒸汽压0.004kpa</w:t>
                  </w:r>
                  <w:r>
                    <w:rPr>
                      <w:rFonts w:hint="eastAsia" w:ascii="Times New Roman" w:hAnsi="Times New Roman" w:eastAsia="宋体" w:cs="Times New Roman"/>
                      <w:i w:val="0"/>
                      <w:iCs w:val="0"/>
                      <w:caps w:val="0"/>
                      <w:color w:val="auto"/>
                      <w:spacing w:val="0"/>
                      <w:sz w:val="21"/>
                      <w:szCs w:val="21"/>
                      <w:shd w:val="clear" w:fill="FFFFFF"/>
                      <w:lang w:eastAsia="zh-CN"/>
                    </w:rPr>
                    <w:t>，</w:t>
                  </w:r>
                  <w:r>
                    <w:rPr>
                      <w:rFonts w:hint="default" w:ascii="Times New Roman" w:hAnsi="Times New Roman" w:eastAsia="宋体" w:cs="Times New Roman"/>
                      <w:i w:val="0"/>
                      <w:iCs w:val="0"/>
                      <w:caps w:val="0"/>
                      <w:color w:val="auto"/>
                      <w:spacing w:val="0"/>
                      <w:sz w:val="21"/>
                      <w:szCs w:val="21"/>
                      <w:shd w:val="clear" w:fill="FFFFFF"/>
                    </w:rPr>
                    <w:t>可混溶于丙酮、醇,乙醚、苯、乙酸乙酯等有机溶剂</w:t>
                  </w:r>
                  <w:r>
                    <w:rPr>
                      <w:rFonts w:hint="eastAsia" w:ascii="Times New Roman" w:hAnsi="Times New Roman" w:eastAsia="宋体" w:cs="Times New Roman"/>
                      <w:i w:val="0"/>
                      <w:iCs w:val="0"/>
                      <w:caps w:val="0"/>
                      <w:color w:val="auto"/>
                      <w:spacing w:val="0"/>
                      <w:sz w:val="21"/>
                      <w:szCs w:val="21"/>
                      <w:shd w:val="clear" w:fill="FFFFFF"/>
                      <w:lang w:eastAsia="zh-CN"/>
                    </w:rPr>
                    <w:t>，</w:t>
                  </w:r>
                  <w:r>
                    <w:rPr>
                      <w:rFonts w:hint="default" w:ascii="Times New Roman" w:hAnsi="Times New Roman" w:eastAsia="宋体" w:cs="Times New Roman"/>
                      <w:i w:val="0"/>
                      <w:iCs w:val="0"/>
                      <w:caps w:val="0"/>
                      <w:color w:val="auto"/>
                      <w:spacing w:val="0"/>
                      <w:sz w:val="21"/>
                      <w:szCs w:val="21"/>
                      <w:shd w:val="clear" w:fill="FFFFFF"/>
                    </w:rPr>
                    <w:t>折光率1.4189</w:t>
                  </w:r>
                  <w:r>
                    <w:rPr>
                      <w:rFonts w:hint="eastAsia" w:ascii="Times New Roman" w:hAnsi="Times New Roman" w:eastAsia="宋体" w:cs="Times New Roman"/>
                      <w:i w:val="0"/>
                      <w:iCs w:val="0"/>
                      <w:caps w:val="0"/>
                      <w:color w:val="auto"/>
                      <w:spacing w:val="0"/>
                      <w:sz w:val="21"/>
                      <w:szCs w:val="21"/>
                      <w:shd w:val="clear" w:fill="FFFFFF"/>
                      <w:lang w:eastAsia="zh-CN"/>
                    </w:rPr>
                    <w:t>，</w:t>
                  </w:r>
                  <w:r>
                    <w:rPr>
                      <w:rFonts w:hint="default" w:ascii="Times New Roman" w:hAnsi="Times New Roman" w:eastAsia="宋体" w:cs="Times New Roman"/>
                      <w:i w:val="0"/>
                      <w:iCs w:val="0"/>
                      <w:caps w:val="0"/>
                      <w:color w:val="auto"/>
                      <w:spacing w:val="0"/>
                      <w:sz w:val="21"/>
                      <w:szCs w:val="21"/>
                      <w:shd w:val="clear" w:fill="FFFFFF"/>
                    </w:rPr>
                    <w:t>2.5mPa.s</w:t>
                  </w:r>
                  <w:r>
                    <w:rPr>
                      <w:rFonts w:hint="eastAsia" w:ascii="Times New Roman" w:hAnsi="Times New Roman" w:eastAsia="宋体" w:cs="Times New Roman"/>
                      <w:i w:val="0"/>
                      <w:iCs w:val="0"/>
                      <w:caps w:val="0"/>
                      <w:color w:val="auto"/>
                      <w:spacing w:val="0"/>
                      <w:sz w:val="21"/>
                      <w:szCs w:val="21"/>
                      <w:shd w:val="clear" w:fill="FFFFFF"/>
                      <w:lang w:eastAsia="zh-CN"/>
                    </w:rPr>
                    <w:t>。</w:t>
                  </w:r>
                </w:p>
              </w:tc>
            </w:tr>
            <w:tr w14:paraId="7D275E0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5" w:type="dxa"/>
                  <w:tcBorders>
                    <w:tl2br w:val="nil"/>
                    <w:tr2bl w:val="nil"/>
                  </w:tcBorders>
                  <w:noWrap w:val="0"/>
                  <w:vAlign w:val="center"/>
                </w:tcPr>
                <w:p w14:paraId="3FC004B8">
                  <w:pPr>
                    <w:numPr>
                      <w:ilvl w:val="0"/>
                      <w:numId w:val="10"/>
                    </w:numPr>
                    <w:spacing w:before="53" w:line="240" w:lineRule="auto"/>
                    <w:ind w:left="425" w:leftChars="0" w:hanging="425" w:firstLineChars="0"/>
                    <w:jc w:val="center"/>
                    <w:rPr>
                      <w:rFonts w:hint="eastAsia" w:eastAsia="宋体"/>
                      <w:b w:val="0"/>
                      <w:bCs w:val="0"/>
                      <w:color w:val="auto"/>
                      <w:spacing w:val="6"/>
                      <w:sz w:val="21"/>
                      <w:szCs w:val="21"/>
                      <w:highlight w:val="none"/>
                      <w:lang w:val="en-US" w:eastAsia="zh-CN"/>
                    </w:rPr>
                  </w:pPr>
                </w:p>
              </w:tc>
              <w:tc>
                <w:tcPr>
                  <w:tcW w:w="1292" w:type="dxa"/>
                  <w:tcBorders>
                    <w:tl2br w:val="nil"/>
                    <w:tr2bl w:val="nil"/>
                  </w:tcBorders>
                  <w:shd w:val="clear" w:color="auto" w:fill="auto"/>
                  <w:noWrap w:val="0"/>
                  <w:vAlign w:val="center"/>
                </w:tcPr>
                <w:p w14:paraId="15EF1ABF">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碳酸锂</w:t>
                  </w:r>
                </w:p>
              </w:tc>
              <w:tc>
                <w:tcPr>
                  <w:tcW w:w="5972" w:type="dxa"/>
                  <w:tcBorders>
                    <w:tl2br w:val="nil"/>
                    <w:tr2bl w:val="nil"/>
                  </w:tcBorders>
                  <w:shd w:val="clear" w:color="auto" w:fill="auto"/>
                  <w:noWrap w:val="0"/>
                  <w:vAlign w:val="center"/>
                </w:tcPr>
                <w:p w14:paraId="1ACB47E1">
                  <w:pPr>
                    <w:keepNext w:val="0"/>
                    <w:keepLines w:val="0"/>
                    <w:widowControl/>
                    <w:numPr>
                      <w:ilvl w:val="0"/>
                      <w:numId w:val="0"/>
                    </w:numPr>
                    <w:suppressLineNumbers w:val="0"/>
                    <w:pBdr>
                      <w:left w:val="none" w:color="auto" w:sz="0" w:space="0"/>
                    </w:pBdr>
                    <w:spacing w:before="0" w:beforeAutospacing="1" w:after="0" w:afterAutospacing="1"/>
                    <w:ind w:left="0" w:leftChars="0" w:firstLine="0" w:firstLineChars="0"/>
                    <w:jc w:val="left"/>
                    <w:rPr>
                      <w:rFonts w:hint="default" w:ascii="Times New Roman" w:hAnsi="Times New Roman" w:eastAsia="宋体" w:cs="Times New Roman"/>
                      <w:i w:val="0"/>
                      <w:iCs w:val="0"/>
                      <w:caps w:val="0"/>
                      <w:color w:val="auto"/>
                      <w:spacing w:val="0"/>
                      <w:sz w:val="21"/>
                      <w:szCs w:val="21"/>
                      <w:shd w:val="clear" w:fill="FFFFFF"/>
                      <w:lang w:val="en-US" w:eastAsia="zh-CN"/>
                    </w:rPr>
                  </w:pPr>
                  <w:r>
                    <w:rPr>
                      <w:rFonts w:hint="default" w:ascii="Times New Roman" w:hAnsi="Times New Roman" w:eastAsia="宋体" w:cs="Times New Roman"/>
                      <w:i w:val="0"/>
                      <w:iCs w:val="0"/>
                      <w:caps w:val="0"/>
                      <w:color w:val="auto"/>
                      <w:spacing w:val="0"/>
                      <w:sz w:val="21"/>
                      <w:szCs w:val="21"/>
                      <w:shd w:val="clear" w:fill="FFFFFF"/>
                    </w:rPr>
                    <w:t>白色单斜晶体或粉末，无臭，味微咸；晶体颗粒细腻，粉末状样品手感细腻，暴露于空气中不易潮解（与LiOH相比吸湿性较弱）。熔点约723℃（1.01×10⁵ Pa），加热至约1310℃分解为 Li₂O 和 CO₂；熔融状态下为无色液体，冷却后重新结晶。</w:t>
                  </w:r>
                </w:p>
              </w:tc>
            </w:tr>
            <w:tr w14:paraId="0B403D7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5" w:type="dxa"/>
                  <w:tcBorders>
                    <w:tl2br w:val="nil"/>
                    <w:tr2bl w:val="nil"/>
                  </w:tcBorders>
                  <w:noWrap w:val="0"/>
                  <w:vAlign w:val="center"/>
                </w:tcPr>
                <w:p w14:paraId="11DF7CEC">
                  <w:pPr>
                    <w:numPr>
                      <w:ilvl w:val="0"/>
                      <w:numId w:val="10"/>
                    </w:numPr>
                    <w:spacing w:before="53" w:line="240" w:lineRule="auto"/>
                    <w:ind w:left="425" w:leftChars="0" w:hanging="425" w:firstLineChars="0"/>
                    <w:jc w:val="center"/>
                    <w:rPr>
                      <w:rFonts w:hint="eastAsia" w:eastAsia="宋体"/>
                      <w:b w:val="0"/>
                      <w:bCs w:val="0"/>
                      <w:color w:val="auto"/>
                      <w:spacing w:val="6"/>
                      <w:sz w:val="21"/>
                      <w:szCs w:val="21"/>
                      <w:highlight w:val="none"/>
                      <w:lang w:val="en-US" w:eastAsia="zh-CN"/>
                    </w:rPr>
                  </w:pPr>
                </w:p>
              </w:tc>
              <w:tc>
                <w:tcPr>
                  <w:tcW w:w="1292" w:type="dxa"/>
                  <w:tcBorders>
                    <w:tl2br w:val="nil"/>
                    <w:tr2bl w:val="nil"/>
                  </w:tcBorders>
                  <w:shd w:val="clear" w:color="auto" w:fill="auto"/>
                  <w:noWrap w:val="0"/>
                  <w:vAlign w:val="center"/>
                </w:tcPr>
                <w:p w14:paraId="1F4C2B7C">
                  <w:pPr>
                    <w:jc w:val="center"/>
                    <w:rPr>
                      <w:rFonts w:hint="default" w:ascii="Times New Roman" w:hAnsi="Times New Roman" w:eastAsia="宋体" w:cs="Times New Roman"/>
                      <w:kern w:val="2"/>
                      <w:sz w:val="21"/>
                      <w:szCs w:val="21"/>
                      <w:highlight w:val="yellow"/>
                      <w:lang w:val="en-US" w:eastAsia="zh-CN" w:bidi="ar-SA"/>
                    </w:rPr>
                  </w:pPr>
                  <w:r>
                    <w:rPr>
                      <w:rFonts w:hint="eastAsia"/>
                      <w:sz w:val="21"/>
                      <w:szCs w:val="21"/>
                      <w:highlight w:val="yellow"/>
                    </w:rPr>
                    <w:t>柠檬酸</w:t>
                  </w:r>
                </w:p>
              </w:tc>
              <w:tc>
                <w:tcPr>
                  <w:tcW w:w="5972" w:type="dxa"/>
                  <w:tcBorders>
                    <w:tl2br w:val="nil"/>
                    <w:tr2bl w:val="nil"/>
                  </w:tcBorders>
                  <w:shd w:val="clear" w:color="auto" w:fill="auto"/>
                  <w:noWrap w:val="0"/>
                  <w:vAlign w:val="center"/>
                </w:tcPr>
                <w:p w14:paraId="5273B6C6">
                  <w:pPr>
                    <w:keepNext w:val="0"/>
                    <w:keepLines w:val="0"/>
                    <w:widowControl/>
                    <w:numPr>
                      <w:ilvl w:val="0"/>
                      <w:numId w:val="0"/>
                    </w:numPr>
                    <w:suppressLineNumbers w:val="0"/>
                    <w:pBdr>
                      <w:left w:val="none" w:color="auto" w:sz="0" w:space="0"/>
                    </w:pBdr>
                    <w:spacing w:before="0" w:beforeAutospacing="1" w:after="0" w:afterAutospacing="1"/>
                    <w:ind w:left="0" w:leftChars="0" w:firstLine="0" w:firstLineChars="0"/>
                    <w:jc w:val="left"/>
                    <w:rPr>
                      <w:rFonts w:hint="default" w:ascii="Times New Roman" w:hAnsi="Times New Roman" w:eastAsia="宋体" w:cs="Times New Roman"/>
                      <w:i w:val="0"/>
                      <w:iCs w:val="0"/>
                      <w:caps w:val="0"/>
                      <w:color w:val="auto"/>
                      <w:spacing w:val="0"/>
                      <w:sz w:val="21"/>
                      <w:szCs w:val="21"/>
                      <w:shd w:val="clear" w:fill="FFFFFF"/>
                    </w:rPr>
                  </w:pPr>
                  <w:r>
                    <w:rPr>
                      <w:rFonts w:hint="eastAsia" w:ascii="Times New Roman" w:hAnsi="Times New Roman" w:eastAsia="宋体" w:cs="Times New Roman"/>
                      <w:i w:val="0"/>
                      <w:iCs w:val="0"/>
                      <w:caps w:val="0"/>
                      <w:color w:val="auto"/>
                      <w:spacing w:val="0"/>
                      <w:sz w:val="21"/>
                      <w:szCs w:val="21"/>
                      <w:shd w:val="clear" w:fill="FFFFFF"/>
                    </w:rPr>
                    <w:t>无水柠檬酸为无色透明斜方晶系结晶或白色颗粒/粉末，无臭，味极酸；一水合柠檬酸为无色单斜晶系柱状结晶，在干燥空气中易风化失去结晶水。熔点：无水柠檬酸153℃（分解）；一水合柠檬酸70~75℃（失水），加热至100℃完全转化为无水柠檬酸。沸点与分解：无明确沸点，175℃以上逐步分解，释放二氧化碳和水，最终生成乌头酸、衣康酸等产物；无水柠檬酸在减压下（10 mmHg）约132℃可升华。</w:t>
                  </w:r>
                </w:p>
              </w:tc>
            </w:tr>
            <w:tr w14:paraId="2F199B4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5" w:type="dxa"/>
                  <w:tcBorders>
                    <w:tl2br w:val="nil"/>
                    <w:tr2bl w:val="nil"/>
                  </w:tcBorders>
                  <w:noWrap w:val="0"/>
                  <w:vAlign w:val="center"/>
                </w:tcPr>
                <w:p w14:paraId="2F133FFF">
                  <w:pPr>
                    <w:numPr>
                      <w:ilvl w:val="0"/>
                      <w:numId w:val="10"/>
                    </w:numPr>
                    <w:spacing w:before="53" w:line="240" w:lineRule="auto"/>
                    <w:ind w:left="425" w:leftChars="0" w:hanging="425" w:firstLineChars="0"/>
                    <w:jc w:val="center"/>
                    <w:rPr>
                      <w:rFonts w:hint="eastAsia" w:eastAsia="宋体"/>
                      <w:b w:val="0"/>
                      <w:bCs w:val="0"/>
                      <w:color w:val="auto"/>
                      <w:spacing w:val="6"/>
                      <w:sz w:val="21"/>
                      <w:szCs w:val="21"/>
                      <w:highlight w:val="none"/>
                      <w:lang w:val="en-US" w:eastAsia="zh-CN"/>
                    </w:rPr>
                  </w:pPr>
                </w:p>
              </w:tc>
              <w:tc>
                <w:tcPr>
                  <w:tcW w:w="1292" w:type="dxa"/>
                  <w:tcBorders>
                    <w:tl2br w:val="nil"/>
                    <w:tr2bl w:val="nil"/>
                  </w:tcBorders>
                  <w:shd w:val="clear" w:color="auto" w:fill="auto"/>
                  <w:noWrap w:val="0"/>
                  <w:vAlign w:val="center"/>
                </w:tcPr>
                <w:p w14:paraId="165757A7">
                  <w:pPr>
                    <w:jc w:val="center"/>
                    <w:rPr>
                      <w:rFonts w:hint="default" w:ascii="Times New Roman" w:hAnsi="Times New Roman" w:eastAsia="宋体" w:cs="Times New Roman"/>
                      <w:kern w:val="2"/>
                      <w:sz w:val="21"/>
                      <w:szCs w:val="21"/>
                      <w:highlight w:val="yellow"/>
                      <w:lang w:val="en-US" w:eastAsia="zh-CN" w:bidi="ar-SA"/>
                    </w:rPr>
                  </w:pPr>
                  <w:r>
                    <w:rPr>
                      <w:rFonts w:hint="eastAsia"/>
                      <w:sz w:val="21"/>
                      <w:szCs w:val="21"/>
                      <w:highlight w:val="yellow"/>
                    </w:rPr>
                    <w:t>草酸</w:t>
                  </w:r>
                </w:p>
              </w:tc>
              <w:tc>
                <w:tcPr>
                  <w:tcW w:w="5972" w:type="dxa"/>
                  <w:tcBorders>
                    <w:tl2br w:val="nil"/>
                    <w:tr2bl w:val="nil"/>
                  </w:tcBorders>
                  <w:shd w:val="clear" w:color="auto" w:fill="auto"/>
                  <w:noWrap w:val="0"/>
                  <w:vAlign w:val="center"/>
                </w:tcPr>
                <w:p w14:paraId="0F20C2B5">
                  <w:pPr>
                    <w:keepNext w:val="0"/>
                    <w:keepLines w:val="0"/>
                    <w:widowControl/>
                    <w:numPr>
                      <w:ilvl w:val="0"/>
                      <w:numId w:val="0"/>
                    </w:numPr>
                    <w:suppressLineNumbers w:val="0"/>
                    <w:pBdr>
                      <w:left w:val="none" w:color="auto" w:sz="0" w:space="0"/>
                    </w:pBdr>
                    <w:spacing w:before="0" w:beforeAutospacing="1" w:after="0" w:afterAutospacing="1"/>
                    <w:ind w:left="0" w:leftChars="0" w:firstLine="0" w:firstLineChars="0"/>
                    <w:jc w:val="left"/>
                    <w:rPr>
                      <w:rFonts w:hint="default" w:ascii="Times New Roman" w:hAnsi="Times New Roman" w:eastAsia="宋体" w:cs="Times New Roman"/>
                      <w:i w:val="0"/>
                      <w:iCs w:val="0"/>
                      <w:caps w:val="0"/>
                      <w:color w:val="auto"/>
                      <w:spacing w:val="0"/>
                      <w:sz w:val="21"/>
                      <w:szCs w:val="21"/>
                      <w:shd w:val="clear" w:fill="FFFFFF"/>
                    </w:rPr>
                  </w:pPr>
                  <w:r>
                    <w:rPr>
                      <w:rFonts w:hint="default" w:ascii="Times New Roman" w:hAnsi="Times New Roman" w:eastAsia="宋体" w:cs="Times New Roman"/>
                      <w:i w:val="0"/>
                      <w:iCs w:val="0"/>
                      <w:caps w:val="0"/>
                      <w:color w:val="auto"/>
                      <w:spacing w:val="0"/>
                      <w:sz w:val="21"/>
                      <w:szCs w:val="21"/>
                      <w:shd w:val="clear" w:fill="FFFFFF"/>
                    </w:rPr>
                    <w:t>无水草酸为无色透明菱形或单斜晶形结晶，无臭，味酸；二水合草酸为无色柱状晶体，在高热干燥空气中易风化失水。熔点：无水草酸189.5℃（分解）；二水合草酸101~102℃（失水）。无水草酸无明确沸点，100℃开始升华，125℃迅速升华，157℃大量升华并开始分解；二水合草酸加热至100℃失去结晶水成为无水草酸。</w:t>
                  </w:r>
                </w:p>
              </w:tc>
            </w:tr>
            <w:tr w14:paraId="1F90EC3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5" w:type="dxa"/>
                  <w:tcBorders>
                    <w:tl2br w:val="nil"/>
                    <w:tr2bl w:val="nil"/>
                  </w:tcBorders>
                  <w:noWrap w:val="0"/>
                  <w:vAlign w:val="center"/>
                </w:tcPr>
                <w:p w14:paraId="301E5495">
                  <w:pPr>
                    <w:numPr>
                      <w:ilvl w:val="0"/>
                      <w:numId w:val="10"/>
                    </w:numPr>
                    <w:spacing w:before="53" w:line="240" w:lineRule="auto"/>
                    <w:ind w:left="425" w:leftChars="0" w:hanging="425" w:firstLineChars="0"/>
                    <w:jc w:val="center"/>
                    <w:rPr>
                      <w:rFonts w:hint="eastAsia" w:eastAsia="宋体"/>
                      <w:b w:val="0"/>
                      <w:bCs w:val="0"/>
                      <w:color w:val="auto"/>
                      <w:spacing w:val="6"/>
                      <w:sz w:val="21"/>
                      <w:szCs w:val="21"/>
                      <w:highlight w:val="none"/>
                      <w:lang w:val="en-US" w:eastAsia="zh-CN"/>
                    </w:rPr>
                  </w:pPr>
                </w:p>
              </w:tc>
              <w:tc>
                <w:tcPr>
                  <w:tcW w:w="1292" w:type="dxa"/>
                  <w:tcBorders>
                    <w:tl2br w:val="nil"/>
                    <w:tr2bl w:val="nil"/>
                  </w:tcBorders>
                  <w:shd w:val="clear" w:color="auto" w:fill="auto"/>
                  <w:noWrap w:val="0"/>
                  <w:vAlign w:val="center"/>
                </w:tcPr>
                <w:p w14:paraId="0AE506CB">
                  <w:pPr>
                    <w:keepNext w:val="0"/>
                    <w:keepLines w:val="0"/>
                    <w:widowControl/>
                    <w:numPr>
                      <w:ilvl w:val="0"/>
                      <w:numId w:val="0"/>
                    </w:numPr>
                    <w:suppressLineNumbers w:val="0"/>
                    <w:pBdr>
                      <w:left w:val="none" w:color="auto" w:sz="0" w:space="0"/>
                    </w:pBdr>
                    <w:spacing w:before="0" w:beforeAutospacing="1" w:after="0" w:afterAutospacing="1"/>
                    <w:ind w:left="0" w:leftChars="0" w:firstLine="0" w:firstLineChars="0"/>
                    <w:jc w:val="center"/>
                    <w:rPr>
                      <w:rFonts w:hint="eastAsia" w:ascii="Times New Roman" w:hAnsi="Times New Roman" w:eastAsia="宋体" w:cs="Times New Roman"/>
                      <w:i w:val="0"/>
                      <w:iCs w:val="0"/>
                      <w:caps w:val="0"/>
                      <w:color w:val="auto"/>
                      <w:spacing w:val="0"/>
                      <w:sz w:val="21"/>
                      <w:szCs w:val="21"/>
                      <w:shd w:val="clear" w:fill="FFFFFF"/>
                      <w:lang w:val="en-US" w:eastAsia="zh-CN"/>
                    </w:rPr>
                  </w:pPr>
                  <w:r>
                    <w:rPr>
                      <w:rFonts w:hint="eastAsia" w:ascii="Times New Roman" w:hAnsi="Times New Roman" w:eastAsia="宋体" w:cs="Times New Roman"/>
                      <w:i w:val="0"/>
                      <w:iCs w:val="0"/>
                      <w:caps w:val="0"/>
                      <w:color w:val="auto"/>
                      <w:spacing w:val="0"/>
                      <w:sz w:val="21"/>
                      <w:szCs w:val="21"/>
                      <w:shd w:val="clear" w:fill="FFFFFF"/>
                    </w:rPr>
                    <w:t>乙醇</w:t>
                  </w:r>
                </w:p>
              </w:tc>
              <w:tc>
                <w:tcPr>
                  <w:tcW w:w="5972" w:type="dxa"/>
                  <w:tcBorders>
                    <w:tl2br w:val="nil"/>
                    <w:tr2bl w:val="nil"/>
                  </w:tcBorders>
                  <w:shd w:val="clear" w:color="auto" w:fill="auto"/>
                  <w:noWrap w:val="0"/>
                  <w:vAlign w:val="center"/>
                </w:tcPr>
                <w:p w14:paraId="1211465E">
                  <w:pPr>
                    <w:keepNext w:val="0"/>
                    <w:keepLines w:val="0"/>
                    <w:widowControl/>
                    <w:numPr>
                      <w:ilvl w:val="0"/>
                      <w:numId w:val="0"/>
                    </w:numPr>
                    <w:suppressLineNumbers w:val="0"/>
                    <w:pBdr>
                      <w:left w:val="none" w:color="auto" w:sz="0" w:space="0"/>
                    </w:pBdr>
                    <w:spacing w:before="0" w:beforeAutospacing="1" w:after="0" w:afterAutospacing="1"/>
                    <w:ind w:left="0" w:leftChars="0" w:firstLine="0" w:firstLineChars="0"/>
                    <w:jc w:val="left"/>
                    <w:rPr>
                      <w:rFonts w:hint="default" w:ascii="Times New Roman" w:hAnsi="Times New Roman" w:eastAsia="宋体" w:cs="Times New Roman"/>
                      <w:i w:val="0"/>
                      <w:iCs w:val="0"/>
                      <w:caps w:val="0"/>
                      <w:color w:val="auto"/>
                      <w:spacing w:val="0"/>
                      <w:sz w:val="21"/>
                      <w:szCs w:val="21"/>
                      <w:shd w:val="clear" w:fill="FFFFFF"/>
                      <w:lang w:val="en-US" w:eastAsia="zh-CN"/>
                    </w:rPr>
                  </w:pPr>
                  <w:r>
                    <w:rPr>
                      <w:rFonts w:hint="default" w:ascii="Times New Roman" w:hAnsi="Times New Roman" w:eastAsia="宋体" w:cs="Times New Roman"/>
                      <w:i w:val="0"/>
                      <w:iCs w:val="0"/>
                      <w:caps w:val="0"/>
                      <w:color w:val="auto"/>
                      <w:spacing w:val="0"/>
                      <w:sz w:val="21"/>
                      <w:szCs w:val="21"/>
                      <w:shd w:val="clear" w:fill="FFFFFF"/>
                      <w:lang w:val="en-US" w:eastAsia="zh-CN"/>
                    </w:rPr>
                    <w:t>易燃、易挥发的无色透明液体，它的水溶液具有酒香的气味，密度0.789g/cm3(20℃)，沸点是78.3℃，熔点是-114.1℃，易燃，其蒸气能与空气形成爆炸性混合物，能与水以任意比互溶。能与氯仿、乙醚、甲醇、丙酮和其他多数有机溶剂混溶。</w:t>
                  </w:r>
                </w:p>
              </w:tc>
            </w:tr>
            <w:tr w14:paraId="6387527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5" w:type="dxa"/>
                  <w:tcBorders>
                    <w:tl2br w:val="nil"/>
                    <w:tr2bl w:val="nil"/>
                  </w:tcBorders>
                  <w:noWrap w:val="0"/>
                  <w:vAlign w:val="center"/>
                </w:tcPr>
                <w:p w14:paraId="66C56AFF">
                  <w:pPr>
                    <w:numPr>
                      <w:ilvl w:val="0"/>
                      <w:numId w:val="10"/>
                    </w:numPr>
                    <w:spacing w:before="53" w:line="240" w:lineRule="auto"/>
                    <w:ind w:left="425" w:leftChars="0" w:hanging="425" w:firstLineChars="0"/>
                    <w:jc w:val="center"/>
                    <w:rPr>
                      <w:rFonts w:hint="eastAsia" w:eastAsia="宋体"/>
                      <w:b w:val="0"/>
                      <w:bCs w:val="0"/>
                      <w:color w:val="auto"/>
                      <w:spacing w:val="6"/>
                      <w:sz w:val="21"/>
                      <w:szCs w:val="21"/>
                      <w:highlight w:val="none"/>
                      <w:lang w:val="en-US" w:eastAsia="zh-CN"/>
                    </w:rPr>
                  </w:pPr>
                </w:p>
              </w:tc>
              <w:tc>
                <w:tcPr>
                  <w:tcW w:w="1292" w:type="dxa"/>
                  <w:tcBorders>
                    <w:tl2br w:val="nil"/>
                    <w:tr2bl w:val="nil"/>
                  </w:tcBorders>
                  <w:shd w:val="clear" w:color="auto" w:fill="auto"/>
                  <w:noWrap w:val="0"/>
                  <w:vAlign w:val="center"/>
                </w:tcPr>
                <w:p w14:paraId="666EA8F3">
                  <w:pPr>
                    <w:keepNext w:val="0"/>
                    <w:keepLines w:val="0"/>
                    <w:widowControl/>
                    <w:numPr>
                      <w:ilvl w:val="0"/>
                      <w:numId w:val="0"/>
                    </w:numPr>
                    <w:suppressLineNumbers w:val="0"/>
                    <w:pBdr>
                      <w:left w:val="none" w:color="auto" w:sz="0" w:space="0"/>
                    </w:pBdr>
                    <w:spacing w:before="0" w:beforeAutospacing="1" w:after="0" w:afterAutospacing="1"/>
                    <w:ind w:left="0" w:leftChars="0" w:firstLine="0" w:firstLineChars="0"/>
                    <w:jc w:val="center"/>
                    <w:rPr>
                      <w:rFonts w:hint="default" w:ascii="Times New Roman" w:hAnsi="Times New Roman" w:eastAsia="宋体" w:cs="Times New Roman"/>
                      <w:i w:val="0"/>
                      <w:iCs w:val="0"/>
                      <w:caps w:val="0"/>
                      <w:color w:val="auto"/>
                      <w:spacing w:val="0"/>
                      <w:sz w:val="21"/>
                      <w:szCs w:val="21"/>
                      <w:shd w:val="clear" w:fill="FFFFFF"/>
                      <w:lang w:val="en-US" w:eastAsia="zh-CN"/>
                    </w:rPr>
                  </w:pPr>
                  <w:r>
                    <w:rPr>
                      <w:rFonts w:hint="eastAsia" w:ascii="Times New Roman" w:hAnsi="Times New Roman" w:eastAsia="宋体" w:cs="Times New Roman"/>
                      <w:i w:val="0"/>
                      <w:iCs w:val="0"/>
                      <w:caps w:val="0"/>
                      <w:color w:val="auto"/>
                      <w:spacing w:val="0"/>
                      <w:sz w:val="21"/>
                      <w:szCs w:val="21"/>
                      <w:shd w:val="clear" w:fill="FFFFFF"/>
                      <w:lang w:val="en-US" w:eastAsia="zh-CN"/>
                    </w:rPr>
                    <w:t>聚乙二醇</w:t>
                  </w:r>
                </w:p>
              </w:tc>
              <w:tc>
                <w:tcPr>
                  <w:tcW w:w="5972" w:type="dxa"/>
                  <w:tcBorders>
                    <w:tl2br w:val="nil"/>
                    <w:tr2bl w:val="nil"/>
                  </w:tcBorders>
                  <w:shd w:val="clear" w:color="auto" w:fill="auto"/>
                  <w:noWrap w:val="0"/>
                  <w:vAlign w:val="center"/>
                </w:tcPr>
                <w:p w14:paraId="2CEB6AFE">
                  <w:pPr>
                    <w:keepNext w:val="0"/>
                    <w:keepLines w:val="0"/>
                    <w:widowControl/>
                    <w:numPr>
                      <w:ilvl w:val="0"/>
                      <w:numId w:val="0"/>
                    </w:numPr>
                    <w:suppressLineNumbers w:val="0"/>
                    <w:pBdr>
                      <w:left w:val="none" w:color="auto" w:sz="0" w:space="0"/>
                    </w:pBdr>
                    <w:spacing w:before="0" w:beforeAutospacing="1" w:after="0" w:afterAutospacing="1"/>
                    <w:ind w:left="0" w:leftChars="0" w:firstLine="0" w:firstLineChars="0"/>
                    <w:jc w:val="left"/>
                    <w:rPr>
                      <w:rFonts w:hint="default" w:ascii="Times New Roman" w:hAnsi="Times New Roman" w:eastAsia="宋体" w:cs="Times New Roman"/>
                      <w:i w:val="0"/>
                      <w:iCs w:val="0"/>
                      <w:caps w:val="0"/>
                      <w:color w:val="auto"/>
                      <w:spacing w:val="0"/>
                      <w:sz w:val="21"/>
                      <w:szCs w:val="21"/>
                      <w:shd w:val="clear" w:fill="FFFFFF"/>
                      <w:lang w:val="en-US" w:eastAsia="zh-CN"/>
                    </w:rPr>
                  </w:pPr>
                  <w:r>
                    <w:rPr>
                      <w:rFonts w:hint="default" w:ascii="Times New Roman" w:hAnsi="Times New Roman" w:eastAsia="宋体" w:cs="Times New Roman"/>
                      <w:i w:val="0"/>
                      <w:iCs w:val="0"/>
                      <w:caps w:val="0"/>
                      <w:color w:val="auto"/>
                      <w:spacing w:val="0"/>
                      <w:sz w:val="21"/>
                      <w:szCs w:val="21"/>
                      <w:shd w:val="clear" w:fill="FFFFFF"/>
                      <w:lang w:val="en-US" w:eastAsia="zh-CN"/>
                    </w:rPr>
                    <w:t>一种有机高分子聚合物，常温下为无色、白色或乳白色的无定形粉末，无臭无味。一般密度范围为1.19-1.31g/cm</w:t>
                  </w:r>
                  <w:r>
                    <w:rPr>
                      <w:rFonts w:hint="eastAsia" w:ascii="Times New Roman" w:hAnsi="Times New Roman" w:eastAsia="宋体" w:cs="Times New Roman"/>
                      <w:i w:val="0"/>
                      <w:iCs w:val="0"/>
                      <w:caps w:val="0"/>
                      <w:color w:val="auto"/>
                      <w:spacing w:val="0"/>
                      <w:sz w:val="21"/>
                      <w:szCs w:val="21"/>
                      <w:shd w:val="clear" w:fill="FFFFFF"/>
                      <w:lang w:val="en-US" w:eastAsia="zh-CN"/>
                    </w:rPr>
                    <w:t>3</w:t>
                  </w:r>
                  <w:r>
                    <w:rPr>
                      <w:rFonts w:hint="default" w:ascii="Times New Roman" w:hAnsi="Times New Roman" w:eastAsia="宋体" w:cs="Times New Roman"/>
                      <w:i w:val="0"/>
                      <w:iCs w:val="0"/>
                      <w:caps w:val="0"/>
                      <w:color w:val="auto"/>
                      <w:spacing w:val="0"/>
                      <w:sz w:val="21"/>
                      <w:szCs w:val="21"/>
                      <w:shd w:val="clear" w:fill="FFFFFF"/>
                      <w:lang w:val="en-US" w:eastAsia="zh-CN"/>
                    </w:rPr>
                    <w:t>，</w:t>
                  </w:r>
                  <w:r>
                    <w:rPr>
                      <w:rFonts w:hint="eastAsia" w:ascii="Times New Roman" w:hAnsi="Times New Roman" w:eastAsia="宋体" w:cs="Times New Roman"/>
                      <w:i w:val="0"/>
                      <w:iCs w:val="0"/>
                      <w:caps w:val="0"/>
                      <w:color w:val="auto"/>
                      <w:spacing w:val="0"/>
                      <w:sz w:val="21"/>
                      <w:szCs w:val="21"/>
                      <w:shd w:val="clear" w:fill="FFFFFF"/>
                      <w:lang w:val="en-US" w:eastAsia="zh-CN"/>
                    </w:rPr>
                    <w:t>熔点</w:t>
                  </w:r>
                  <w:r>
                    <w:rPr>
                      <w:rFonts w:hint="default" w:ascii="Times New Roman" w:hAnsi="Times New Roman" w:eastAsia="宋体" w:cs="Times New Roman"/>
                      <w:i w:val="0"/>
                      <w:iCs w:val="0"/>
                      <w:caps w:val="0"/>
                      <w:color w:val="auto"/>
                      <w:spacing w:val="0"/>
                      <w:sz w:val="21"/>
                      <w:szCs w:val="21"/>
                      <w:shd w:val="clear" w:fill="FFFFFF"/>
                      <w:lang w:val="en-US" w:eastAsia="zh-CN"/>
                    </w:rPr>
                    <w:t>230-240℃</w:t>
                  </w:r>
                  <w:r>
                    <w:rPr>
                      <w:rFonts w:hint="eastAsia" w:ascii="Times New Roman" w:hAnsi="Times New Roman" w:eastAsia="宋体" w:cs="Times New Roman"/>
                      <w:i w:val="0"/>
                      <w:iCs w:val="0"/>
                      <w:caps w:val="0"/>
                      <w:color w:val="auto"/>
                      <w:spacing w:val="0"/>
                      <w:sz w:val="21"/>
                      <w:szCs w:val="21"/>
                      <w:shd w:val="clear" w:fill="FFFFFF"/>
                      <w:lang w:val="en-US" w:eastAsia="zh-CN"/>
                    </w:rPr>
                    <w:t>，</w:t>
                  </w:r>
                  <w:r>
                    <w:rPr>
                      <w:rFonts w:hint="default" w:ascii="Times New Roman" w:hAnsi="Times New Roman" w:eastAsia="宋体" w:cs="Times New Roman"/>
                      <w:i w:val="0"/>
                      <w:iCs w:val="0"/>
                      <w:caps w:val="0"/>
                      <w:color w:val="auto"/>
                      <w:spacing w:val="0"/>
                      <w:sz w:val="21"/>
                      <w:szCs w:val="21"/>
                      <w:shd w:val="clear" w:fill="FFFFFF"/>
                      <w:lang w:val="en-US" w:eastAsia="zh-CN"/>
                    </w:rPr>
                    <w:t>可溶于热水，不溶于汽油、苯、甲醇、丙酮等一般有机溶剂。</w:t>
                  </w:r>
                </w:p>
              </w:tc>
            </w:tr>
            <w:tr w14:paraId="0D84BBE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5" w:type="dxa"/>
                  <w:tcBorders>
                    <w:tl2br w:val="nil"/>
                    <w:tr2bl w:val="nil"/>
                  </w:tcBorders>
                  <w:noWrap w:val="0"/>
                  <w:vAlign w:val="center"/>
                </w:tcPr>
                <w:p w14:paraId="01A9779F">
                  <w:pPr>
                    <w:numPr>
                      <w:ilvl w:val="0"/>
                      <w:numId w:val="10"/>
                    </w:numPr>
                    <w:spacing w:before="53" w:line="240" w:lineRule="auto"/>
                    <w:ind w:left="425" w:leftChars="0" w:hanging="425" w:firstLineChars="0"/>
                    <w:jc w:val="center"/>
                    <w:rPr>
                      <w:rFonts w:hint="eastAsia" w:eastAsia="宋体"/>
                      <w:b w:val="0"/>
                      <w:bCs w:val="0"/>
                      <w:color w:val="auto"/>
                      <w:spacing w:val="6"/>
                      <w:sz w:val="21"/>
                      <w:szCs w:val="21"/>
                      <w:highlight w:val="none"/>
                      <w:lang w:val="en-US" w:eastAsia="zh-CN"/>
                    </w:rPr>
                  </w:pPr>
                </w:p>
              </w:tc>
              <w:tc>
                <w:tcPr>
                  <w:tcW w:w="1292" w:type="dxa"/>
                  <w:tcBorders>
                    <w:tl2br w:val="nil"/>
                    <w:tr2bl w:val="nil"/>
                  </w:tcBorders>
                  <w:shd w:val="clear" w:color="auto" w:fill="auto"/>
                  <w:noWrap w:val="0"/>
                  <w:vAlign w:val="center"/>
                </w:tcPr>
                <w:p w14:paraId="77B82727">
                  <w:pPr>
                    <w:keepNext w:val="0"/>
                    <w:keepLines w:val="0"/>
                    <w:widowControl/>
                    <w:numPr>
                      <w:ilvl w:val="0"/>
                      <w:numId w:val="0"/>
                    </w:numPr>
                    <w:suppressLineNumbers w:val="0"/>
                    <w:pBdr>
                      <w:left w:val="none" w:color="auto" w:sz="0" w:space="0"/>
                    </w:pBdr>
                    <w:spacing w:before="0" w:beforeAutospacing="1" w:after="0" w:afterAutospacing="1"/>
                    <w:ind w:left="0" w:leftChars="0" w:firstLine="0" w:firstLineChars="0"/>
                    <w:jc w:val="center"/>
                    <w:rPr>
                      <w:rFonts w:hint="default" w:ascii="Times New Roman" w:hAnsi="Times New Roman" w:eastAsia="宋体" w:cs="Times New Roman"/>
                      <w:i w:val="0"/>
                      <w:iCs w:val="0"/>
                      <w:caps w:val="0"/>
                      <w:color w:val="auto"/>
                      <w:spacing w:val="0"/>
                      <w:sz w:val="21"/>
                      <w:szCs w:val="21"/>
                      <w:shd w:val="clear" w:fill="FFFFFF"/>
                      <w:lang w:val="en-US" w:eastAsia="zh-CN"/>
                    </w:rPr>
                  </w:pPr>
                  <w:r>
                    <w:rPr>
                      <w:rFonts w:hint="eastAsia" w:ascii="Times New Roman" w:hAnsi="Times New Roman" w:eastAsia="宋体" w:cs="Times New Roman"/>
                      <w:i w:val="0"/>
                      <w:iCs w:val="0"/>
                      <w:caps w:val="0"/>
                      <w:color w:val="auto"/>
                      <w:spacing w:val="0"/>
                      <w:sz w:val="21"/>
                      <w:szCs w:val="21"/>
                      <w:shd w:val="clear" w:fill="FFFFFF"/>
                    </w:rPr>
                    <w:t>碳酸钠</w:t>
                  </w:r>
                </w:p>
              </w:tc>
              <w:tc>
                <w:tcPr>
                  <w:tcW w:w="5972" w:type="dxa"/>
                  <w:tcBorders>
                    <w:tl2br w:val="nil"/>
                    <w:tr2bl w:val="nil"/>
                  </w:tcBorders>
                  <w:shd w:val="clear" w:color="auto" w:fill="auto"/>
                  <w:noWrap w:val="0"/>
                  <w:vAlign w:val="center"/>
                </w:tcPr>
                <w:p w14:paraId="5A8C25A2">
                  <w:pPr>
                    <w:keepNext w:val="0"/>
                    <w:keepLines w:val="0"/>
                    <w:widowControl/>
                    <w:numPr>
                      <w:ilvl w:val="0"/>
                      <w:numId w:val="0"/>
                    </w:numPr>
                    <w:suppressLineNumbers w:val="0"/>
                    <w:pBdr>
                      <w:left w:val="none" w:color="auto" w:sz="0" w:space="0"/>
                    </w:pBdr>
                    <w:spacing w:before="0" w:beforeAutospacing="1" w:after="0" w:afterAutospacing="1"/>
                    <w:ind w:left="0" w:leftChars="0" w:firstLine="0" w:firstLineChars="0"/>
                    <w:jc w:val="left"/>
                    <w:rPr>
                      <w:rFonts w:hint="default" w:ascii="Times New Roman" w:hAnsi="Times New Roman" w:eastAsia="宋体" w:cs="Times New Roman"/>
                      <w:i w:val="0"/>
                      <w:iCs w:val="0"/>
                      <w:caps w:val="0"/>
                      <w:color w:val="auto"/>
                      <w:spacing w:val="0"/>
                      <w:sz w:val="21"/>
                      <w:szCs w:val="21"/>
                      <w:shd w:val="clear" w:fill="FFFFFF"/>
                      <w:lang w:val="en-US" w:eastAsia="zh-CN"/>
                    </w:rPr>
                  </w:pPr>
                  <w:r>
                    <w:rPr>
                      <w:rFonts w:hint="default" w:ascii="Times New Roman" w:hAnsi="Times New Roman" w:eastAsia="宋体" w:cs="Times New Roman"/>
                      <w:i w:val="0"/>
                      <w:iCs w:val="0"/>
                      <w:caps w:val="0"/>
                      <w:color w:val="auto"/>
                      <w:spacing w:val="0"/>
                      <w:sz w:val="21"/>
                      <w:szCs w:val="21"/>
                      <w:shd w:val="clear" w:fill="FFFFFF"/>
                      <w:lang w:val="en-US" w:eastAsia="zh-CN"/>
                    </w:rPr>
                    <w:t>无水碳酸钠为白色粉末或细粒，无臭，具吸湿性</w:t>
                  </w:r>
                  <w:r>
                    <w:rPr>
                      <w:rFonts w:hint="eastAsia" w:ascii="Times New Roman" w:hAnsi="Times New Roman" w:eastAsia="宋体" w:cs="Times New Roman"/>
                      <w:i w:val="0"/>
                      <w:iCs w:val="0"/>
                      <w:caps w:val="0"/>
                      <w:color w:val="auto"/>
                      <w:spacing w:val="0"/>
                      <w:sz w:val="21"/>
                      <w:szCs w:val="21"/>
                      <w:shd w:val="clear" w:fill="FFFFFF"/>
                      <w:lang w:val="en-US" w:eastAsia="zh-CN"/>
                    </w:rPr>
                    <w:t>，</w:t>
                  </w:r>
                  <w:r>
                    <w:rPr>
                      <w:rFonts w:hint="default" w:ascii="Times New Roman" w:hAnsi="Times New Roman" w:eastAsia="宋体" w:cs="Times New Roman"/>
                      <w:i w:val="0"/>
                      <w:iCs w:val="0"/>
                      <w:caps w:val="0"/>
                      <w:color w:val="auto"/>
                      <w:spacing w:val="0"/>
                      <w:sz w:val="21"/>
                      <w:szCs w:val="21"/>
                      <w:shd w:val="clear" w:fill="FFFFFF"/>
                      <w:lang w:val="en-US" w:eastAsia="zh-CN"/>
                    </w:rPr>
                    <w:t>无水碳酸钠结晶密度2.532g/cm</w:t>
                  </w:r>
                  <w:r>
                    <w:rPr>
                      <w:rFonts w:hint="eastAsia" w:ascii="Times New Roman" w:hAnsi="Times New Roman" w:eastAsia="宋体" w:cs="Times New Roman"/>
                      <w:i w:val="0"/>
                      <w:iCs w:val="0"/>
                      <w:caps w:val="0"/>
                      <w:color w:val="auto"/>
                      <w:spacing w:val="0"/>
                      <w:sz w:val="21"/>
                      <w:szCs w:val="21"/>
                      <w:shd w:val="clear" w:fill="FFFFFF"/>
                      <w:lang w:val="en-US" w:eastAsia="zh-CN"/>
                    </w:rPr>
                    <w:t>3</w:t>
                  </w:r>
                  <w:r>
                    <w:rPr>
                      <w:rFonts w:hint="default" w:ascii="Times New Roman" w:hAnsi="Times New Roman" w:eastAsia="宋体" w:cs="Times New Roman"/>
                      <w:i w:val="0"/>
                      <w:iCs w:val="0"/>
                      <w:caps w:val="0"/>
                      <w:color w:val="auto"/>
                      <w:spacing w:val="0"/>
                      <w:sz w:val="21"/>
                      <w:szCs w:val="21"/>
                      <w:shd w:val="clear" w:fill="FFFFFF"/>
                      <w:lang w:val="en-US" w:eastAsia="zh-CN"/>
                    </w:rPr>
                    <w:t>，:无水碳酸钠851℃熔融，熔融状态下不分解，继续加热至1744℃会分解为氧化钠和二氧化碳</w:t>
                  </w:r>
                  <w:r>
                    <w:rPr>
                      <w:rFonts w:hint="eastAsia" w:ascii="Times New Roman" w:hAnsi="Times New Roman" w:eastAsia="宋体" w:cs="Times New Roman"/>
                      <w:i w:val="0"/>
                      <w:iCs w:val="0"/>
                      <w:caps w:val="0"/>
                      <w:color w:val="auto"/>
                      <w:spacing w:val="0"/>
                      <w:sz w:val="21"/>
                      <w:szCs w:val="21"/>
                      <w:shd w:val="clear" w:fill="FFFFFF"/>
                      <w:lang w:val="en-US" w:eastAsia="zh-CN"/>
                    </w:rPr>
                    <w:t>，</w:t>
                  </w:r>
                  <w:r>
                    <w:rPr>
                      <w:rFonts w:hint="default" w:ascii="Times New Roman" w:hAnsi="Times New Roman" w:eastAsia="宋体" w:cs="Times New Roman"/>
                      <w:i w:val="0"/>
                      <w:iCs w:val="0"/>
                      <w:caps w:val="0"/>
                      <w:color w:val="auto"/>
                      <w:spacing w:val="0"/>
                      <w:sz w:val="21"/>
                      <w:szCs w:val="21"/>
                      <w:shd w:val="clear" w:fill="FFFFFF"/>
                      <w:lang w:val="en-US" w:eastAsia="zh-CN"/>
                    </w:rPr>
                    <w:t>微溶于无水乙醇，不溶于丙酮、乙醚</w:t>
                  </w:r>
                  <w:r>
                    <w:rPr>
                      <w:rFonts w:hint="eastAsia" w:ascii="Times New Roman" w:hAnsi="Times New Roman" w:eastAsia="宋体" w:cs="Times New Roman"/>
                      <w:i w:val="0"/>
                      <w:iCs w:val="0"/>
                      <w:caps w:val="0"/>
                      <w:color w:val="auto"/>
                      <w:spacing w:val="0"/>
                      <w:sz w:val="21"/>
                      <w:szCs w:val="21"/>
                      <w:shd w:val="clear" w:fill="FFFFFF"/>
                      <w:lang w:val="en-US" w:eastAsia="zh-CN"/>
                    </w:rPr>
                    <w:t>，</w:t>
                  </w:r>
                  <w:r>
                    <w:rPr>
                      <w:rFonts w:hint="default" w:ascii="Times New Roman" w:hAnsi="Times New Roman" w:eastAsia="宋体" w:cs="Times New Roman"/>
                      <w:i w:val="0"/>
                      <w:iCs w:val="0"/>
                      <w:caps w:val="0"/>
                      <w:color w:val="auto"/>
                      <w:spacing w:val="0"/>
                      <w:sz w:val="21"/>
                      <w:szCs w:val="21"/>
                      <w:shd w:val="clear" w:fill="FFFFFF"/>
                      <w:lang w:val="en-US" w:eastAsia="zh-CN"/>
                    </w:rPr>
                    <w:t>溶解度随温度升高显著增大，20℃时水中溶解度21.5g/100mL，80°C时达43.7g/100mL</w:t>
                  </w:r>
                  <w:r>
                    <w:rPr>
                      <w:rFonts w:hint="eastAsia" w:ascii="Times New Roman" w:hAnsi="Times New Roman" w:eastAsia="宋体" w:cs="Times New Roman"/>
                      <w:i w:val="0"/>
                      <w:iCs w:val="0"/>
                      <w:caps w:val="0"/>
                      <w:color w:val="auto"/>
                      <w:spacing w:val="0"/>
                      <w:sz w:val="21"/>
                      <w:szCs w:val="21"/>
                      <w:shd w:val="clear" w:fill="FFFFFF"/>
                      <w:lang w:val="en-US" w:eastAsia="zh-CN"/>
                    </w:rPr>
                    <w:t>，</w:t>
                  </w:r>
                  <w:r>
                    <w:rPr>
                      <w:rFonts w:hint="default" w:ascii="Times New Roman" w:hAnsi="Times New Roman" w:eastAsia="宋体" w:cs="Times New Roman"/>
                      <w:i w:val="0"/>
                      <w:iCs w:val="0"/>
                      <w:caps w:val="0"/>
                      <w:color w:val="auto"/>
                      <w:spacing w:val="0"/>
                      <w:sz w:val="21"/>
                      <w:szCs w:val="21"/>
                      <w:shd w:val="clear" w:fill="FFFFFF"/>
                      <w:lang w:val="en-US" w:eastAsia="zh-CN"/>
                    </w:rPr>
                    <w:t>溶于水</w:t>
                  </w:r>
                  <w:r>
                    <w:rPr>
                      <w:rFonts w:hint="eastAsia" w:cs="Times New Roman"/>
                      <w:i w:val="0"/>
                      <w:iCs w:val="0"/>
                      <w:caps w:val="0"/>
                      <w:color w:val="auto"/>
                      <w:spacing w:val="0"/>
                      <w:sz w:val="21"/>
                      <w:szCs w:val="21"/>
                      <w:shd w:val="clear" w:fill="FFFFFF"/>
                      <w:lang w:val="en-US" w:eastAsia="zh-CN"/>
                    </w:rPr>
                    <w:t>释放</w:t>
                  </w:r>
                  <w:r>
                    <w:rPr>
                      <w:rFonts w:hint="default" w:ascii="Times New Roman" w:hAnsi="Times New Roman" w:eastAsia="宋体" w:cs="Times New Roman"/>
                      <w:i w:val="0"/>
                      <w:iCs w:val="0"/>
                      <w:caps w:val="0"/>
                      <w:color w:val="auto"/>
                      <w:spacing w:val="0"/>
                      <w:sz w:val="21"/>
                      <w:szCs w:val="21"/>
                      <w:shd w:val="clear" w:fill="FFFFFF"/>
                      <w:lang w:val="en-US" w:eastAsia="zh-CN"/>
                    </w:rPr>
                    <w:t>出少量热量，水溶液呈碱性。</w:t>
                  </w:r>
                </w:p>
              </w:tc>
            </w:tr>
            <w:tr w14:paraId="12B1F8D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5" w:type="dxa"/>
                  <w:tcBorders>
                    <w:tl2br w:val="nil"/>
                    <w:tr2bl w:val="nil"/>
                  </w:tcBorders>
                  <w:noWrap w:val="0"/>
                  <w:vAlign w:val="center"/>
                </w:tcPr>
                <w:p w14:paraId="54E6D3BF">
                  <w:pPr>
                    <w:numPr>
                      <w:ilvl w:val="0"/>
                      <w:numId w:val="10"/>
                    </w:numPr>
                    <w:spacing w:before="53" w:line="240" w:lineRule="auto"/>
                    <w:ind w:left="425" w:leftChars="0" w:hanging="425" w:firstLineChars="0"/>
                    <w:jc w:val="center"/>
                    <w:rPr>
                      <w:rFonts w:hint="eastAsia" w:eastAsia="宋体"/>
                      <w:b w:val="0"/>
                      <w:bCs w:val="0"/>
                      <w:color w:val="auto"/>
                      <w:spacing w:val="6"/>
                      <w:sz w:val="21"/>
                      <w:szCs w:val="21"/>
                      <w:highlight w:val="none"/>
                      <w:lang w:val="en-US" w:eastAsia="zh-CN"/>
                    </w:rPr>
                  </w:pPr>
                </w:p>
              </w:tc>
              <w:tc>
                <w:tcPr>
                  <w:tcW w:w="1292" w:type="dxa"/>
                  <w:tcBorders>
                    <w:tl2br w:val="nil"/>
                    <w:tr2bl w:val="nil"/>
                  </w:tcBorders>
                  <w:shd w:val="clear" w:color="auto" w:fill="auto"/>
                  <w:noWrap w:val="0"/>
                  <w:vAlign w:val="center"/>
                </w:tcPr>
                <w:p w14:paraId="3C7D178D">
                  <w:pPr>
                    <w:jc w:val="center"/>
                    <w:rPr>
                      <w:rFonts w:hint="default" w:ascii="Times New Roman" w:hAnsi="Times New Roman" w:eastAsia="宋体" w:cs="Times New Roman"/>
                      <w:color w:val="auto"/>
                      <w:sz w:val="21"/>
                      <w:szCs w:val="21"/>
                      <w:highlight w:val="none"/>
                      <w:shd w:val="clear" w:color="auto" w:fill="FFFFFF"/>
                      <w:lang w:val="en-US" w:eastAsia="zh-CN"/>
                    </w:rPr>
                  </w:pPr>
                  <w:r>
                    <w:rPr>
                      <w:rFonts w:hint="eastAsia"/>
                      <w:sz w:val="21"/>
                      <w:szCs w:val="21"/>
                      <w:highlight w:val="yellow"/>
                    </w:rPr>
                    <w:t>草酸锂</w:t>
                  </w:r>
                </w:p>
              </w:tc>
              <w:tc>
                <w:tcPr>
                  <w:tcW w:w="5972" w:type="dxa"/>
                  <w:tcBorders>
                    <w:tl2br w:val="nil"/>
                    <w:tr2bl w:val="nil"/>
                  </w:tcBorders>
                  <w:shd w:val="clear" w:color="auto" w:fill="auto"/>
                  <w:noWrap w:val="0"/>
                  <w:vAlign w:val="center"/>
                </w:tcPr>
                <w:p w14:paraId="6C0F5B39">
                  <w:pPr>
                    <w:keepNext w:val="0"/>
                    <w:keepLines w:val="0"/>
                    <w:widowControl/>
                    <w:numPr>
                      <w:ilvl w:val="0"/>
                      <w:numId w:val="0"/>
                    </w:numPr>
                    <w:suppressLineNumbers w:val="0"/>
                    <w:pBdr>
                      <w:left w:val="none" w:color="auto" w:sz="0" w:space="0"/>
                    </w:pBdr>
                    <w:spacing w:before="0" w:beforeAutospacing="1" w:after="0" w:afterAutospacing="1"/>
                    <w:ind w:left="0" w:leftChars="0" w:firstLine="0" w:firstLineChars="0"/>
                    <w:jc w:val="left"/>
                    <w:rPr>
                      <w:rFonts w:hint="default" w:ascii="Times New Roman" w:hAnsi="Times New Roman" w:eastAsia="宋体" w:cs="Times New Roman"/>
                      <w:i w:val="0"/>
                      <w:iCs w:val="0"/>
                      <w:caps w:val="0"/>
                      <w:color w:val="auto"/>
                      <w:spacing w:val="0"/>
                      <w:sz w:val="21"/>
                      <w:szCs w:val="21"/>
                      <w:shd w:val="clear" w:fill="FFFFFF"/>
                      <w:lang w:val="en-US" w:eastAsia="zh-CN"/>
                    </w:rPr>
                  </w:pPr>
                  <w:r>
                    <w:rPr>
                      <w:rFonts w:hint="default" w:ascii="Times New Roman" w:hAnsi="Times New Roman" w:eastAsia="宋体" w:cs="Times New Roman"/>
                      <w:i w:val="0"/>
                      <w:iCs w:val="0"/>
                      <w:caps w:val="0"/>
                      <w:color w:val="auto"/>
                      <w:spacing w:val="0"/>
                      <w:sz w:val="21"/>
                      <w:szCs w:val="21"/>
                      <w:shd w:val="clear" w:fill="FFFFFF"/>
                      <w:lang w:val="en-US" w:eastAsia="zh-CN"/>
                    </w:rPr>
                    <w:t>为锂的草酸盐盐类，是制备锂离子电池正极材料的核心前驱体，</w:t>
                  </w:r>
                  <w:r>
                    <w:rPr>
                      <w:rFonts w:hint="eastAsia" w:ascii="Times New Roman" w:hAnsi="Times New Roman" w:eastAsia="宋体" w:cs="Times New Roman"/>
                      <w:i w:val="0"/>
                      <w:iCs w:val="0"/>
                      <w:caps w:val="0"/>
                      <w:color w:val="auto"/>
                      <w:spacing w:val="0"/>
                      <w:sz w:val="21"/>
                      <w:szCs w:val="21"/>
                      <w:shd w:val="clear" w:fill="FFFFFF"/>
                      <w:lang w:val="en-US" w:eastAsia="zh-CN"/>
                    </w:rPr>
                    <w:t xml:space="preserve">  </w:t>
                  </w:r>
                  <w:r>
                    <w:rPr>
                      <w:rFonts w:hint="default" w:ascii="Times New Roman" w:hAnsi="Times New Roman" w:eastAsia="宋体" w:cs="Times New Roman"/>
                      <w:i w:val="0"/>
                      <w:iCs w:val="0"/>
                      <w:caps w:val="0"/>
                      <w:color w:val="auto"/>
                      <w:spacing w:val="0"/>
                      <w:sz w:val="21"/>
                      <w:szCs w:val="21"/>
                      <w:shd w:val="clear" w:fill="FFFFFF"/>
                      <w:lang w:val="en-US" w:eastAsia="zh-CN"/>
                    </w:rPr>
                    <w:t>白色结晶粉末或无色透明单斜晶体，无臭，无挥发性，结晶</w:t>
                  </w:r>
                  <w:r>
                    <w:rPr>
                      <w:rFonts w:hint="eastAsia" w:cs="Times New Roman"/>
                      <w:i w:val="0"/>
                      <w:iCs w:val="0"/>
                      <w:caps w:val="0"/>
                      <w:color w:val="auto"/>
                      <w:spacing w:val="0"/>
                      <w:sz w:val="21"/>
                      <w:szCs w:val="21"/>
                      <w:shd w:val="clear" w:fill="FFFFFF"/>
                      <w:lang w:val="en-US" w:eastAsia="zh-CN"/>
                    </w:rPr>
                    <w:t>形态</w:t>
                  </w:r>
                  <w:r>
                    <w:rPr>
                      <w:rFonts w:hint="default" w:ascii="Times New Roman" w:hAnsi="Times New Roman" w:eastAsia="宋体" w:cs="Times New Roman"/>
                      <w:i w:val="0"/>
                      <w:iCs w:val="0"/>
                      <w:caps w:val="0"/>
                      <w:color w:val="auto"/>
                      <w:spacing w:val="0"/>
                      <w:sz w:val="21"/>
                      <w:szCs w:val="21"/>
                      <w:shd w:val="clear" w:fill="FFFFFF"/>
                      <w:lang w:val="en-US" w:eastAsia="zh-CN"/>
                    </w:rPr>
                    <w:t>稳定，研磨后为细粉状，无结块性（干燥条件下）。结晶密度2.12g/cm³（20℃），莫氏硬度2.0~2.5，质软，易研磨，无脆性断裂特性。</w:t>
                  </w:r>
                </w:p>
              </w:tc>
            </w:tr>
            <w:tr w14:paraId="3102C2C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5" w:type="dxa"/>
                  <w:tcBorders>
                    <w:tl2br w:val="nil"/>
                    <w:tr2bl w:val="nil"/>
                  </w:tcBorders>
                  <w:noWrap w:val="0"/>
                  <w:vAlign w:val="center"/>
                </w:tcPr>
                <w:p w14:paraId="63635E23">
                  <w:pPr>
                    <w:numPr>
                      <w:ilvl w:val="0"/>
                      <w:numId w:val="10"/>
                    </w:numPr>
                    <w:spacing w:before="53" w:line="240" w:lineRule="auto"/>
                    <w:ind w:left="425" w:leftChars="0" w:hanging="425" w:firstLineChars="0"/>
                    <w:jc w:val="center"/>
                    <w:rPr>
                      <w:rFonts w:hint="eastAsia" w:eastAsia="宋体"/>
                      <w:b w:val="0"/>
                      <w:bCs w:val="0"/>
                      <w:color w:val="auto"/>
                      <w:spacing w:val="6"/>
                      <w:sz w:val="21"/>
                      <w:szCs w:val="21"/>
                      <w:highlight w:val="none"/>
                      <w:lang w:val="en-US" w:eastAsia="zh-CN"/>
                    </w:rPr>
                  </w:pPr>
                </w:p>
              </w:tc>
              <w:tc>
                <w:tcPr>
                  <w:tcW w:w="1292" w:type="dxa"/>
                  <w:tcBorders>
                    <w:tl2br w:val="nil"/>
                    <w:tr2bl w:val="nil"/>
                  </w:tcBorders>
                  <w:shd w:val="clear" w:color="auto" w:fill="auto"/>
                  <w:noWrap w:val="0"/>
                  <w:vAlign w:val="center"/>
                </w:tcPr>
                <w:p w14:paraId="335E1F58">
                  <w:pPr>
                    <w:jc w:val="center"/>
                    <w:rPr>
                      <w:rFonts w:hint="default" w:ascii="Times New Roman" w:hAnsi="Times New Roman" w:eastAsia="宋体" w:cs="Times New Roman"/>
                      <w:color w:val="auto"/>
                      <w:sz w:val="21"/>
                      <w:szCs w:val="21"/>
                      <w:highlight w:val="none"/>
                      <w:shd w:val="clear" w:color="auto" w:fill="FFFFFF"/>
                      <w:lang w:val="en-US" w:eastAsia="zh-CN"/>
                    </w:rPr>
                  </w:pPr>
                  <w:r>
                    <w:rPr>
                      <w:rFonts w:hint="eastAsia"/>
                      <w:sz w:val="21"/>
                      <w:szCs w:val="21"/>
                      <w:highlight w:val="yellow"/>
                    </w:rPr>
                    <w:t>硫酸亚铁</w:t>
                  </w:r>
                </w:p>
              </w:tc>
              <w:tc>
                <w:tcPr>
                  <w:tcW w:w="5972" w:type="dxa"/>
                  <w:tcBorders>
                    <w:tl2br w:val="nil"/>
                    <w:tr2bl w:val="nil"/>
                  </w:tcBorders>
                  <w:shd w:val="clear" w:color="auto" w:fill="auto"/>
                  <w:noWrap w:val="0"/>
                  <w:vAlign w:val="center"/>
                </w:tcPr>
                <w:p w14:paraId="2ADC5371">
                  <w:pPr>
                    <w:keepNext w:val="0"/>
                    <w:keepLines w:val="0"/>
                    <w:widowControl/>
                    <w:numPr>
                      <w:ilvl w:val="0"/>
                      <w:numId w:val="0"/>
                    </w:numPr>
                    <w:suppressLineNumbers w:val="0"/>
                    <w:pBdr>
                      <w:left w:val="none" w:color="auto" w:sz="0" w:space="0"/>
                    </w:pBdr>
                    <w:spacing w:before="0" w:beforeAutospacing="1" w:after="0" w:afterAutospacing="1"/>
                    <w:ind w:left="0" w:leftChars="0" w:firstLine="0" w:firstLineChars="0"/>
                    <w:jc w:val="left"/>
                    <w:rPr>
                      <w:rFonts w:hint="default" w:ascii="Times New Roman" w:hAnsi="Times New Roman" w:eastAsia="宋体" w:cs="Times New Roman"/>
                      <w:i w:val="0"/>
                      <w:iCs w:val="0"/>
                      <w:caps w:val="0"/>
                      <w:color w:val="auto"/>
                      <w:spacing w:val="0"/>
                      <w:sz w:val="21"/>
                      <w:szCs w:val="21"/>
                      <w:shd w:val="clear" w:fill="FFFFFF"/>
                      <w:lang w:val="en-US" w:eastAsia="zh-CN"/>
                    </w:rPr>
                  </w:pPr>
                  <w:r>
                    <w:rPr>
                      <w:rFonts w:hint="default" w:ascii="Times New Roman" w:hAnsi="Times New Roman" w:eastAsia="宋体" w:cs="Times New Roman"/>
                      <w:i w:val="0"/>
                      <w:iCs w:val="0"/>
                      <w:caps w:val="0"/>
                      <w:color w:val="auto"/>
                      <w:spacing w:val="0"/>
                      <w:sz w:val="21"/>
                      <w:szCs w:val="21"/>
                      <w:shd w:val="clear" w:fill="FFFFFF"/>
                      <w:lang w:val="en-US" w:eastAsia="zh-CN"/>
                    </w:rPr>
                    <w:t>无臭，</w:t>
                  </w:r>
                  <w:r>
                    <w:rPr>
                      <w:rFonts w:hint="eastAsia" w:cs="Times New Roman"/>
                      <w:i w:val="0"/>
                      <w:iCs w:val="0"/>
                      <w:caps w:val="0"/>
                      <w:color w:val="auto"/>
                      <w:spacing w:val="0"/>
                      <w:sz w:val="21"/>
                      <w:szCs w:val="21"/>
                      <w:shd w:val="clear" w:fill="FFFFFF"/>
                      <w:lang w:val="en-US" w:eastAsia="zh-CN"/>
                    </w:rPr>
                    <w:t>具有</w:t>
                  </w:r>
                  <w:r>
                    <w:rPr>
                      <w:rFonts w:hint="default" w:ascii="Times New Roman" w:hAnsi="Times New Roman" w:eastAsia="宋体" w:cs="Times New Roman"/>
                      <w:i w:val="0"/>
                      <w:iCs w:val="0"/>
                      <w:caps w:val="0"/>
                      <w:color w:val="auto"/>
                      <w:spacing w:val="0"/>
                      <w:sz w:val="21"/>
                      <w:szCs w:val="21"/>
                      <w:shd w:val="clear" w:fill="FFFFFF"/>
                      <w:lang w:val="en-US" w:eastAsia="zh-CN"/>
                    </w:rPr>
                    <w:t>吸湿性，在空气中快速吸水转化为水合物；密度3.44g/cm³，熔点645℃（熔融并开始分解），不溶于乙醇、乙醚，易溶于水。</w:t>
                  </w:r>
                </w:p>
              </w:tc>
            </w:tr>
          </w:tbl>
          <w:p w14:paraId="4C5E8EAA">
            <w:pPr>
              <w:numPr>
                <w:ilvl w:val="0"/>
                <w:numId w:val="6"/>
              </w:numPr>
              <w:tabs>
                <w:tab w:val="left" w:pos="0"/>
              </w:tabs>
              <w:adjustRightInd w:val="0"/>
              <w:snapToGrid w:val="0"/>
              <w:spacing w:line="360" w:lineRule="auto"/>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水平衡分析</w:t>
            </w:r>
          </w:p>
          <w:p w14:paraId="3EF58712">
            <w:pPr>
              <w:numPr>
                <w:ilvl w:val="0"/>
                <w:numId w:val="0"/>
              </w:numPr>
              <w:adjustRightInd w:val="0"/>
              <w:spacing w:line="360" w:lineRule="auto"/>
              <w:ind w:firstLine="480" w:firstLineChars="200"/>
              <w:rPr>
                <w:rFonts w:hint="default" w:ascii="Times New Roman" w:hAnsi="Times New Roman" w:eastAsia="宋体" w:cs="Times New Roman"/>
                <w:bCs/>
                <w:color w:val="auto"/>
                <w:sz w:val="24"/>
                <w:highlight w:val="none"/>
                <w:lang w:val="en-US" w:eastAsia="zh-CN"/>
              </w:rPr>
            </w:pPr>
            <w:r>
              <w:rPr>
                <w:rFonts w:hint="eastAsia" w:cs="Times New Roman"/>
                <w:bCs/>
                <w:color w:val="auto"/>
                <w:sz w:val="24"/>
                <w:highlight w:val="none"/>
                <w:lang w:val="en-US" w:eastAsia="zh-CN"/>
              </w:rPr>
              <w:t>1、给水</w:t>
            </w:r>
          </w:p>
          <w:p w14:paraId="240BCE2D">
            <w:pPr>
              <w:adjustRightInd w:val="0"/>
              <w:snapToGrid w:val="0"/>
              <w:spacing w:line="360" w:lineRule="auto"/>
              <w:ind w:firstLine="480" w:firstLineChars="200"/>
              <w:rPr>
                <w:color w:val="auto"/>
                <w:sz w:val="24"/>
                <w:highlight w:val="none"/>
              </w:rPr>
            </w:pPr>
            <w:r>
              <w:rPr>
                <w:rFonts w:hint="eastAsia"/>
                <w:color w:val="auto"/>
                <w:sz w:val="24"/>
                <w:highlight w:val="none"/>
                <w:lang w:val="en-US" w:eastAsia="zh-CN"/>
              </w:rPr>
              <w:t>本项目用水为生活用水、</w:t>
            </w:r>
            <w:r>
              <w:rPr>
                <w:color w:val="auto"/>
                <w:sz w:val="24"/>
                <w:highlight w:val="none"/>
              </w:rPr>
              <w:t>实验用水</w:t>
            </w:r>
            <w:r>
              <w:rPr>
                <w:rFonts w:hint="eastAsia"/>
                <w:color w:val="auto"/>
                <w:sz w:val="24"/>
                <w:highlight w:val="none"/>
                <w:lang w:eastAsia="zh-CN"/>
              </w:rPr>
              <w:t>、</w:t>
            </w:r>
            <w:r>
              <w:rPr>
                <w:rFonts w:hint="eastAsia"/>
                <w:color w:val="auto"/>
                <w:sz w:val="24"/>
                <w:highlight w:val="none"/>
                <w:lang w:val="en-US" w:eastAsia="zh-CN"/>
              </w:rPr>
              <w:t>冷却用水</w:t>
            </w:r>
            <w:r>
              <w:rPr>
                <w:color w:val="auto"/>
                <w:sz w:val="24"/>
                <w:highlight w:val="none"/>
              </w:rPr>
              <w:t>。</w:t>
            </w:r>
          </w:p>
          <w:p w14:paraId="552B7BF5">
            <w:pPr>
              <w:adjustRightInd w:val="0"/>
              <w:snapToGrid w:val="0"/>
              <w:spacing w:line="360" w:lineRule="auto"/>
              <w:ind w:firstLine="480" w:firstLineChars="200"/>
              <w:rPr>
                <w:rFonts w:eastAsia="宋体"/>
                <w:bCs/>
                <w:color w:val="auto"/>
                <w:sz w:val="24"/>
                <w:highlight w:val="none"/>
              </w:rPr>
            </w:pPr>
            <w:r>
              <w:rPr>
                <w:rFonts w:hint="eastAsia"/>
                <w:bCs/>
                <w:color w:val="auto"/>
                <w:sz w:val="24"/>
                <w:highlight w:val="none"/>
                <w:lang w:val="en-US" w:eastAsia="zh-CN"/>
              </w:rPr>
              <w:t>本</w:t>
            </w:r>
            <w:r>
              <w:rPr>
                <w:rFonts w:hint="eastAsia" w:eastAsia="宋体"/>
                <w:bCs/>
                <w:color w:val="auto"/>
                <w:sz w:val="24"/>
                <w:highlight w:val="none"/>
                <w:lang w:val="en-US" w:eastAsia="zh-CN"/>
              </w:rPr>
              <w:t>项目员工</w:t>
            </w:r>
            <w:r>
              <w:rPr>
                <w:rFonts w:hint="eastAsia"/>
                <w:bCs/>
                <w:color w:val="auto"/>
                <w:sz w:val="24"/>
                <w:highlight w:val="none"/>
                <w:lang w:val="en-US" w:eastAsia="zh-CN"/>
              </w:rPr>
              <w:t>9</w:t>
            </w:r>
            <w:r>
              <w:rPr>
                <w:rFonts w:hint="eastAsia" w:eastAsia="宋体"/>
                <w:bCs/>
                <w:color w:val="auto"/>
                <w:sz w:val="24"/>
                <w:highlight w:val="none"/>
                <w:lang w:val="en-US" w:eastAsia="zh-CN"/>
              </w:rPr>
              <w:t>人，根据《建筑给水排水设计标准》（</w:t>
            </w:r>
            <w:r>
              <w:rPr>
                <w:rFonts w:hint="default" w:eastAsia="宋体"/>
                <w:bCs/>
                <w:color w:val="auto"/>
                <w:sz w:val="24"/>
                <w:highlight w:val="none"/>
                <w:lang w:val="en-US" w:eastAsia="zh-CN"/>
              </w:rPr>
              <w:t>GB50015-2019</w:t>
            </w:r>
            <w:r>
              <w:rPr>
                <w:rFonts w:hint="eastAsia" w:eastAsia="宋体"/>
                <w:bCs/>
                <w:color w:val="auto"/>
                <w:sz w:val="24"/>
                <w:highlight w:val="none"/>
                <w:lang w:val="en-US" w:eastAsia="zh-CN"/>
              </w:rPr>
              <w:t>）规定，人均生活用水定额按</w:t>
            </w:r>
            <w:r>
              <w:rPr>
                <w:rFonts w:hint="default" w:eastAsia="宋体"/>
                <w:bCs/>
                <w:color w:val="auto"/>
                <w:sz w:val="24"/>
                <w:highlight w:val="none"/>
                <w:lang w:val="en-US" w:eastAsia="zh-CN"/>
              </w:rPr>
              <w:t>50L/</w:t>
            </w:r>
            <w:r>
              <w:rPr>
                <w:rFonts w:hint="eastAsia" w:eastAsia="宋体"/>
                <w:bCs/>
                <w:color w:val="auto"/>
                <w:sz w:val="24"/>
                <w:highlight w:val="none"/>
                <w:lang w:val="en-US" w:eastAsia="zh-CN"/>
              </w:rPr>
              <w:t>人</w:t>
            </w:r>
            <w:r>
              <w:rPr>
                <w:rFonts w:hint="default" w:eastAsia="宋体"/>
                <w:bCs/>
                <w:color w:val="auto"/>
                <w:sz w:val="24"/>
                <w:highlight w:val="none"/>
                <w:lang w:val="en-US" w:eastAsia="zh-CN"/>
              </w:rPr>
              <w:t>·d</w:t>
            </w:r>
            <w:r>
              <w:rPr>
                <w:rFonts w:hint="eastAsia" w:eastAsia="宋体"/>
                <w:bCs/>
                <w:color w:val="auto"/>
                <w:sz w:val="24"/>
                <w:highlight w:val="none"/>
                <w:lang w:val="en-US" w:eastAsia="zh-CN"/>
              </w:rPr>
              <w:t>计，</w:t>
            </w:r>
            <w:r>
              <w:rPr>
                <w:rFonts w:hint="eastAsia"/>
                <w:bCs/>
                <w:color w:val="auto"/>
                <w:sz w:val="24"/>
                <w:highlight w:val="none"/>
                <w:lang w:val="en-US" w:eastAsia="zh-CN"/>
              </w:rPr>
              <w:t>项目年工作250d，</w:t>
            </w:r>
            <w:r>
              <w:rPr>
                <w:rFonts w:hint="eastAsia" w:eastAsia="宋体"/>
                <w:bCs/>
                <w:color w:val="auto"/>
                <w:sz w:val="24"/>
                <w:highlight w:val="none"/>
                <w:lang w:val="en-US" w:eastAsia="zh-CN"/>
              </w:rPr>
              <w:t>则生活用水量为</w:t>
            </w:r>
            <w:r>
              <w:rPr>
                <w:rFonts w:hint="eastAsia"/>
                <w:bCs/>
                <w:color w:val="auto"/>
                <w:sz w:val="24"/>
                <w:highlight w:val="none"/>
                <w:lang w:val="en-US" w:eastAsia="zh-CN"/>
              </w:rPr>
              <w:t>112.5m</w:t>
            </w:r>
            <w:r>
              <w:rPr>
                <w:rFonts w:hint="eastAsia"/>
                <w:bCs/>
                <w:color w:val="auto"/>
                <w:sz w:val="24"/>
                <w:highlight w:val="none"/>
                <w:vertAlign w:val="superscript"/>
                <w:lang w:val="en-US" w:eastAsia="zh-CN"/>
              </w:rPr>
              <w:t>3</w:t>
            </w:r>
            <w:r>
              <w:rPr>
                <w:rFonts w:hint="default" w:eastAsia="宋体"/>
                <w:bCs/>
                <w:color w:val="auto"/>
                <w:sz w:val="24"/>
                <w:highlight w:val="none"/>
                <w:lang w:val="en-US" w:eastAsia="zh-CN"/>
              </w:rPr>
              <w:t>/a</w:t>
            </w:r>
            <w:r>
              <w:rPr>
                <w:rFonts w:hint="eastAsia" w:eastAsia="宋体"/>
                <w:bCs/>
                <w:color w:val="auto"/>
                <w:sz w:val="24"/>
                <w:highlight w:val="none"/>
                <w:lang w:val="en-US" w:eastAsia="zh-CN"/>
              </w:rPr>
              <w:t>。</w:t>
            </w:r>
          </w:p>
          <w:p w14:paraId="75014663">
            <w:pPr>
              <w:adjustRightInd w:val="0"/>
              <w:snapToGrid w:val="0"/>
              <w:spacing w:line="360" w:lineRule="auto"/>
              <w:ind w:firstLine="480" w:firstLineChars="200"/>
              <w:rPr>
                <w:rFonts w:hint="eastAsia"/>
                <w:bCs/>
                <w:color w:val="auto"/>
                <w:sz w:val="24"/>
                <w:highlight w:val="none"/>
                <w:lang w:val="en-US" w:eastAsia="zh-CN"/>
              </w:rPr>
            </w:pPr>
            <w:r>
              <w:rPr>
                <w:rFonts w:hint="eastAsia"/>
                <w:bCs/>
                <w:color w:val="auto"/>
                <w:sz w:val="24"/>
                <w:highlight w:val="none"/>
                <w:lang w:val="en-US" w:eastAsia="zh-CN"/>
              </w:rPr>
              <w:t>本</w:t>
            </w:r>
            <w:r>
              <w:rPr>
                <w:bCs/>
                <w:color w:val="auto"/>
                <w:sz w:val="24"/>
                <w:highlight w:val="none"/>
              </w:rPr>
              <w:t>项目</w:t>
            </w:r>
            <w:r>
              <w:rPr>
                <w:color w:val="auto"/>
                <w:sz w:val="24"/>
                <w:highlight w:val="none"/>
              </w:rPr>
              <w:t>实验用水</w:t>
            </w:r>
            <w:r>
              <w:rPr>
                <w:rFonts w:hint="eastAsia"/>
                <w:bCs/>
                <w:color w:val="auto"/>
                <w:sz w:val="24"/>
                <w:highlight w:val="none"/>
                <w:lang w:val="en-US" w:eastAsia="zh-CN"/>
              </w:rPr>
              <w:t>研发过程浆料制备用水、</w:t>
            </w:r>
            <w:r>
              <w:rPr>
                <w:rFonts w:hint="eastAsia"/>
                <w:color w:val="auto"/>
                <w:sz w:val="24"/>
                <w:highlight w:val="none"/>
                <w:lang w:val="en-US" w:eastAsia="zh-CN"/>
              </w:rPr>
              <w:t>包括设备</w:t>
            </w:r>
            <w:r>
              <w:rPr>
                <w:bCs/>
                <w:color w:val="auto"/>
                <w:sz w:val="24"/>
                <w:highlight w:val="none"/>
              </w:rPr>
              <w:t>容器清洗</w:t>
            </w:r>
            <w:r>
              <w:rPr>
                <w:rFonts w:hint="eastAsia"/>
                <w:bCs/>
                <w:color w:val="auto"/>
                <w:sz w:val="24"/>
                <w:highlight w:val="none"/>
                <w:lang w:val="en-US" w:eastAsia="zh-CN"/>
              </w:rPr>
              <w:t>用水。</w:t>
            </w:r>
          </w:p>
          <w:p w14:paraId="7FF39C8A">
            <w:pPr>
              <w:adjustRightInd w:val="0"/>
              <w:snapToGrid w:val="0"/>
              <w:spacing w:line="360" w:lineRule="auto"/>
              <w:ind w:firstLine="480" w:firstLineChars="200"/>
              <w:rPr>
                <w:rFonts w:hint="eastAsia"/>
                <w:bCs/>
                <w:color w:val="auto"/>
                <w:sz w:val="24"/>
                <w:highlight w:val="none"/>
                <w:lang w:val="en-US" w:eastAsia="zh-CN"/>
              </w:rPr>
            </w:pPr>
            <w:r>
              <w:rPr>
                <w:rFonts w:hint="eastAsia"/>
                <w:bCs/>
                <w:color w:val="auto"/>
                <w:sz w:val="24"/>
                <w:highlight w:val="none"/>
                <w:lang w:val="en-US" w:eastAsia="zh-CN"/>
              </w:rPr>
              <w:t>研发过程浆料制备用水包括电池材料浆料制备用水、软包电芯研发中的负极浆料制备用水。根据建设单位提供的资料，电池材料浆料制备每批研发实验用纯水110ml，电池材料研发实验40批次/a，用纯水0.0044m</w:t>
            </w:r>
            <w:r>
              <w:rPr>
                <w:rFonts w:hint="eastAsia"/>
                <w:bCs/>
                <w:color w:val="auto"/>
                <w:sz w:val="24"/>
                <w:highlight w:val="none"/>
                <w:vertAlign w:val="superscript"/>
                <w:lang w:val="en-US" w:eastAsia="zh-CN"/>
              </w:rPr>
              <w:t>3</w:t>
            </w:r>
            <w:r>
              <w:rPr>
                <w:rFonts w:hint="eastAsia"/>
                <w:bCs/>
                <w:color w:val="auto"/>
                <w:sz w:val="24"/>
                <w:highlight w:val="none"/>
                <w:lang w:val="en-US" w:eastAsia="zh-CN"/>
              </w:rPr>
              <w:t>/a，最大日用水量0.0001m</w:t>
            </w:r>
            <w:r>
              <w:rPr>
                <w:rFonts w:hint="eastAsia"/>
                <w:bCs/>
                <w:color w:val="auto"/>
                <w:sz w:val="24"/>
                <w:highlight w:val="none"/>
                <w:vertAlign w:val="superscript"/>
                <w:lang w:val="en-US" w:eastAsia="zh-CN"/>
              </w:rPr>
              <w:t>3</w:t>
            </w:r>
            <w:r>
              <w:rPr>
                <w:rFonts w:hint="eastAsia"/>
                <w:bCs/>
                <w:color w:val="auto"/>
                <w:sz w:val="24"/>
                <w:highlight w:val="none"/>
                <w:lang w:val="en-US" w:eastAsia="zh-CN"/>
              </w:rPr>
              <w:t>/d；软包电芯研发中的负极浆料制备每批研发实验用纯水1000ml，年研发20批次，用纯水0.02m</w:t>
            </w:r>
            <w:r>
              <w:rPr>
                <w:rFonts w:hint="eastAsia"/>
                <w:bCs/>
                <w:color w:val="auto"/>
                <w:sz w:val="24"/>
                <w:highlight w:val="none"/>
                <w:vertAlign w:val="superscript"/>
                <w:lang w:val="en-US" w:eastAsia="zh-CN"/>
              </w:rPr>
              <w:t>3</w:t>
            </w:r>
            <w:r>
              <w:rPr>
                <w:rFonts w:hint="eastAsia"/>
                <w:bCs/>
                <w:color w:val="auto"/>
                <w:sz w:val="24"/>
                <w:highlight w:val="none"/>
                <w:lang w:val="en-US" w:eastAsia="zh-CN"/>
              </w:rPr>
              <w:t>/a，最大日用水量0.001m</w:t>
            </w:r>
            <w:r>
              <w:rPr>
                <w:rFonts w:hint="eastAsia"/>
                <w:bCs/>
                <w:color w:val="auto"/>
                <w:sz w:val="24"/>
                <w:highlight w:val="none"/>
                <w:vertAlign w:val="superscript"/>
                <w:lang w:val="en-US" w:eastAsia="zh-CN"/>
              </w:rPr>
              <w:t>3</w:t>
            </w:r>
            <w:r>
              <w:rPr>
                <w:rFonts w:hint="eastAsia"/>
                <w:bCs/>
                <w:color w:val="auto"/>
                <w:sz w:val="24"/>
                <w:highlight w:val="none"/>
                <w:lang w:val="en-US" w:eastAsia="zh-CN"/>
              </w:rPr>
              <w:t>/d。</w:t>
            </w:r>
          </w:p>
          <w:p w14:paraId="3248315F">
            <w:pPr>
              <w:adjustRightInd w:val="0"/>
              <w:snapToGrid w:val="0"/>
              <w:spacing w:line="360" w:lineRule="auto"/>
              <w:ind w:firstLine="480" w:firstLineChars="200"/>
              <w:rPr>
                <w:rFonts w:hint="eastAsia"/>
                <w:bCs/>
                <w:color w:val="auto"/>
                <w:sz w:val="24"/>
                <w:highlight w:val="none"/>
                <w:lang w:val="en-US" w:eastAsia="zh-CN"/>
              </w:rPr>
            </w:pPr>
            <w:r>
              <w:rPr>
                <w:rFonts w:hint="eastAsia"/>
                <w:bCs/>
                <w:color w:val="auto"/>
                <w:sz w:val="24"/>
                <w:highlight w:val="none"/>
                <w:lang w:val="en-US" w:eastAsia="zh-CN"/>
              </w:rPr>
              <w:t>设备</w:t>
            </w:r>
            <w:r>
              <w:rPr>
                <w:rFonts w:hint="eastAsia"/>
                <w:bCs/>
                <w:color w:val="auto"/>
                <w:sz w:val="24"/>
                <w:highlight w:val="none"/>
              </w:rPr>
              <w:t>容器</w:t>
            </w:r>
            <w:r>
              <w:rPr>
                <w:rFonts w:hint="eastAsia"/>
                <w:bCs/>
                <w:color w:val="auto"/>
                <w:sz w:val="24"/>
                <w:highlight w:val="none"/>
                <w:lang w:val="en-US" w:eastAsia="zh-CN"/>
              </w:rPr>
              <w:t>每实验一批清洗一次，每次用水清洗2遍，第一遍用新鲜水清洗，每次用新鲜水0.01m</w:t>
            </w:r>
            <w:r>
              <w:rPr>
                <w:rFonts w:hint="eastAsia"/>
                <w:bCs/>
                <w:color w:val="auto"/>
                <w:sz w:val="24"/>
                <w:highlight w:val="none"/>
                <w:vertAlign w:val="superscript"/>
                <w:lang w:val="en-US" w:eastAsia="zh-CN"/>
              </w:rPr>
              <w:t>3</w:t>
            </w:r>
            <w:r>
              <w:rPr>
                <w:rFonts w:hint="eastAsia"/>
                <w:bCs/>
                <w:color w:val="auto"/>
                <w:sz w:val="24"/>
                <w:highlight w:val="none"/>
                <w:lang w:eastAsia="zh-CN"/>
              </w:rPr>
              <w:t>，</w:t>
            </w:r>
            <w:r>
              <w:rPr>
                <w:rFonts w:hint="eastAsia"/>
                <w:bCs/>
                <w:color w:val="auto"/>
                <w:sz w:val="24"/>
                <w:highlight w:val="none"/>
                <w:lang w:val="en-US" w:eastAsia="zh-CN"/>
              </w:rPr>
              <w:t>第二遍</w:t>
            </w:r>
            <w:r>
              <w:rPr>
                <w:bCs/>
                <w:color w:val="auto"/>
                <w:sz w:val="24"/>
                <w:highlight w:val="none"/>
              </w:rPr>
              <w:t>用</w:t>
            </w:r>
            <w:r>
              <w:rPr>
                <w:rFonts w:hint="eastAsia"/>
                <w:bCs/>
                <w:color w:val="auto"/>
                <w:sz w:val="24"/>
                <w:highlight w:val="none"/>
                <w:lang w:val="en-US" w:eastAsia="zh-CN"/>
              </w:rPr>
              <w:t>纯</w:t>
            </w:r>
            <w:r>
              <w:rPr>
                <w:bCs/>
                <w:color w:val="auto"/>
                <w:sz w:val="24"/>
                <w:highlight w:val="none"/>
              </w:rPr>
              <w:t>水</w:t>
            </w:r>
            <w:r>
              <w:rPr>
                <w:rFonts w:hint="eastAsia"/>
                <w:bCs/>
                <w:color w:val="auto"/>
                <w:sz w:val="24"/>
                <w:highlight w:val="none"/>
                <w:lang w:val="en-US" w:eastAsia="zh-CN"/>
              </w:rPr>
              <w:t>清洗，每次用纯水0.01m</w:t>
            </w:r>
            <w:r>
              <w:rPr>
                <w:rFonts w:hint="eastAsia"/>
                <w:bCs/>
                <w:color w:val="auto"/>
                <w:sz w:val="24"/>
                <w:highlight w:val="none"/>
                <w:vertAlign w:val="superscript"/>
                <w:lang w:val="en-US" w:eastAsia="zh-CN"/>
              </w:rPr>
              <w:t>3</w:t>
            </w:r>
            <w:r>
              <w:rPr>
                <w:rFonts w:hint="eastAsia"/>
                <w:bCs/>
                <w:color w:val="auto"/>
                <w:sz w:val="24"/>
                <w:highlight w:val="none"/>
                <w:lang w:eastAsia="zh-CN"/>
              </w:rPr>
              <w:t>，</w:t>
            </w:r>
            <w:r>
              <w:rPr>
                <w:rFonts w:hint="eastAsia"/>
                <w:bCs/>
                <w:color w:val="auto"/>
                <w:sz w:val="24"/>
                <w:highlight w:val="none"/>
                <w:lang w:val="en-US" w:eastAsia="zh-CN"/>
              </w:rPr>
              <w:t>电池材料研发实验40批次/a、软包电芯研发实验20批次/a，</w:t>
            </w:r>
            <w:r>
              <w:rPr>
                <w:rFonts w:hint="eastAsia"/>
                <w:color w:val="auto"/>
                <w:sz w:val="24"/>
                <w:highlight w:val="none"/>
                <w:lang w:val="en-US" w:eastAsia="zh-CN"/>
              </w:rPr>
              <w:t>设备</w:t>
            </w:r>
            <w:r>
              <w:rPr>
                <w:bCs/>
                <w:color w:val="auto"/>
                <w:sz w:val="24"/>
                <w:highlight w:val="none"/>
              </w:rPr>
              <w:t>容器清洗</w:t>
            </w:r>
            <w:r>
              <w:rPr>
                <w:rFonts w:hint="eastAsia"/>
                <w:bCs/>
                <w:color w:val="auto"/>
                <w:sz w:val="24"/>
                <w:highlight w:val="none"/>
                <w:lang w:val="en-US" w:eastAsia="zh-CN"/>
              </w:rPr>
              <w:t>用新鲜水0.6m</w:t>
            </w:r>
            <w:r>
              <w:rPr>
                <w:rFonts w:hint="eastAsia"/>
                <w:bCs/>
                <w:color w:val="auto"/>
                <w:sz w:val="24"/>
                <w:highlight w:val="none"/>
                <w:vertAlign w:val="superscript"/>
                <w:lang w:val="en-US" w:eastAsia="zh-CN"/>
              </w:rPr>
              <w:t>3</w:t>
            </w:r>
            <w:r>
              <w:rPr>
                <w:bCs/>
                <w:color w:val="auto"/>
                <w:sz w:val="24"/>
                <w:highlight w:val="none"/>
              </w:rPr>
              <w:t>/a</w:t>
            </w:r>
            <w:r>
              <w:rPr>
                <w:rFonts w:hint="eastAsia"/>
                <w:bCs/>
                <w:color w:val="auto"/>
                <w:sz w:val="24"/>
                <w:highlight w:val="none"/>
                <w:lang w:eastAsia="zh-CN"/>
              </w:rPr>
              <w:t>，</w:t>
            </w:r>
            <w:r>
              <w:rPr>
                <w:rFonts w:hint="eastAsia"/>
                <w:bCs/>
                <w:color w:val="auto"/>
                <w:sz w:val="24"/>
                <w:highlight w:val="none"/>
                <w:lang w:val="en-US" w:eastAsia="zh-CN"/>
              </w:rPr>
              <w:t>清洗用新鲜水最大日用水量0.02m</w:t>
            </w:r>
            <w:r>
              <w:rPr>
                <w:rFonts w:hint="eastAsia"/>
                <w:bCs/>
                <w:color w:val="auto"/>
                <w:sz w:val="24"/>
                <w:highlight w:val="none"/>
                <w:vertAlign w:val="superscript"/>
                <w:lang w:val="en-US" w:eastAsia="zh-CN"/>
              </w:rPr>
              <w:t>3</w:t>
            </w:r>
            <w:r>
              <w:rPr>
                <w:bCs/>
                <w:color w:val="auto"/>
                <w:sz w:val="24"/>
                <w:highlight w:val="none"/>
              </w:rPr>
              <w:t>/</w:t>
            </w:r>
            <w:r>
              <w:rPr>
                <w:rFonts w:hint="eastAsia"/>
                <w:bCs/>
                <w:color w:val="auto"/>
                <w:sz w:val="24"/>
                <w:highlight w:val="none"/>
                <w:lang w:val="en-US" w:eastAsia="zh-CN"/>
              </w:rPr>
              <w:t>d；</w:t>
            </w:r>
            <w:r>
              <w:rPr>
                <w:rFonts w:hint="eastAsia"/>
                <w:color w:val="auto"/>
                <w:sz w:val="24"/>
                <w:highlight w:val="none"/>
                <w:lang w:val="en-US" w:eastAsia="zh-CN"/>
              </w:rPr>
              <w:t>设备</w:t>
            </w:r>
            <w:r>
              <w:rPr>
                <w:bCs/>
                <w:color w:val="auto"/>
                <w:sz w:val="24"/>
                <w:highlight w:val="none"/>
              </w:rPr>
              <w:t>容器清洗</w:t>
            </w:r>
            <w:r>
              <w:rPr>
                <w:rFonts w:hint="eastAsia"/>
                <w:bCs/>
                <w:color w:val="auto"/>
                <w:sz w:val="24"/>
                <w:highlight w:val="none"/>
                <w:lang w:val="en-US" w:eastAsia="zh-CN"/>
              </w:rPr>
              <w:t>用纯水0.6m</w:t>
            </w:r>
            <w:r>
              <w:rPr>
                <w:rFonts w:hint="eastAsia"/>
                <w:bCs/>
                <w:color w:val="auto"/>
                <w:sz w:val="24"/>
                <w:highlight w:val="none"/>
                <w:vertAlign w:val="superscript"/>
                <w:lang w:val="en-US" w:eastAsia="zh-CN"/>
              </w:rPr>
              <w:t>3</w:t>
            </w:r>
            <w:r>
              <w:rPr>
                <w:bCs/>
                <w:color w:val="auto"/>
                <w:sz w:val="24"/>
                <w:highlight w:val="none"/>
              </w:rPr>
              <w:t>/a</w:t>
            </w:r>
            <w:r>
              <w:rPr>
                <w:rFonts w:hint="eastAsia"/>
                <w:bCs/>
                <w:color w:val="auto"/>
                <w:sz w:val="24"/>
                <w:highlight w:val="none"/>
                <w:lang w:eastAsia="zh-CN"/>
              </w:rPr>
              <w:t>，</w:t>
            </w:r>
            <w:r>
              <w:rPr>
                <w:rFonts w:hint="eastAsia"/>
                <w:bCs/>
                <w:color w:val="auto"/>
                <w:sz w:val="24"/>
                <w:highlight w:val="none"/>
                <w:lang w:val="en-US" w:eastAsia="zh-CN"/>
              </w:rPr>
              <w:t>清洗用纯水最大日用水量0.02m</w:t>
            </w:r>
            <w:r>
              <w:rPr>
                <w:rFonts w:hint="eastAsia"/>
                <w:bCs/>
                <w:color w:val="auto"/>
                <w:sz w:val="24"/>
                <w:highlight w:val="none"/>
                <w:vertAlign w:val="superscript"/>
                <w:lang w:val="en-US" w:eastAsia="zh-CN"/>
              </w:rPr>
              <w:t>3</w:t>
            </w:r>
            <w:r>
              <w:rPr>
                <w:bCs/>
                <w:color w:val="auto"/>
                <w:sz w:val="24"/>
                <w:highlight w:val="none"/>
              </w:rPr>
              <w:t>/</w:t>
            </w:r>
            <w:r>
              <w:rPr>
                <w:rFonts w:hint="eastAsia"/>
                <w:bCs/>
                <w:color w:val="auto"/>
                <w:sz w:val="24"/>
                <w:highlight w:val="none"/>
                <w:lang w:val="en-US" w:eastAsia="zh-CN"/>
              </w:rPr>
              <w:t>d。</w:t>
            </w:r>
          </w:p>
          <w:p w14:paraId="2B456C7D">
            <w:pPr>
              <w:adjustRightInd w:val="0"/>
              <w:snapToGrid w:val="0"/>
              <w:spacing w:line="360" w:lineRule="auto"/>
              <w:ind w:firstLine="480" w:firstLineChars="200"/>
              <w:rPr>
                <w:rFonts w:hint="eastAsia"/>
                <w:bCs/>
                <w:color w:val="auto"/>
                <w:sz w:val="24"/>
                <w:highlight w:val="none"/>
                <w:lang w:val="en-US" w:eastAsia="zh-CN"/>
              </w:rPr>
            </w:pPr>
            <w:r>
              <w:rPr>
                <w:rFonts w:hint="eastAsia"/>
                <w:bCs/>
                <w:color w:val="auto"/>
                <w:sz w:val="24"/>
                <w:highlight w:val="none"/>
                <w:lang w:val="en-US" w:eastAsia="zh-CN"/>
              </w:rPr>
              <w:t>本项目合计用纯水0.6244m</w:t>
            </w:r>
            <w:r>
              <w:rPr>
                <w:rFonts w:hint="eastAsia"/>
                <w:bCs/>
                <w:color w:val="auto"/>
                <w:sz w:val="24"/>
                <w:highlight w:val="none"/>
                <w:vertAlign w:val="superscript"/>
                <w:lang w:val="en-US" w:eastAsia="zh-CN"/>
              </w:rPr>
              <w:t>3</w:t>
            </w:r>
            <w:r>
              <w:rPr>
                <w:rFonts w:hint="eastAsia"/>
                <w:bCs/>
                <w:color w:val="auto"/>
                <w:sz w:val="24"/>
                <w:highlight w:val="none"/>
                <w:lang w:val="en-US" w:eastAsia="zh-CN"/>
              </w:rPr>
              <w:t>/a、最大日用纯水量0.0211m</w:t>
            </w:r>
            <w:r>
              <w:rPr>
                <w:rFonts w:hint="eastAsia"/>
                <w:bCs/>
                <w:color w:val="auto"/>
                <w:sz w:val="24"/>
                <w:highlight w:val="none"/>
                <w:vertAlign w:val="superscript"/>
                <w:lang w:val="en-US" w:eastAsia="zh-CN"/>
              </w:rPr>
              <w:t>3</w:t>
            </w:r>
            <w:r>
              <w:rPr>
                <w:bCs/>
                <w:color w:val="auto"/>
                <w:sz w:val="24"/>
                <w:highlight w:val="none"/>
              </w:rPr>
              <w:t>/</w:t>
            </w:r>
            <w:r>
              <w:rPr>
                <w:rFonts w:hint="eastAsia"/>
                <w:bCs/>
                <w:color w:val="auto"/>
                <w:sz w:val="24"/>
                <w:highlight w:val="none"/>
                <w:lang w:val="en-US" w:eastAsia="zh-CN"/>
              </w:rPr>
              <w:t>d，纯水由一台纯水机制备，采用过滤+反渗透工艺，制水率70%，则纯水制备用新鲜水0.892m</w:t>
            </w:r>
            <w:r>
              <w:rPr>
                <w:rFonts w:hint="eastAsia"/>
                <w:bCs/>
                <w:color w:val="auto"/>
                <w:sz w:val="24"/>
                <w:highlight w:val="none"/>
                <w:vertAlign w:val="superscript"/>
                <w:lang w:val="en-US" w:eastAsia="zh-CN"/>
              </w:rPr>
              <w:t>3</w:t>
            </w:r>
            <w:r>
              <w:rPr>
                <w:rFonts w:hint="eastAsia"/>
                <w:bCs/>
                <w:color w:val="auto"/>
                <w:sz w:val="24"/>
                <w:highlight w:val="none"/>
                <w:lang w:val="en-US" w:eastAsia="zh-CN"/>
              </w:rPr>
              <w:t>/a、纯水制备最大日用新鲜水0.03m</w:t>
            </w:r>
            <w:r>
              <w:rPr>
                <w:rFonts w:hint="eastAsia"/>
                <w:bCs/>
                <w:color w:val="auto"/>
                <w:sz w:val="24"/>
                <w:highlight w:val="none"/>
                <w:vertAlign w:val="superscript"/>
                <w:lang w:val="en-US" w:eastAsia="zh-CN"/>
              </w:rPr>
              <w:t>3</w:t>
            </w:r>
            <w:r>
              <w:rPr>
                <w:bCs/>
                <w:color w:val="auto"/>
                <w:sz w:val="24"/>
                <w:highlight w:val="none"/>
              </w:rPr>
              <w:t>/</w:t>
            </w:r>
            <w:r>
              <w:rPr>
                <w:rFonts w:hint="eastAsia"/>
                <w:bCs/>
                <w:color w:val="auto"/>
                <w:sz w:val="24"/>
                <w:highlight w:val="none"/>
                <w:lang w:val="en-US" w:eastAsia="zh-CN"/>
              </w:rPr>
              <w:t>d。</w:t>
            </w:r>
          </w:p>
          <w:p w14:paraId="0CC0366C">
            <w:pPr>
              <w:adjustRightInd w:val="0"/>
              <w:snapToGrid w:val="0"/>
              <w:spacing w:line="360" w:lineRule="auto"/>
              <w:ind w:firstLine="480" w:firstLineChars="200"/>
              <w:rPr>
                <w:rFonts w:hint="eastAsia" w:eastAsia="宋体"/>
                <w:bCs/>
                <w:color w:val="auto"/>
                <w:sz w:val="24"/>
                <w:highlight w:val="none"/>
                <w:lang w:val="en-US" w:eastAsia="zh-CN"/>
              </w:rPr>
            </w:pPr>
            <w:r>
              <w:rPr>
                <w:rFonts w:hint="eastAsia"/>
                <w:bCs/>
                <w:color w:val="auto"/>
                <w:sz w:val="24"/>
                <w:highlight w:val="none"/>
                <w:lang w:val="en-US" w:eastAsia="zh-CN"/>
              </w:rPr>
              <w:t>本项目空气干燥、N-甲基吡咯烷酮回收需要冷却水冷凝，采用水循环散热，循环水根据损耗定期补加新鲜水，根据建设单位提供的资料，冷却用新鲜水5m</w:t>
            </w:r>
            <w:r>
              <w:rPr>
                <w:rFonts w:hint="eastAsia"/>
                <w:bCs/>
                <w:color w:val="auto"/>
                <w:sz w:val="24"/>
                <w:highlight w:val="none"/>
                <w:vertAlign w:val="superscript"/>
                <w:lang w:val="en-US" w:eastAsia="zh-CN"/>
              </w:rPr>
              <w:t>3</w:t>
            </w:r>
            <w:r>
              <w:rPr>
                <w:bCs/>
                <w:color w:val="auto"/>
                <w:sz w:val="24"/>
                <w:highlight w:val="none"/>
              </w:rPr>
              <w:t>/a</w:t>
            </w:r>
            <w:r>
              <w:rPr>
                <w:rFonts w:hint="eastAsia"/>
                <w:bCs/>
                <w:color w:val="auto"/>
                <w:sz w:val="24"/>
                <w:highlight w:val="none"/>
                <w:lang w:eastAsia="zh-CN"/>
              </w:rPr>
              <w:t>。</w:t>
            </w:r>
          </w:p>
          <w:p w14:paraId="43A3014E">
            <w:pPr>
              <w:adjustRightInd w:val="0"/>
              <w:snapToGrid w:val="0"/>
              <w:spacing w:line="360" w:lineRule="auto"/>
              <w:ind w:firstLine="480" w:firstLineChars="200"/>
              <w:rPr>
                <w:rFonts w:hint="eastAsia"/>
                <w:bCs/>
                <w:color w:val="auto"/>
                <w:sz w:val="24"/>
                <w:highlight w:val="none"/>
                <w:lang w:eastAsia="zh-CN"/>
              </w:rPr>
            </w:pPr>
            <w:r>
              <w:rPr>
                <w:rFonts w:hint="eastAsia"/>
                <w:color w:val="auto"/>
                <w:sz w:val="24"/>
                <w:highlight w:val="none"/>
                <w:lang w:val="en-US" w:eastAsia="zh-CN"/>
              </w:rPr>
              <w:t>本</w:t>
            </w:r>
            <w:r>
              <w:rPr>
                <w:color w:val="auto"/>
                <w:sz w:val="24"/>
                <w:highlight w:val="none"/>
              </w:rPr>
              <w:t>项目</w:t>
            </w:r>
            <w:r>
              <w:rPr>
                <w:rFonts w:hint="eastAsia"/>
                <w:color w:val="auto"/>
                <w:sz w:val="24"/>
                <w:highlight w:val="none"/>
                <w:lang w:val="en-US" w:eastAsia="zh-CN"/>
              </w:rPr>
              <w:t>合计用新鲜水</w:t>
            </w:r>
            <w:r>
              <w:rPr>
                <w:rFonts w:hint="eastAsia"/>
                <w:bCs/>
                <w:color w:val="auto"/>
                <w:sz w:val="24"/>
                <w:highlight w:val="none"/>
                <w:lang w:val="en-US" w:eastAsia="zh-CN"/>
              </w:rPr>
              <w:t>118.992m</w:t>
            </w:r>
            <w:r>
              <w:rPr>
                <w:rFonts w:hint="eastAsia"/>
                <w:bCs/>
                <w:color w:val="auto"/>
                <w:sz w:val="24"/>
                <w:highlight w:val="none"/>
                <w:vertAlign w:val="superscript"/>
                <w:lang w:val="en-US" w:eastAsia="zh-CN"/>
              </w:rPr>
              <w:t>3</w:t>
            </w:r>
            <w:r>
              <w:rPr>
                <w:bCs/>
                <w:color w:val="auto"/>
                <w:sz w:val="24"/>
                <w:highlight w:val="none"/>
              </w:rPr>
              <w:t>/a</w:t>
            </w:r>
            <w:r>
              <w:rPr>
                <w:rFonts w:hint="eastAsia"/>
                <w:bCs/>
                <w:color w:val="auto"/>
                <w:sz w:val="24"/>
                <w:highlight w:val="none"/>
                <w:lang w:eastAsia="zh-CN"/>
              </w:rPr>
              <w:t>。</w:t>
            </w:r>
          </w:p>
          <w:p w14:paraId="56B187A2">
            <w:pPr>
              <w:numPr>
                <w:ilvl w:val="0"/>
                <w:numId w:val="0"/>
              </w:numPr>
              <w:adjustRightInd w:val="0"/>
              <w:spacing w:line="360" w:lineRule="auto"/>
              <w:ind w:firstLine="480" w:firstLineChars="200"/>
              <w:rPr>
                <w:rFonts w:hint="eastAsia" w:cs="Times New Roman"/>
                <w:bCs/>
                <w:color w:val="auto"/>
                <w:sz w:val="24"/>
                <w:highlight w:val="none"/>
                <w:lang w:eastAsia="zh-CN"/>
              </w:rPr>
            </w:pPr>
            <w:r>
              <w:rPr>
                <w:rFonts w:hint="eastAsia" w:cs="Times New Roman"/>
                <w:bCs/>
                <w:color w:val="auto"/>
                <w:sz w:val="24"/>
                <w:highlight w:val="none"/>
                <w:lang w:eastAsia="zh-CN"/>
              </w:rPr>
              <w:t>（</w:t>
            </w:r>
            <w:r>
              <w:rPr>
                <w:rFonts w:hint="eastAsia" w:cs="Times New Roman"/>
                <w:bCs/>
                <w:color w:val="auto"/>
                <w:sz w:val="24"/>
                <w:highlight w:val="none"/>
                <w:lang w:val="en-US" w:eastAsia="zh-CN"/>
              </w:rPr>
              <w:t>2</w:t>
            </w:r>
            <w:r>
              <w:rPr>
                <w:rFonts w:hint="eastAsia" w:cs="Times New Roman"/>
                <w:bCs/>
                <w:color w:val="auto"/>
                <w:sz w:val="24"/>
                <w:highlight w:val="none"/>
                <w:lang w:eastAsia="zh-CN"/>
              </w:rPr>
              <w:t>）排水</w:t>
            </w:r>
          </w:p>
          <w:p w14:paraId="53A1DA4D">
            <w:pPr>
              <w:adjustRightInd w:val="0"/>
              <w:snapToGrid w:val="0"/>
              <w:spacing w:line="360" w:lineRule="auto"/>
              <w:ind w:firstLine="480" w:firstLineChars="200"/>
              <w:rPr>
                <w:rFonts w:hint="eastAsia"/>
                <w:bCs/>
                <w:color w:val="auto"/>
                <w:sz w:val="24"/>
                <w:highlight w:val="none"/>
                <w:lang w:eastAsia="zh-CN"/>
              </w:rPr>
            </w:pPr>
            <w:r>
              <w:rPr>
                <w:rFonts w:hint="eastAsia"/>
                <w:bCs/>
                <w:color w:val="auto"/>
                <w:sz w:val="24"/>
                <w:highlight w:val="none"/>
                <w:lang w:val="en-US" w:eastAsia="zh-CN"/>
              </w:rPr>
              <w:t>本</w:t>
            </w:r>
            <w:r>
              <w:rPr>
                <w:rFonts w:hint="eastAsia"/>
                <w:bCs/>
                <w:color w:val="auto"/>
                <w:sz w:val="24"/>
                <w:highlight w:val="none"/>
              </w:rPr>
              <w:t>项目</w:t>
            </w:r>
            <w:r>
              <w:rPr>
                <w:rFonts w:hint="eastAsia"/>
                <w:bCs/>
                <w:color w:val="auto"/>
                <w:sz w:val="24"/>
                <w:highlight w:val="none"/>
                <w:lang w:val="en-US" w:eastAsia="zh-CN"/>
              </w:rPr>
              <w:t>排水包括生活污水、</w:t>
            </w:r>
            <w:r>
              <w:rPr>
                <w:rFonts w:hint="eastAsia"/>
                <w:bCs/>
                <w:color w:val="auto"/>
                <w:sz w:val="24"/>
                <w:highlight w:val="none"/>
                <w:lang w:eastAsia="zh-CN"/>
              </w:rPr>
              <w:t>设备容器第</w:t>
            </w:r>
            <w:r>
              <w:rPr>
                <w:rFonts w:hint="eastAsia"/>
                <w:bCs/>
                <w:color w:val="auto"/>
                <w:sz w:val="24"/>
                <w:highlight w:val="none"/>
                <w:lang w:val="en-US" w:eastAsia="zh-CN"/>
              </w:rPr>
              <w:t>二</w:t>
            </w:r>
            <w:r>
              <w:rPr>
                <w:rFonts w:hint="eastAsia"/>
                <w:bCs/>
                <w:color w:val="auto"/>
                <w:sz w:val="24"/>
                <w:highlight w:val="none"/>
                <w:lang w:eastAsia="zh-CN"/>
              </w:rPr>
              <w:t>遍清洗废水、</w:t>
            </w:r>
            <w:r>
              <w:rPr>
                <w:rFonts w:hint="eastAsia"/>
                <w:bCs/>
                <w:color w:val="auto"/>
                <w:sz w:val="24"/>
                <w:highlight w:val="none"/>
                <w:lang w:val="en-US" w:eastAsia="zh-CN"/>
              </w:rPr>
              <w:t>纯水制备废水</w:t>
            </w:r>
            <w:r>
              <w:rPr>
                <w:rFonts w:hint="eastAsia"/>
                <w:bCs/>
                <w:color w:val="auto"/>
                <w:sz w:val="24"/>
                <w:highlight w:val="none"/>
                <w:lang w:eastAsia="zh-CN"/>
              </w:rPr>
              <w:t>。</w:t>
            </w:r>
          </w:p>
          <w:p w14:paraId="60817A6D">
            <w:pPr>
              <w:adjustRightInd w:val="0"/>
              <w:snapToGrid w:val="0"/>
              <w:spacing w:line="360" w:lineRule="auto"/>
              <w:ind w:firstLine="480" w:firstLineChars="200"/>
              <w:rPr>
                <w:rFonts w:hint="default" w:eastAsia="宋体"/>
                <w:bCs/>
                <w:color w:val="auto"/>
                <w:sz w:val="24"/>
                <w:highlight w:val="none"/>
                <w:lang w:val="en-US" w:eastAsia="zh-CN"/>
              </w:rPr>
            </w:pPr>
            <w:r>
              <w:rPr>
                <w:rFonts w:hint="eastAsia" w:eastAsia="宋体"/>
                <w:bCs/>
                <w:color w:val="auto"/>
                <w:sz w:val="24"/>
                <w:highlight w:val="none"/>
                <w:lang w:val="en-US" w:eastAsia="zh-CN"/>
              </w:rPr>
              <w:t>生活废水产生量按用水量的85%，计</w:t>
            </w:r>
            <w:r>
              <w:rPr>
                <w:rFonts w:hint="eastAsia"/>
                <w:bCs/>
                <w:color w:val="auto"/>
                <w:sz w:val="24"/>
                <w:highlight w:val="none"/>
                <w:lang w:val="en-US" w:eastAsia="zh-CN"/>
              </w:rPr>
              <w:t>95.63</w:t>
            </w:r>
            <w:r>
              <w:rPr>
                <w:rFonts w:hint="eastAsia" w:eastAsia="宋体"/>
                <w:bCs/>
                <w:color w:val="auto"/>
                <w:sz w:val="24"/>
                <w:highlight w:val="none"/>
                <w:lang w:val="en-US" w:eastAsia="zh-CN"/>
              </w:rPr>
              <w:t>m</w:t>
            </w:r>
            <w:r>
              <w:rPr>
                <w:rFonts w:hint="eastAsia" w:eastAsia="宋体"/>
                <w:bCs/>
                <w:color w:val="auto"/>
                <w:sz w:val="24"/>
                <w:highlight w:val="none"/>
                <w:vertAlign w:val="superscript"/>
                <w:lang w:val="en-US" w:eastAsia="zh-CN"/>
              </w:rPr>
              <w:t>3</w:t>
            </w:r>
            <w:r>
              <w:rPr>
                <w:rFonts w:hint="eastAsia" w:eastAsia="宋体"/>
                <w:bCs/>
                <w:color w:val="auto"/>
                <w:sz w:val="24"/>
                <w:highlight w:val="none"/>
              </w:rPr>
              <w:t>/a</w:t>
            </w:r>
            <w:r>
              <w:rPr>
                <w:rFonts w:hint="eastAsia"/>
                <w:bCs/>
                <w:color w:val="auto"/>
                <w:sz w:val="24"/>
                <w:highlight w:val="none"/>
                <w:lang w:eastAsia="zh-CN"/>
              </w:rPr>
              <w:t>、</w:t>
            </w:r>
            <w:r>
              <w:rPr>
                <w:rFonts w:hint="eastAsia"/>
                <w:bCs/>
                <w:color w:val="auto"/>
                <w:sz w:val="24"/>
                <w:highlight w:val="none"/>
                <w:lang w:val="en-US" w:eastAsia="zh-CN"/>
              </w:rPr>
              <w:t>0.38m</w:t>
            </w:r>
            <w:r>
              <w:rPr>
                <w:rFonts w:hint="eastAsia"/>
                <w:bCs/>
                <w:color w:val="auto"/>
                <w:sz w:val="24"/>
                <w:highlight w:val="none"/>
                <w:vertAlign w:val="superscript"/>
                <w:lang w:val="en-US" w:eastAsia="zh-CN"/>
              </w:rPr>
              <w:t>3</w:t>
            </w:r>
            <w:r>
              <w:rPr>
                <w:bCs/>
                <w:color w:val="auto"/>
                <w:sz w:val="24"/>
                <w:highlight w:val="none"/>
              </w:rPr>
              <w:t>/</w:t>
            </w:r>
            <w:r>
              <w:rPr>
                <w:rFonts w:hint="eastAsia"/>
                <w:bCs/>
                <w:color w:val="auto"/>
                <w:sz w:val="24"/>
                <w:highlight w:val="none"/>
                <w:lang w:val="en-US" w:eastAsia="zh-CN"/>
              </w:rPr>
              <w:t>d</w:t>
            </w:r>
            <w:r>
              <w:rPr>
                <w:rFonts w:hint="eastAsia" w:eastAsia="宋体"/>
                <w:bCs/>
                <w:color w:val="auto"/>
                <w:sz w:val="24"/>
                <w:highlight w:val="none"/>
                <w:lang w:eastAsia="zh-CN"/>
              </w:rPr>
              <w:t>。</w:t>
            </w:r>
          </w:p>
          <w:p w14:paraId="067174CA">
            <w:pPr>
              <w:adjustRightInd w:val="0"/>
              <w:snapToGrid w:val="0"/>
              <w:spacing w:line="360" w:lineRule="auto"/>
              <w:ind w:firstLine="480" w:firstLineChars="200"/>
              <w:rPr>
                <w:rFonts w:hint="default" w:eastAsia="宋体"/>
                <w:bCs/>
                <w:color w:val="auto"/>
                <w:sz w:val="24"/>
                <w:highlight w:val="none"/>
                <w:lang w:val="en-US"/>
              </w:rPr>
            </w:pPr>
            <w:r>
              <w:rPr>
                <w:rFonts w:hint="eastAsia"/>
                <w:bCs/>
                <w:color w:val="auto"/>
                <w:sz w:val="24"/>
                <w:highlight w:val="none"/>
                <w:lang w:val="en-US" w:eastAsia="zh-CN"/>
              </w:rPr>
              <w:t>设备容器清洗废水</w:t>
            </w:r>
            <w:r>
              <w:rPr>
                <w:rFonts w:hint="eastAsia" w:eastAsia="宋体"/>
                <w:bCs/>
                <w:color w:val="auto"/>
                <w:sz w:val="24"/>
                <w:highlight w:val="none"/>
                <w:lang w:val="en-US" w:eastAsia="zh-CN"/>
              </w:rPr>
              <w:t>损耗率为</w:t>
            </w:r>
            <w:r>
              <w:rPr>
                <w:rFonts w:hint="default" w:eastAsia="宋体"/>
                <w:bCs/>
                <w:color w:val="auto"/>
                <w:sz w:val="24"/>
                <w:highlight w:val="none"/>
                <w:lang w:val="en-US" w:eastAsia="zh-CN"/>
              </w:rPr>
              <w:t>10%</w:t>
            </w:r>
            <w:r>
              <w:rPr>
                <w:rFonts w:hint="eastAsia" w:eastAsia="宋体"/>
                <w:bCs/>
                <w:color w:val="auto"/>
                <w:sz w:val="24"/>
                <w:highlight w:val="none"/>
                <w:lang w:val="en-US" w:eastAsia="zh-CN"/>
              </w:rPr>
              <w:t>，</w:t>
            </w:r>
            <w:r>
              <w:rPr>
                <w:rFonts w:hint="eastAsia"/>
                <w:bCs/>
                <w:color w:val="auto"/>
                <w:sz w:val="24"/>
                <w:highlight w:val="none"/>
                <w:lang w:val="en-US" w:eastAsia="zh-CN"/>
              </w:rPr>
              <w:t>第一遍</w:t>
            </w:r>
            <w:r>
              <w:rPr>
                <w:rFonts w:hint="eastAsia" w:eastAsia="宋体"/>
                <w:bCs/>
                <w:color w:val="auto"/>
                <w:sz w:val="24"/>
                <w:highlight w:val="none"/>
                <w:lang w:val="en-US" w:eastAsia="zh-CN"/>
              </w:rPr>
              <w:t>清洗</w:t>
            </w:r>
            <w:r>
              <w:rPr>
                <w:rFonts w:hint="eastAsia"/>
                <w:bCs/>
                <w:color w:val="auto"/>
                <w:sz w:val="24"/>
                <w:highlight w:val="none"/>
                <w:lang w:val="en-US" w:eastAsia="zh-CN"/>
              </w:rPr>
              <w:t>用新鲜水0.6</w:t>
            </w:r>
            <w:r>
              <w:rPr>
                <w:rFonts w:hint="eastAsia" w:eastAsia="宋体"/>
                <w:bCs/>
                <w:color w:val="auto"/>
                <w:sz w:val="24"/>
                <w:highlight w:val="none"/>
                <w:lang w:val="en-US" w:eastAsia="zh-CN"/>
              </w:rPr>
              <w:t>m</w:t>
            </w:r>
            <w:r>
              <w:rPr>
                <w:rFonts w:hint="eastAsia" w:eastAsia="宋体"/>
                <w:bCs/>
                <w:color w:val="auto"/>
                <w:sz w:val="24"/>
                <w:highlight w:val="none"/>
                <w:vertAlign w:val="superscript"/>
                <w:lang w:val="en-US" w:eastAsia="zh-CN"/>
              </w:rPr>
              <w:t>3</w:t>
            </w:r>
            <w:r>
              <w:rPr>
                <w:rFonts w:hint="eastAsia" w:eastAsia="宋体"/>
                <w:bCs/>
                <w:color w:val="auto"/>
                <w:sz w:val="24"/>
                <w:highlight w:val="none"/>
              </w:rPr>
              <w:t>/a</w:t>
            </w:r>
            <w:r>
              <w:rPr>
                <w:rFonts w:hint="eastAsia" w:eastAsia="宋体"/>
                <w:bCs/>
                <w:color w:val="auto"/>
                <w:sz w:val="24"/>
                <w:highlight w:val="none"/>
                <w:lang w:val="en-US" w:eastAsia="zh-CN"/>
              </w:rPr>
              <w:t>，废液产生量为0.</w:t>
            </w:r>
            <w:r>
              <w:rPr>
                <w:rFonts w:hint="eastAsia"/>
                <w:bCs/>
                <w:color w:val="auto"/>
                <w:sz w:val="24"/>
                <w:highlight w:val="none"/>
                <w:lang w:val="en-US" w:eastAsia="zh-CN"/>
              </w:rPr>
              <w:t>54</w:t>
            </w:r>
            <w:r>
              <w:rPr>
                <w:rFonts w:hint="eastAsia" w:eastAsia="宋体"/>
                <w:bCs/>
                <w:color w:val="auto"/>
                <w:sz w:val="24"/>
                <w:highlight w:val="none"/>
                <w:lang w:val="en-US" w:eastAsia="zh-CN"/>
              </w:rPr>
              <w:t>m</w:t>
            </w:r>
            <w:r>
              <w:rPr>
                <w:rFonts w:hint="eastAsia" w:eastAsia="宋体"/>
                <w:bCs/>
                <w:color w:val="auto"/>
                <w:sz w:val="24"/>
                <w:highlight w:val="none"/>
                <w:vertAlign w:val="superscript"/>
                <w:lang w:val="en-US" w:eastAsia="zh-CN"/>
              </w:rPr>
              <w:t>3</w:t>
            </w:r>
            <w:r>
              <w:rPr>
                <w:rFonts w:hint="eastAsia" w:eastAsia="宋体"/>
                <w:bCs/>
                <w:color w:val="auto"/>
                <w:sz w:val="24"/>
                <w:highlight w:val="none"/>
              </w:rPr>
              <w:t>/a</w:t>
            </w:r>
            <w:r>
              <w:rPr>
                <w:rFonts w:hint="eastAsia" w:eastAsia="宋体"/>
                <w:bCs/>
                <w:color w:val="auto"/>
                <w:sz w:val="24"/>
                <w:highlight w:val="none"/>
                <w:lang w:val="en-US" w:eastAsia="zh-CN"/>
              </w:rPr>
              <w:t>，</w:t>
            </w:r>
            <w:r>
              <w:rPr>
                <w:rFonts w:hint="eastAsia"/>
                <w:bCs/>
                <w:color w:val="auto"/>
                <w:sz w:val="24"/>
                <w:highlight w:val="none"/>
                <w:lang w:val="en-US" w:eastAsia="zh-CN"/>
              </w:rPr>
              <w:t>做</w:t>
            </w:r>
            <w:r>
              <w:rPr>
                <w:rFonts w:hint="eastAsia" w:eastAsia="宋体"/>
                <w:bCs/>
                <w:color w:val="auto"/>
                <w:sz w:val="24"/>
                <w:highlight w:val="none"/>
                <w:lang w:val="en-US" w:eastAsia="zh-CN"/>
              </w:rPr>
              <w:t>为</w:t>
            </w:r>
            <w:r>
              <w:rPr>
                <w:rFonts w:hint="eastAsia"/>
                <w:bCs/>
                <w:color w:val="auto"/>
                <w:sz w:val="24"/>
                <w:highlight w:val="none"/>
                <w:lang w:val="en-US" w:eastAsia="zh-CN"/>
              </w:rPr>
              <w:t>危险废物收集</w:t>
            </w:r>
            <w:r>
              <w:rPr>
                <w:rFonts w:hint="eastAsia" w:eastAsia="宋体"/>
                <w:bCs/>
                <w:color w:val="auto"/>
                <w:sz w:val="24"/>
                <w:highlight w:val="none"/>
                <w:lang w:val="en-US" w:eastAsia="zh-CN"/>
              </w:rPr>
              <w:t>处理；第</w:t>
            </w:r>
            <w:r>
              <w:rPr>
                <w:rFonts w:hint="eastAsia"/>
                <w:bCs/>
                <w:color w:val="auto"/>
                <w:sz w:val="24"/>
                <w:highlight w:val="none"/>
                <w:lang w:val="en-US" w:eastAsia="zh-CN"/>
              </w:rPr>
              <w:t>二遍</w:t>
            </w:r>
            <w:r>
              <w:rPr>
                <w:rFonts w:hint="eastAsia" w:eastAsia="宋体"/>
                <w:bCs/>
                <w:color w:val="auto"/>
                <w:sz w:val="24"/>
                <w:highlight w:val="none"/>
                <w:lang w:val="en-US" w:eastAsia="zh-CN"/>
              </w:rPr>
              <w:t>清洗</w:t>
            </w:r>
            <w:r>
              <w:rPr>
                <w:rFonts w:hint="eastAsia"/>
                <w:bCs/>
                <w:color w:val="auto"/>
                <w:sz w:val="24"/>
                <w:highlight w:val="none"/>
                <w:lang w:val="en-US" w:eastAsia="zh-CN"/>
              </w:rPr>
              <w:t>用纯水0.6</w:t>
            </w:r>
            <w:r>
              <w:rPr>
                <w:rFonts w:hint="eastAsia" w:eastAsia="宋体"/>
                <w:bCs/>
                <w:color w:val="auto"/>
                <w:sz w:val="24"/>
                <w:highlight w:val="none"/>
                <w:lang w:val="en-US" w:eastAsia="zh-CN"/>
              </w:rPr>
              <w:t>m</w:t>
            </w:r>
            <w:r>
              <w:rPr>
                <w:rFonts w:hint="eastAsia" w:eastAsia="宋体"/>
                <w:bCs/>
                <w:color w:val="auto"/>
                <w:sz w:val="24"/>
                <w:highlight w:val="none"/>
                <w:vertAlign w:val="superscript"/>
                <w:lang w:val="en-US" w:eastAsia="zh-CN"/>
              </w:rPr>
              <w:t>3</w:t>
            </w:r>
            <w:r>
              <w:rPr>
                <w:rFonts w:hint="eastAsia" w:eastAsia="宋体"/>
                <w:bCs/>
                <w:color w:val="auto"/>
                <w:sz w:val="24"/>
                <w:highlight w:val="none"/>
              </w:rPr>
              <w:t>/a</w:t>
            </w:r>
            <w:r>
              <w:rPr>
                <w:rFonts w:hint="eastAsia" w:eastAsia="宋体"/>
                <w:bCs/>
                <w:color w:val="auto"/>
                <w:sz w:val="24"/>
                <w:highlight w:val="none"/>
                <w:lang w:val="en-US" w:eastAsia="zh-CN"/>
              </w:rPr>
              <w:t>，清洗废水产生量</w:t>
            </w:r>
            <w:r>
              <w:rPr>
                <w:rFonts w:hint="eastAsia"/>
                <w:bCs/>
                <w:color w:val="auto"/>
                <w:sz w:val="24"/>
                <w:highlight w:val="none"/>
                <w:lang w:val="en-US" w:eastAsia="zh-CN"/>
              </w:rPr>
              <w:t>0.54</w:t>
            </w:r>
            <w:r>
              <w:rPr>
                <w:rFonts w:hint="eastAsia" w:eastAsia="宋体"/>
                <w:bCs/>
                <w:color w:val="auto"/>
                <w:sz w:val="24"/>
                <w:highlight w:val="none"/>
                <w:lang w:val="en-US" w:eastAsia="zh-CN"/>
              </w:rPr>
              <w:t>m</w:t>
            </w:r>
            <w:r>
              <w:rPr>
                <w:rFonts w:hint="eastAsia" w:eastAsia="宋体"/>
                <w:bCs/>
                <w:color w:val="auto"/>
                <w:sz w:val="24"/>
                <w:highlight w:val="none"/>
                <w:vertAlign w:val="superscript"/>
                <w:lang w:val="en-US" w:eastAsia="zh-CN"/>
              </w:rPr>
              <w:t>3</w:t>
            </w:r>
            <w:r>
              <w:rPr>
                <w:rFonts w:hint="eastAsia" w:eastAsia="宋体"/>
                <w:bCs/>
                <w:color w:val="auto"/>
                <w:sz w:val="24"/>
                <w:highlight w:val="none"/>
              </w:rPr>
              <w:t>/a</w:t>
            </w:r>
            <w:r>
              <w:rPr>
                <w:rFonts w:hint="eastAsia"/>
                <w:bCs/>
                <w:color w:val="auto"/>
                <w:sz w:val="24"/>
                <w:highlight w:val="none"/>
                <w:lang w:eastAsia="zh-CN"/>
              </w:rPr>
              <w:t>，</w:t>
            </w:r>
            <w:r>
              <w:rPr>
                <w:rFonts w:hint="eastAsia"/>
                <w:bCs/>
                <w:color w:val="auto"/>
                <w:sz w:val="24"/>
                <w:highlight w:val="none"/>
                <w:lang w:val="en-US" w:eastAsia="zh-CN"/>
              </w:rPr>
              <w:t>与其他废水一期进化粪池</w:t>
            </w:r>
            <w:r>
              <w:rPr>
                <w:rFonts w:hint="eastAsia" w:eastAsia="宋体"/>
                <w:bCs/>
                <w:color w:val="auto"/>
                <w:sz w:val="24"/>
                <w:highlight w:val="none"/>
                <w:lang w:val="en-US" w:eastAsia="zh-CN"/>
              </w:rPr>
              <w:t>。</w:t>
            </w:r>
            <w:r>
              <w:rPr>
                <w:rFonts w:hint="eastAsia"/>
                <w:bCs/>
                <w:color w:val="auto"/>
                <w:sz w:val="24"/>
                <w:highlight w:val="none"/>
                <w:lang w:val="en-US" w:eastAsia="zh-CN"/>
              </w:rPr>
              <w:t>设备容器清洗最大日排水量0.036m</w:t>
            </w:r>
            <w:r>
              <w:rPr>
                <w:rFonts w:hint="eastAsia"/>
                <w:bCs/>
                <w:color w:val="auto"/>
                <w:sz w:val="24"/>
                <w:highlight w:val="none"/>
                <w:vertAlign w:val="superscript"/>
                <w:lang w:val="en-US" w:eastAsia="zh-CN"/>
              </w:rPr>
              <w:t>3</w:t>
            </w:r>
            <w:r>
              <w:rPr>
                <w:bCs/>
                <w:color w:val="auto"/>
                <w:sz w:val="24"/>
                <w:highlight w:val="none"/>
              </w:rPr>
              <w:t>/</w:t>
            </w:r>
            <w:r>
              <w:rPr>
                <w:rFonts w:hint="eastAsia"/>
                <w:bCs/>
                <w:color w:val="auto"/>
                <w:sz w:val="24"/>
                <w:highlight w:val="none"/>
                <w:lang w:val="en-US" w:eastAsia="zh-CN"/>
              </w:rPr>
              <w:t>d。</w:t>
            </w:r>
          </w:p>
          <w:p w14:paraId="2ED00CBF">
            <w:pPr>
              <w:adjustRightInd w:val="0"/>
              <w:snapToGrid w:val="0"/>
              <w:spacing w:line="360" w:lineRule="auto"/>
              <w:ind w:firstLine="480" w:firstLineChars="200"/>
              <w:rPr>
                <w:rFonts w:hint="eastAsia" w:eastAsia="宋体"/>
                <w:bCs/>
                <w:color w:val="auto"/>
                <w:sz w:val="24"/>
                <w:highlight w:val="none"/>
                <w:lang w:val="en-US" w:eastAsia="zh-CN"/>
              </w:rPr>
            </w:pPr>
            <w:r>
              <w:rPr>
                <w:rFonts w:hint="eastAsia"/>
                <w:bCs/>
                <w:color w:val="auto"/>
                <w:sz w:val="24"/>
                <w:highlight w:val="none"/>
                <w:lang w:val="en-US" w:eastAsia="zh-CN"/>
              </w:rPr>
              <w:t>纯水制备用新鲜水0.892m</w:t>
            </w:r>
            <w:r>
              <w:rPr>
                <w:rFonts w:hint="eastAsia"/>
                <w:bCs/>
                <w:color w:val="auto"/>
                <w:sz w:val="24"/>
                <w:highlight w:val="none"/>
                <w:vertAlign w:val="superscript"/>
                <w:lang w:val="en-US" w:eastAsia="zh-CN"/>
              </w:rPr>
              <w:t>3</w:t>
            </w:r>
            <w:r>
              <w:rPr>
                <w:rFonts w:hint="eastAsia"/>
                <w:bCs/>
                <w:color w:val="auto"/>
                <w:sz w:val="24"/>
                <w:highlight w:val="none"/>
                <w:lang w:val="en-US" w:eastAsia="zh-CN"/>
              </w:rPr>
              <w:t>/a，制水率70%，纯水制备废水产生量0.2676m</w:t>
            </w:r>
            <w:r>
              <w:rPr>
                <w:rFonts w:hint="eastAsia"/>
                <w:bCs/>
                <w:color w:val="auto"/>
                <w:sz w:val="24"/>
                <w:highlight w:val="none"/>
                <w:vertAlign w:val="superscript"/>
                <w:lang w:val="en-US" w:eastAsia="zh-CN"/>
              </w:rPr>
              <w:t>3</w:t>
            </w:r>
            <w:r>
              <w:rPr>
                <w:rFonts w:hint="eastAsia"/>
                <w:bCs/>
                <w:color w:val="auto"/>
                <w:sz w:val="24"/>
                <w:highlight w:val="none"/>
                <w:lang w:val="en-US" w:eastAsia="zh-CN"/>
              </w:rPr>
              <w:t>/a，最大日排水量0.009m</w:t>
            </w:r>
            <w:r>
              <w:rPr>
                <w:rFonts w:hint="eastAsia"/>
                <w:bCs/>
                <w:color w:val="auto"/>
                <w:sz w:val="24"/>
                <w:highlight w:val="none"/>
                <w:vertAlign w:val="superscript"/>
                <w:lang w:val="en-US" w:eastAsia="zh-CN"/>
              </w:rPr>
              <w:t>3</w:t>
            </w:r>
            <w:r>
              <w:rPr>
                <w:bCs/>
                <w:color w:val="auto"/>
                <w:sz w:val="24"/>
                <w:highlight w:val="none"/>
              </w:rPr>
              <w:t>/</w:t>
            </w:r>
            <w:r>
              <w:rPr>
                <w:rFonts w:hint="eastAsia"/>
                <w:bCs/>
                <w:color w:val="auto"/>
                <w:sz w:val="24"/>
                <w:highlight w:val="none"/>
                <w:lang w:val="en-US" w:eastAsia="zh-CN"/>
              </w:rPr>
              <w:t>d</w:t>
            </w:r>
            <w:r>
              <w:rPr>
                <w:rFonts w:hint="eastAsia" w:eastAsia="宋体"/>
                <w:bCs/>
                <w:color w:val="auto"/>
                <w:sz w:val="24"/>
                <w:highlight w:val="none"/>
                <w:lang w:val="en-US" w:eastAsia="zh-CN"/>
              </w:rPr>
              <w:t>。</w:t>
            </w:r>
          </w:p>
          <w:p w14:paraId="01491DF5">
            <w:pPr>
              <w:adjustRightInd w:val="0"/>
              <w:snapToGrid w:val="0"/>
              <w:spacing w:line="360" w:lineRule="auto"/>
              <w:ind w:firstLine="480" w:firstLineChars="200"/>
              <w:rPr>
                <w:rFonts w:hint="default" w:eastAsia="宋体"/>
                <w:bCs/>
                <w:color w:val="auto"/>
                <w:sz w:val="24"/>
                <w:highlight w:val="none"/>
                <w:lang w:val="en-US" w:eastAsia="zh-CN"/>
              </w:rPr>
            </w:pPr>
            <w:r>
              <w:rPr>
                <w:rFonts w:hint="eastAsia"/>
                <w:bCs/>
                <w:color w:val="auto"/>
                <w:sz w:val="24"/>
                <w:highlight w:val="none"/>
                <w:lang w:val="en-US" w:eastAsia="zh-CN"/>
              </w:rPr>
              <w:t>本项目合计废水排放量96.4376m</w:t>
            </w:r>
            <w:r>
              <w:rPr>
                <w:rFonts w:hint="eastAsia"/>
                <w:bCs/>
                <w:color w:val="auto"/>
                <w:sz w:val="24"/>
                <w:highlight w:val="none"/>
                <w:vertAlign w:val="superscript"/>
                <w:lang w:val="en-US" w:eastAsia="zh-CN"/>
              </w:rPr>
              <w:t>3</w:t>
            </w:r>
            <w:r>
              <w:rPr>
                <w:rFonts w:hint="eastAsia"/>
                <w:bCs/>
                <w:color w:val="auto"/>
                <w:sz w:val="24"/>
                <w:highlight w:val="none"/>
                <w:lang w:val="en-US" w:eastAsia="zh-CN"/>
              </w:rPr>
              <w:t>/a，最大日排水量0.425m</w:t>
            </w:r>
            <w:r>
              <w:rPr>
                <w:rFonts w:hint="eastAsia"/>
                <w:bCs/>
                <w:color w:val="auto"/>
                <w:sz w:val="24"/>
                <w:highlight w:val="none"/>
                <w:vertAlign w:val="superscript"/>
                <w:lang w:val="en-US" w:eastAsia="zh-CN"/>
              </w:rPr>
              <w:t>3</w:t>
            </w:r>
            <w:r>
              <w:rPr>
                <w:bCs/>
                <w:color w:val="auto"/>
                <w:sz w:val="24"/>
                <w:highlight w:val="none"/>
              </w:rPr>
              <w:t>/</w:t>
            </w:r>
            <w:r>
              <w:rPr>
                <w:rFonts w:hint="eastAsia"/>
                <w:bCs/>
                <w:color w:val="auto"/>
                <w:sz w:val="24"/>
                <w:highlight w:val="none"/>
                <w:lang w:val="en-US" w:eastAsia="zh-CN"/>
              </w:rPr>
              <w:t>d</w:t>
            </w:r>
            <w:r>
              <w:rPr>
                <w:rFonts w:hint="eastAsia" w:eastAsia="宋体"/>
                <w:bCs/>
                <w:color w:val="auto"/>
                <w:sz w:val="24"/>
                <w:highlight w:val="none"/>
                <w:lang w:val="en-US" w:eastAsia="zh-CN"/>
              </w:rPr>
              <w:t>。</w:t>
            </w:r>
          </w:p>
          <w:p w14:paraId="1E9F35A4">
            <w:pPr>
              <w:adjustRightInd w:val="0"/>
              <w:snapToGrid w:val="0"/>
              <w:spacing w:line="360" w:lineRule="auto"/>
              <w:ind w:firstLine="480" w:firstLineChars="200"/>
              <w:rPr>
                <w:rFonts w:hint="eastAsia" w:cs="Times New Roman"/>
                <w:color w:val="auto"/>
                <w:sz w:val="24"/>
                <w:szCs w:val="24"/>
                <w:highlight w:val="none"/>
                <w:lang w:eastAsia="zh-CN"/>
              </w:rPr>
            </w:pPr>
            <w:r>
              <w:rPr>
                <w:rFonts w:hint="eastAsia" w:cs="Times New Roman"/>
                <w:color w:val="auto"/>
                <w:sz w:val="24"/>
                <w:highlight w:val="none"/>
                <w:lang w:val="en-US" w:eastAsia="zh-CN"/>
              </w:rPr>
              <w:t>生活污水、设备容器第二遍清洗废水、纯水制备废水一起进化粪池处理，最后经市政管网排入</w:t>
            </w:r>
            <w:r>
              <w:rPr>
                <w:rFonts w:hint="eastAsia" w:cs="Times New Roman"/>
                <w:color w:val="auto"/>
                <w:sz w:val="24"/>
                <w:szCs w:val="24"/>
                <w:highlight w:val="none"/>
                <w:lang w:eastAsia="zh-CN"/>
              </w:rPr>
              <w:t>高碑店再生水厂。</w:t>
            </w:r>
          </w:p>
          <w:p w14:paraId="5FA01A21">
            <w:pPr>
              <w:adjustRightInd w:val="0"/>
              <w:spacing w:line="360" w:lineRule="auto"/>
              <w:ind w:firstLine="480" w:firstLineChars="200"/>
              <w:rPr>
                <w:rFonts w:hint="default" w:ascii="Times New Roman" w:hAnsi="Times New Roman" w:eastAsia="宋体" w:cs="Times New Roman"/>
                <w:bCs/>
                <w:color w:val="auto"/>
                <w:sz w:val="24"/>
                <w:highlight w:val="none"/>
              </w:rPr>
            </w:pPr>
            <w:r>
              <w:rPr>
                <w:rFonts w:hint="default" w:ascii="Times New Roman" w:hAnsi="Times New Roman" w:eastAsia="宋体" w:cs="Times New Roman"/>
                <w:bCs/>
                <w:color w:val="auto"/>
                <w:sz w:val="24"/>
                <w:highlight w:val="none"/>
              </w:rPr>
              <w:t>本项目水平衡</w:t>
            </w:r>
            <w:r>
              <w:rPr>
                <w:rFonts w:hint="eastAsia" w:ascii="Times New Roman" w:hAnsi="Times New Roman" w:eastAsia="宋体" w:cs="Times New Roman"/>
                <w:bCs/>
                <w:color w:val="auto"/>
                <w:sz w:val="24"/>
                <w:highlight w:val="none"/>
                <w:lang w:val="en-US" w:eastAsia="zh-CN"/>
              </w:rPr>
              <w:t>表</w:t>
            </w:r>
            <w:r>
              <w:rPr>
                <w:rFonts w:hint="default" w:ascii="Times New Roman" w:hAnsi="Times New Roman" w:eastAsia="宋体" w:cs="Times New Roman"/>
                <w:bCs/>
                <w:color w:val="auto"/>
                <w:sz w:val="24"/>
                <w:highlight w:val="none"/>
              </w:rPr>
              <w:t>详见下</w:t>
            </w:r>
            <w:r>
              <w:rPr>
                <w:rFonts w:hint="eastAsia" w:ascii="Times New Roman" w:hAnsi="Times New Roman" w:eastAsia="宋体" w:cs="Times New Roman"/>
                <w:bCs/>
                <w:color w:val="auto"/>
                <w:sz w:val="24"/>
                <w:highlight w:val="none"/>
                <w:lang w:val="en-US" w:eastAsia="zh-CN"/>
              </w:rPr>
              <w:t>表</w:t>
            </w:r>
            <w:r>
              <w:rPr>
                <w:rFonts w:hint="default" w:ascii="Times New Roman" w:hAnsi="Times New Roman" w:eastAsia="宋体" w:cs="Times New Roman"/>
                <w:bCs/>
                <w:color w:val="auto"/>
                <w:sz w:val="24"/>
                <w:highlight w:val="none"/>
              </w:rPr>
              <w:t>。</w:t>
            </w:r>
          </w:p>
          <w:p w14:paraId="382A3C1E">
            <w:pPr>
              <w:numPr>
                <w:ilvl w:val="0"/>
                <w:numId w:val="7"/>
              </w:numPr>
              <w:adjustRightInd w:val="0"/>
              <w:snapToGrid w:val="0"/>
              <w:spacing w:line="360" w:lineRule="auto"/>
              <w:jc w:val="center"/>
              <w:rPr>
                <w:rFonts w:hint="default"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本项目水平衡表</w:t>
            </w:r>
          </w:p>
          <w:tbl>
            <w:tblPr>
              <w:tblStyle w:val="24"/>
              <w:tblW w:w="48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9"/>
              <w:gridCol w:w="1778"/>
              <w:gridCol w:w="1114"/>
              <w:gridCol w:w="1115"/>
              <w:gridCol w:w="1115"/>
              <w:gridCol w:w="1115"/>
              <w:gridCol w:w="1116"/>
            </w:tblGrid>
            <w:tr w14:paraId="7A49C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9" w:type="dxa"/>
                  <w:vMerge w:val="restart"/>
                  <w:noWrap w:val="0"/>
                  <w:vAlign w:val="center"/>
                </w:tcPr>
                <w:p w14:paraId="510702E6">
                  <w:pPr>
                    <w:numPr>
                      <w:ilvl w:val="0"/>
                      <w:numId w:val="0"/>
                    </w:numPr>
                    <w:spacing w:line="240" w:lineRule="auto"/>
                    <w:jc w:val="center"/>
                    <w:rPr>
                      <w:rFonts w:hint="eastAsia" w:ascii="Times New Roman" w:hAnsi="Times New Roman" w:eastAsia="宋体" w:cs="Times New Roman"/>
                      <w:b w:val="0"/>
                      <w:bCs/>
                      <w:color w:val="auto"/>
                      <w:sz w:val="21"/>
                      <w:szCs w:val="21"/>
                      <w:vertAlign w:val="baseline"/>
                      <w:lang w:val="en-US" w:eastAsia="zh-CN"/>
                    </w:rPr>
                  </w:pPr>
                  <w:r>
                    <w:rPr>
                      <w:rFonts w:hint="eastAsia" w:ascii="Times New Roman" w:hAnsi="Times New Roman" w:eastAsia="宋体" w:cs="Times New Roman"/>
                      <w:b w:val="0"/>
                      <w:bCs/>
                      <w:color w:val="auto"/>
                      <w:sz w:val="21"/>
                      <w:szCs w:val="21"/>
                      <w:vertAlign w:val="baseline"/>
                      <w:lang w:val="en-US" w:eastAsia="zh-CN"/>
                    </w:rPr>
                    <w:t>序号</w:t>
                  </w:r>
                </w:p>
              </w:tc>
              <w:tc>
                <w:tcPr>
                  <w:tcW w:w="1778" w:type="dxa"/>
                  <w:vMerge w:val="restart"/>
                  <w:noWrap w:val="0"/>
                  <w:vAlign w:val="center"/>
                </w:tcPr>
                <w:p w14:paraId="5DE89D49">
                  <w:pPr>
                    <w:numPr>
                      <w:ilvl w:val="0"/>
                      <w:numId w:val="0"/>
                    </w:numPr>
                    <w:spacing w:line="240" w:lineRule="auto"/>
                    <w:jc w:val="center"/>
                    <w:rPr>
                      <w:rFonts w:hint="eastAsia" w:ascii="Times New Roman" w:hAnsi="Times New Roman" w:eastAsia="宋体" w:cs="Times New Roman"/>
                      <w:b w:val="0"/>
                      <w:bCs/>
                      <w:color w:val="auto"/>
                      <w:sz w:val="21"/>
                      <w:szCs w:val="21"/>
                      <w:vertAlign w:val="baseline"/>
                      <w:lang w:val="en-US" w:eastAsia="zh-CN"/>
                    </w:rPr>
                  </w:pPr>
                  <w:r>
                    <w:rPr>
                      <w:rFonts w:hint="eastAsia" w:ascii="Times New Roman" w:hAnsi="Times New Roman" w:eastAsia="宋体" w:cs="Times New Roman"/>
                      <w:b w:val="0"/>
                      <w:bCs/>
                      <w:color w:val="auto"/>
                      <w:sz w:val="21"/>
                      <w:szCs w:val="21"/>
                      <w:vertAlign w:val="baseline"/>
                      <w:lang w:val="en-US" w:eastAsia="zh-CN"/>
                    </w:rPr>
                    <w:t>类别</w:t>
                  </w:r>
                </w:p>
              </w:tc>
              <w:tc>
                <w:tcPr>
                  <w:tcW w:w="2229" w:type="dxa"/>
                  <w:gridSpan w:val="2"/>
                  <w:noWrap w:val="0"/>
                  <w:vAlign w:val="center"/>
                </w:tcPr>
                <w:p w14:paraId="54170C6F">
                  <w:pPr>
                    <w:numPr>
                      <w:ilvl w:val="0"/>
                      <w:numId w:val="0"/>
                    </w:numPr>
                    <w:spacing w:line="240" w:lineRule="auto"/>
                    <w:jc w:val="center"/>
                    <w:rPr>
                      <w:rFonts w:hint="eastAsia" w:ascii="Times New Roman" w:hAnsi="Times New Roman" w:eastAsia="宋体" w:cs="Times New Roman"/>
                      <w:b w:val="0"/>
                      <w:bCs/>
                      <w:color w:val="auto"/>
                      <w:sz w:val="21"/>
                      <w:szCs w:val="21"/>
                      <w:vertAlign w:val="baseline"/>
                      <w:lang w:val="en-US" w:eastAsia="zh-CN"/>
                    </w:rPr>
                  </w:pPr>
                  <w:r>
                    <w:rPr>
                      <w:rFonts w:hint="eastAsia" w:ascii="Times New Roman" w:hAnsi="Times New Roman" w:eastAsia="宋体" w:cs="Times New Roman"/>
                      <w:b w:val="0"/>
                      <w:bCs/>
                      <w:color w:val="auto"/>
                      <w:sz w:val="21"/>
                      <w:szCs w:val="21"/>
                      <w:vertAlign w:val="baseline"/>
                      <w:lang w:val="en-US" w:eastAsia="zh-CN"/>
                    </w:rPr>
                    <w:t>用水量</w:t>
                  </w:r>
                  <w:r>
                    <w:rPr>
                      <w:rFonts w:hint="default" w:ascii="Times New Roman" w:hAnsi="Times New Roman" w:eastAsia="宋体" w:cs="Times New Roman"/>
                      <w:b/>
                      <w:bCs/>
                      <w:color w:val="auto"/>
                      <w:kern w:val="0"/>
                      <w:sz w:val="21"/>
                      <w:szCs w:val="21"/>
                      <w:lang w:bidi="ar"/>
                    </w:rPr>
                    <w:t>m</w:t>
                  </w:r>
                  <w:r>
                    <w:rPr>
                      <w:rFonts w:hint="default" w:ascii="Times New Roman" w:hAnsi="Times New Roman" w:eastAsia="宋体" w:cs="Times New Roman"/>
                      <w:b/>
                      <w:bCs/>
                      <w:color w:val="auto"/>
                      <w:kern w:val="0"/>
                      <w:sz w:val="21"/>
                      <w:szCs w:val="21"/>
                      <w:vertAlign w:val="superscript"/>
                      <w:lang w:bidi="ar"/>
                    </w:rPr>
                    <w:t>3</w:t>
                  </w:r>
                  <w:r>
                    <w:rPr>
                      <w:rFonts w:hint="default" w:ascii="Times New Roman" w:hAnsi="Times New Roman" w:eastAsia="宋体" w:cs="Times New Roman"/>
                      <w:b/>
                      <w:bCs/>
                      <w:color w:val="auto"/>
                      <w:kern w:val="0"/>
                      <w:sz w:val="21"/>
                      <w:szCs w:val="21"/>
                      <w:lang w:bidi="ar"/>
                    </w:rPr>
                    <w:t>/</w:t>
                  </w:r>
                  <w:r>
                    <w:rPr>
                      <w:rFonts w:hint="eastAsia" w:ascii="Times New Roman" w:hAnsi="Times New Roman" w:eastAsia="宋体" w:cs="Times New Roman"/>
                      <w:b/>
                      <w:bCs/>
                      <w:color w:val="auto"/>
                      <w:kern w:val="0"/>
                      <w:sz w:val="21"/>
                      <w:szCs w:val="21"/>
                      <w:lang w:val="en-US" w:eastAsia="zh-CN" w:bidi="ar"/>
                    </w:rPr>
                    <w:t>a</w:t>
                  </w:r>
                </w:p>
              </w:tc>
              <w:tc>
                <w:tcPr>
                  <w:tcW w:w="1115" w:type="dxa"/>
                  <w:vMerge w:val="restart"/>
                  <w:noWrap w:val="0"/>
                  <w:vAlign w:val="center"/>
                </w:tcPr>
                <w:p w14:paraId="42295C92">
                  <w:pPr>
                    <w:numPr>
                      <w:ilvl w:val="0"/>
                      <w:numId w:val="0"/>
                    </w:numPr>
                    <w:spacing w:line="240" w:lineRule="auto"/>
                    <w:jc w:val="center"/>
                    <w:rPr>
                      <w:rFonts w:hint="eastAsia" w:ascii="Times New Roman" w:hAnsi="Times New Roman" w:eastAsia="宋体" w:cs="Times New Roman"/>
                      <w:b w:val="0"/>
                      <w:bCs/>
                      <w:color w:val="auto"/>
                      <w:sz w:val="21"/>
                      <w:szCs w:val="21"/>
                      <w:vertAlign w:val="baseline"/>
                      <w:lang w:val="en-US" w:eastAsia="zh-CN"/>
                    </w:rPr>
                  </w:pPr>
                  <w:r>
                    <w:rPr>
                      <w:rFonts w:hint="eastAsia" w:ascii="Times New Roman" w:hAnsi="Times New Roman" w:eastAsia="宋体" w:cs="Times New Roman"/>
                      <w:b w:val="0"/>
                      <w:bCs/>
                      <w:color w:val="auto"/>
                      <w:sz w:val="21"/>
                      <w:szCs w:val="21"/>
                      <w:vertAlign w:val="baseline"/>
                      <w:lang w:val="en-US" w:eastAsia="zh-CN"/>
                    </w:rPr>
                    <w:t>损耗量</w:t>
                  </w:r>
                  <w:r>
                    <w:rPr>
                      <w:rFonts w:hint="default" w:ascii="Times New Roman" w:hAnsi="Times New Roman" w:eastAsia="宋体" w:cs="Times New Roman"/>
                      <w:b/>
                      <w:bCs/>
                      <w:color w:val="auto"/>
                      <w:kern w:val="0"/>
                      <w:sz w:val="21"/>
                      <w:szCs w:val="21"/>
                      <w:lang w:bidi="ar"/>
                    </w:rPr>
                    <w:t>m</w:t>
                  </w:r>
                  <w:r>
                    <w:rPr>
                      <w:rFonts w:hint="default" w:ascii="Times New Roman" w:hAnsi="Times New Roman" w:eastAsia="宋体" w:cs="Times New Roman"/>
                      <w:b/>
                      <w:bCs/>
                      <w:color w:val="auto"/>
                      <w:kern w:val="0"/>
                      <w:sz w:val="21"/>
                      <w:szCs w:val="21"/>
                      <w:vertAlign w:val="superscript"/>
                      <w:lang w:bidi="ar"/>
                    </w:rPr>
                    <w:t>3</w:t>
                  </w:r>
                  <w:r>
                    <w:rPr>
                      <w:rFonts w:hint="default" w:ascii="Times New Roman" w:hAnsi="Times New Roman" w:eastAsia="宋体" w:cs="Times New Roman"/>
                      <w:b/>
                      <w:bCs/>
                      <w:color w:val="auto"/>
                      <w:kern w:val="0"/>
                      <w:sz w:val="21"/>
                      <w:szCs w:val="21"/>
                      <w:lang w:bidi="ar"/>
                    </w:rPr>
                    <w:t>/</w:t>
                  </w:r>
                  <w:r>
                    <w:rPr>
                      <w:rFonts w:hint="eastAsia" w:ascii="Times New Roman" w:hAnsi="Times New Roman" w:eastAsia="宋体" w:cs="Times New Roman"/>
                      <w:b/>
                      <w:bCs/>
                      <w:color w:val="auto"/>
                      <w:kern w:val="0"/>
                      <w:sz w:val="21"/>
                      <w:szCs w:val="21"/>
                      <w:lang w:val="en-US" w:eastAsia="zh-CN" w:bidi="ar"/>
                    </w:rPr>
                    <w:t>a</w:t>
                  </w:r>
                </w:p>
              </w:tc>
              <w:tc>
                <w:tcPr>
                  <w:tcW w:w="2231" w:type="dxa"/>
                  <w:gridSpan w:val="2"/>
                  <w:noWrap w:val="0"/>
                  <w:vAlign w:val="center"/>
                </w:tcPr>
                <w:p w14:paraId="7F10F063">
                  <w:pPr>
                    <w:numPr>
                      <w:ilvl w:val="0"/>
                      <w:numId w:val="0"/>
                    </w:numPr>
                    <w:spacing w:line="240" w:lineRule="auto"/>
                    <w:jc w:val="center"/>
                    <w:rPr>
                      <w:rFonts w:hint="eastAsia" w:ascii="Times New Roman" w:hAnsi="Times New Roman" w:eastAsia="宋体" w:cs="Times New Roman"/>
                      <w:b w:val="0"/>
                      <w:bCs/>
                      <w:color w:val="auto"/>
                      <w:sz w:val="21"/>
                      <w:szCs w:val="21"/>
                      <w:vertAlign w:val="baseline"/>
                      <w:lang w:val="en-US" w:eastAsia="zh-CN"/>
                    </w:rPr>
                  </w:pPr>
                  <w:r>
                    <w:rPr>
                      <w:rFonts w:hint="eastAsia" w:ascii="Times New Roman" w:hAnsi="Times New Roman" w:eastAsia="宋体" w:cs="Times New Roman"/>
                      <w:b w:val="0"/>
                      <w:bCs/>
                      <w:color w:val="auto"/>
                      <w:sz w:val="21"/>
                      <w:szCs w:val="21"/>
                      <w:vertAlign w:val="baseline"/>
                      <w:lang w:val="en-US" w:eastAsia="zh-CN"/>
                    </w:rPr>
                    <w:t>排放量</w:t>
                  </w:r>
                  <w:r>
                    <w:rPr>
                      <w:rFonts w:hint="default" w:ascii="Times New Roman" w:hAnsi="Times New Roman" w:eastAsia="宋体" w:cs="Times New Roman"/>
                      <w:b/>
                      <w:bCs/>
                      <w:color w:val="auto"/>
                      <w:kern w:val="0"/>
                      <w:sz w:val="21"/>
                      <w:szCs w:val="21"/>
                      <w:lang w:bidi="ar"/>
                    </w:rPr>
                    <w:t>m</w:t>
                  </w:r>
                  <w:r>
                    <w:rPr>
                      <w:rFonts w:hint="default" w:ascii="Times New Roman" w:hAnsi="Times New Roman" w:eastAsia="宋体" w:cs="Times New Roman"/>
                      <w:b/>
                      <w:bCs/>
                      <w:color w:val="auto"/>
                      <w:kern w:val="0"/>
                      <w:sz w:val="21"/>
                      <w:szCs w:val="21"/>
                      <w:vertAlign w:val="superscript"/>
                      <w:lang w:bidi="ar"/>
                    </w:rPr>
                    <w:t>3</w:t>
                  </w:r>
                  <w:r>
                    <w:rPr>
                      <w:rFonts w:hint="default" w:ascii="Times New Roman" w:hAnsi="Times New Roman" w:eastAsia="宋体" w:cs="Times New Roman"/>
                      <w:b/>
                      <w:bCs/>
                      <w:color w:val="auto"/>
                      <w:kern w:val="0"/>
                      <w:sz w:val="21"/>
                      <w:szCs w:val="21"/>
                      <w:lang w:bidi="ar"/>
                    </w:rPr>
                    <w:t>/</w:t>
                  </w:r>
                  <w:r>
                    <w:rPr>
                      <w:rFonts w:hint="eastAsia" w:ascii="Times New Roman" w:hAnsi="Times New Roman" w:eastAsia="宋体" w:cs="Times New Roman"/>
                      <w:b/>
                      <w:bCs/>
                      <w:color w:val="auto"/>
                      <w:kern w:val="0"/>
                      <w:sz w:val="21"/>
                      <w:szCs w:val="21"/>
                      <w:lang w:val="en-US" w:eastAsia="zh-CN" w:bidi="ar"/>
                    </w:rPr>
                    <w:t>a</w:t>
                  </w:r>
                </w:p>
              </w:tc>
            </w:tr>
            <w:tr w14:paraId="155D9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9" w:type="dxa"/>
                  <w:vMerge w:val="continue"/>
                  <w:noWrap w:val="0"/>
                  <w:vAlign w:val="center"/>
                </w:tcPr>
                <w:p w14:paraId="31F2A261">
                  <w:pPr>
                    <w:numPr>
                      <w:ilvl w:val="0"/>
                      <w:numId w:val="0"/>
                    </w:numPr>
                    <w:spacing w:line="240" w:lineRule="auto"/>
                    <w:jc w:val="center"/>
                    <w:rPr>
                      <w:rFonts w:ascii="Times New Roman" w:hAnsi="Times New Roman" w:eastAsia="宋体" w:cs="Times New Roman"/>
                      <w:b w:val="0"/>
                      <w:bCs/>
                      <w:color w:val="auto"/>
                      <w:sz w:val="21"/>
                      <w:szCs w:val="21"/>
                      <w:vertAlign w:val="baseline"/>
                    </w:rPr>
                  </w:pPr>
                </w:p>
              </w:tc>
              <w:tc>
                <w:tcPr>
                  <w:tcW w:w="1778" w:type="dxa"/>
                  <w:vMerge w:val="continue"/>
                  <w:noWrap w:val="0"/>
                  <w:vAlign w:val="center"/>
                </w:tcPr>
                <w:p w14:paraId="22F0C1A3">
                  <w:pPr>
                    <w:numPr>
                      <w:ilvl w:val="0"/>
                      <w:numId w:val="0"/>
                    </w:numPr>
                    <w:spacing w:line="240" w:lineRule="auto"/>
                    <w:jc w:val="center"/>
                    <w:rPr>
                      <w:rFonts w:ascii="Times New Roman" w:hAnsi="Times New Roman" w:eastAsia="宋体" w:cs="Times New Roman"/>
                      <w:b w:val="0"/>
                      <w:bCs/>
                      <w:color w:val="auto"/>
                      <w:sz w:val="21"/>
                      <w:szCs w:val="21"/>
                      <w:vertAlign w:val="baseline"/>
                    </w:rPr>
                  </w:pPr>
                </w:p>
              </w:tc>
              <w:tc>
                <w:tcPr>
                  <w:tcW w:w="1114" w:type="dxa"/>
                  <w:noWrap w:val="0"/>
                  <w:vAlign w:val="center"/>
                </w:tcPr>
                <w:p w14:paraId="22F91788">
                  <w:pPr>
                    <w:numPr>
                      <w:ilvl w:val="0"/>
                      <w:numId w:val="0"/>
                    </w:numPr>
                    <w:spacing w:line="240" w:lineRule="auto"/>
                    <w:jc w:val="center"/>
                    <w:rPr>
                      <w:rFonts w:hint="eastAsia" w:ascii="Times New Roman" w:hAnsi="Times New Roman" w:eastAsia="宋体" w:cs="Times New Roman"/>
                      <w:b w:val="0"/>
                      <w:bCs/>
                      <w:color w:val="auto"/>
                      <w:sz w:val="21"/>
                      <w:szCs w:val="21"/>
                      <w:vertAlign w:val="baseline"/>
                      <w:lang w:val="en-US" w:eastAsia="zh-CN"/>
                    </w:rPr>
                  </w:pPr>
                  <w:r>
                    <w:rPr>
                      <w:rFonts w:hint="eastAsia" w:ascii="Times New Roman" w:hAnsi="Times New Roman" w:eastAsia="宋体" w:cs="Times New Roman"/>
                      <w:b w:val="0"/>
                      <w:bCs/>
                      <w:color w:val="auto"/>
                      <w:sz w:val="21"/>
                      <w:szCs w:val="21"/>
                      <w:vertAlign w:val="baseline"/>
                      <w:lang w:val="en-US" w:eastAsia="zh-CN"/>
                    </w:rPr>
                    <w:t>新鲜水</w:t>
                  </w:r>
                </w:p>
              </w:tc>
              <w:tc>
                <w:tcPr>
                  <w:tcW w:w="1115" w:type="dxa"/>
                  <w:noWrap w:val="0"/>
                  <w:vAlign w:val="center"/>
                </w:tcPr>
                <w:p w14:paraId="23FE4E36">
                  <w:pPr>
                    <w:numPr>
                      <w:ilvl w:val="0"/>
                      <w:numId w:val="0"/>
                    </w:numPr>
                    <w:spacing w:line="240" w:lineRule="auto"/>
                    <w:jc w:val="center"/>
                    <w:rPr>
                      <w:rFonts w:hint="eastAsia" w:ascii="Times New Roman" w:hAnsi="Times New Roman" w:eastAsia="宋体" w:cs="Times New Roman"/>
                      <w:b w:val="0"/>
                      <w:bCs/>
                      <w:color w:val="auto"/>
                      <w:sz w:val="21"/>
                      <w:szCs w:val="21"/>
                      <w:vertAlign w:val="baseline"/>
                      <w:lang w:val="en-US" w:eastAsia="zh-CN"/>
                    </w:rPr>
                  </w:pPr>
                  <w:r>
                    <w:rPr>
                      <w:rFonts w:hint="eastAsia" w:ascii="Times New Roman" w:hAnsi="Times New Roman" w:eastAsia="宋体" w:cs="Times New Roman"/>
                      <w:b w:val="0"/>
                      <w:bCs/>
                      <w:color w:val="auto"/>
                      <w:sz w:val="21"/>
                      <w:szCs w:val="21"/>
                      <w:vertAlign w:val="baseline"/>
                      <w:lang w:val="en-US" w:eastAsia="zh-CN"/>
                    </w:rPr>
                    <w:t>纯水</w:t>
                  </w:r>
                </w:p>
              </w:tc>
              <w:tc>
                <w:tcPr>
                  <w:tcW w:w="1115" w:type="dxa"/>
                  <w:vMerge w:val="continue"/>
                  <w:noWrap w:val="0"/>
                  <w:vAlign w:val="center"/>
                </w:tcPr>
                <w:p w14:paraId="4EEB5481">
                  <w:pPr>
                    <w:numPr>
                      <w:ilvl w:val="0"/>
                      <w:numId w:val="0"/>
                    </w:numPr>
                    <w:spacing w:line="240" w:lineRule="auto"/>
                    <w:jc w:val="center"/>
                    <w:rPr>
                      <w:rFonts w:ascii="Times New Roman" w:hAnsi="Times New Roman" w:eastAsia="宋体" w:cs="Times New Roman"/>
                      <w:b w:val="0"/>
                      <w:bCs/>
                      <w:color w:val="auto"/>
                      <w:sz w:val="21"/>
                      <w:szCs w:val="21"/>
                      <w:vertAlign w:val="baseline"/>
                    </w:rPr>
                  </w:pPr>
                </w:p>
              </w:tc>
              <w:tc>
                <w:tcPr>
                  <w:tcW w:w="1115" w:type="dxa"/>
                  <w:noWrap w:val="0"/>
                  <w:vAlign w:val="center"/>
                </w:tcPr>
                <w:p w14:paraId="7A7453A8">
                  <w:pPr>
                    <w:numPr>
                      <w:ilvl w:val="0"/>
                      <w:numId w:val="0"/>
                    </w:numPr>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eastAsia" w:ascii="Times New Roman" w:hAnsi="Times New Roman" w:eastAsia="宋体" w:cs="Times New Roman"/>
                      <w:b w:val="0"/>
                      <w:bCs/>
                      <w:color w:val="auto"/>
                      <w:sz w:val="21"/>
                      <w:szCs w:val="21"/>
                      <w:vertAlign w:val="baseline"/>
                      <w:lang w:val="en-US" w:eastAsia="zh-CN"/>
                    </w:rPr>
                    <w:t>排入污水</w:t>
                  </w:r>
                </w:p>
              </w:tc>
              <w:tc>
                <w:tcPr>
                  <w:tcW w:w="1116" w:type="dxa"/>
                  <w:noWrap w:val="0"/>
                  <w:vAlign w:val="center"/>
                </w:tcPr>
                <w:p w14:paraId="094A82DE">
                  <w:pPr>
                    <w:numPr>
                      <w:ilvl w:val="0"/>
                      <w:numId w:val="0"/>
                    </w:numPr>
                    <w:spacing w:line="240" w:lineRule="auto"/>
                    <w:jc w:val="center"/>
                    <w:rPr>
                      <w:rFonts w:hint="eastAsia" w:ascii="Times New Roman" w:hAnsi="Times New Roman" w:eastAsia="宋体" w:cs="Times New Roman"/>
                      <w:b w:val="0"/>
                      <w:bCs/>
                      <w:color w:val="auto"/>
                      <w:sz w:val="21"/>
                      <w:szCs w:val="21"/>
                      <w:vertAlign w:val="baseline"/>
                      <w:lang w:val="en-US" w:eastAsia="zh-CN"/>
                    </w:rPr>
                  </w:pPr>
                  <w:r>
                    <w:rPr>
                      <w:rFonts w:hint="eastAsia" w:ascii="Times New Roman" w:hAnsi="Times New Roman" w:eastAsia="宋体" w:cs="Times New Roman"/>
                      <w:b w:val="0"/>
                      <w:bCs/>
                      <w:color w:val="auto"/>
                      <w:sz w:val="21"/>
                      <w:szCs w:val="21"/>
                      <w:vertAlign w:val="baseline"/>
                      <w:lang w:val="en-US" w:eastAsia="zh-CN"/>
                    </w:rPr>
                    <w:t>进入危废</w:t>
                  </w:r>
                </w:p>
              </w:tc>
            </w:tr>
            <w:tr w14:paraId="14CE7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9" w:type="dxa"/>
                  <w:noWrap w:val="0"/>
                  <w:vAlign w:val="center"/>
                </w:tcPr>
                <w:p w14:paraId="27D1414B">
                  <w:pPr>
                    <w:numPr>
                      <w:ilvl w:val="0"/>
                      <w:numId w:val="0"/>
                    </w:numPr>
                    <w:spacing w:line="240" w:lineRule="auto"/>
                    <w:jc w:val="center"/>
                    <w:rPr>
                      <w:rFonts w:hint="eastAsia" w:ascii="Times New Roman" w:hAnsi="Times New Roman" w:eastAsia="宋体" w:cs="Times New Roman"/>
                      <w:b w:val="0"/>
                      <w:bCs/>
                      <w:color w:val="auto"/>
                      <w:sz w:val="21"/>
                      <w:szCs w:val="21"/>
                      <w:vertAlign w:val="baseline"/>
                      <w:lang w:val="en-US" w:eastAsia="zh-CN"/>
                    </w:rPr>
                  </w:pPr>
                  <w:r>
                    <w:rPr>
                      <w:rFonts w:hint="eastAsia" w:ascii="Times New Roman" w:hAnsi="Times New Roman" w:eastAsia="宋体" w:cs="Times New Roman"/>
                      <w:b w:val="0"/>
                      <w:bCs/>
                      <w:color w:val="auto"/>
                      <w:sz w:val="21"/>
                      <w:szCs w:val="21"/>
                      <w:vertAlign w:val="baseline"/>
                      <w:lang w:val="en-US" w:eastAsia="zh-CN"/>
                    </w:rPr>
                    <w:t>1</w:t>
                  </w:r>
                </w:p>
              </w:tc>
              <w:tc>
                <w:tcPr>
                  <w:tcW w:w="1778" w:type="dxa"/>
                  <w:noWrap w:val="0"/>
                  <w:vAlign w:val="center"/>
                </w:tcPr>
                <w:p w14:paraId="685CB300">
                  <w:pPr>
                    <w:widowControl/>
                    <w:numPr>
                      <w:ilvl w:val="0"/>
                      <w:numId w:val="0"/>
                    </w:numPr>
                    <w:spacing w:line="240" w:lineRule="auto"/>
                    <w:ind w:left="0" w:leftChars="0" w:firstLine="0" w:firstLineChars="0"/>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生活用水</w:t>
                  </w:r>
                </w:p>
              </w:tc>
              <w:tc>
                <w:tcPr>
                  <w:tcW w:w="1114" w:type="dxa"/>
                  <w:noWrap w:val="0"/>
                  <w:vAlign w:val="center"/>
                </w:tcPr>
                <w:p w14:paraId="12BE1B5B">
                  <w:pPr>
                    <w:widowControl/>
                    <w:numPr>
                      <w:ilvl w:val="0"/>
                      <w:numId w:val="0"/>
                    </w:numPr>
                    <w:spacing w:line="240" w:lineRule="auto"/>
                    <w:ind w:left="0" w:leftChars="0" w:firstLine="0" w:firstLineChars="0"/>
                    <w:jc w:val="center"/>
                    <w:rPr>
                      <w:rFonts w:hint="default" w:ascii="Times New Roman" w:hAnsi="Times New Roman" w:eastAsia="宋体" w:cs="Times New Roman"/>
                      <w:b w:val="0"/>
                      <w:bCs w:val="0"/>
                      <w:color w:val="auto"/>
                      <w:sz w:val="21"/>
                      <w:szCs w:val="21"/>
                      <w:lang w:val="en-US" w:eastAsia="zh-CN"/>
                    </w:rPr>
                  </w:pPr>
                  <w:r>
                    <w:rPr>
                      <w:rFonts w:hint="eastAsia" w:cs="Times New Roman"/>
                      <w:b w:val="0"/>
                      <w:bCs w:val="0"/>
                      <w:color w:val="auto"/>
                      <w:sz w:val="21"/>
                      <w:szCs w:val="21"/>
                      <w:lang w:val="en-US" w:eastAsia="zh-CN"/>
                    </w:rPr>
                    <w:t>112.5</w:t>
                  </w:r>
                </w:p>
              </w:tc>
              <w:tc>
                <w:tcPr>
                  <w:tcW w:w="1115" w:type="dxa"/>
                  <w:noWrap w:val="0"/>
                  <w:vAlign w:val="center"/>
                </w:tcPr>
                <w:p w14:paraId="18EB921B">
                  <w:pPr>
                    <w:widowControl/>
                    <w:numPr>
                      <w:ilvl w:val="0"/>
                      <w:numId w:val="0"/>
                    </w:numPr>
                    <w:spacing w:line="240" w:lineRule="auto"/>
                    <w:ind w:left="0" w:leftChars="0" w:firstLine="0" w:firstLineChars="0"/>
                    <w:jc w:val="center"/>
                    <w:rPr>
                      <w:rFonts w:hint="default" w:ascii="Times New Roman" w:hAnsi="Times New Roman" w:eastAsia="宋体" w:cs="Times New Roman"/>
                      <w:b w:val="0"/>
                      <w:bCs w:val="0"/>
                      <w:color w:val="auto"/>
                      <w:sz w:val="21"/>
                      <w:szCs w:val="21"/>
                      <w:lang w:val="en-US" w:eastAsia="zh-CN"/>
                    </w:rPr>
                  </w:pPr>
                  <w:r>
                    <w:rPr>
                      <w:rFonts w:hint="eastAsia" w:cs="Times New Roman"/>
                      <w:b w:val="0"/>
                      <w:bCs w:val="0"/>
                      <w:color w:val="auto"/>
                      <w:sz w:val="21"/>
                      <w:szCs w:val="21"/>
                      <w:lang w:val="en-US" w:eastAsia="zh-CN"/>
                    </w:rPr>
                    <w:t>-</w:t>
                  </w:r>
                </w:p>
              </w:tc>
              <w:tc>
                <w:tcPr>
                  <w:tcW w:w="1115" w:type="dxa"/>
                  <w:noWrap w:val="0"/>
                  <w:vAlign w:val="center"/>
                </w:tcPr>
                <w:p w14:paraId="3D497159">
                  <w:pPr>
                    <w:widowControl/>
                    <w:numPr>
                      <w:ilvl w:val="0"/>
                      <w:numId w:val="0"/>
                    </w:numPr>
                    <w:spacing w:line="240" w:lineRule="auto"/>
                    <w:ind w:left="0" w:leftChars="0" w:firstLine="0" w:firstLineChars="0"/>
                    <w:jc w:val="center"/>
                    <w:rPr>
                      <w:rFonts w:hint="default" w:ascii="Times New Roman" w:hAnsi="Times New Roman" w:eastAsia="宋体" w:cs="Times New Roman"/>
                      <w:b w:val="0"/>
                      <w:bCs w:val="0"/>
                      <w:color w:val="auto"/>
                      <w:sz w:val="21"/>
                      <w:szCs w:val="21"/>
                      <w:lang w:val="en-US" w:eastAsia="zh-CN"/>
                    </w:rPr>
                  </w:pPr>
                  <w:r>
                    <w:rPr>
                      <w:rFonts w:hint="eastAsia" w:cs="Times New Roman"/>
                      <w:b w:val="0"/>
                      <w:bCs w:val="0"/>
                      <w:color w:val="auto"/>
                      <w:sz w:val="21"/>
                      <w:szCs w:val="21"/>
                      <w:lang w:val="en-US" w:eastAsia="zh-CN"/>
                    </w:rPr>
                    <w:t>15.97</w:t>
                  </w:r>
                </w:p>
              </w:tc>
              <w:tc>
                <w:tcPr>
                  <w:tcW w:w="1115" w:type="dxa"/>
                  <w:noWrap w:val="0"/>
                  <w:vAlign w:val="center"/>
                </w:tcPr>
                <w:p w14:paraId="7B5E124C">
                  <w:pPr>
                    <w:widowControl/>
                    <w:numPr>
                      <w:ilvl w:val="0"/>
                      <w:numId w:val="0"/>
                    </w:numPr>
                    <w:spacing w:line="240" w:lineRule="auto"/>
                    <w:ind w:left="0" w:leftChars="0" w:firstLine="0" w:firstLineChars="0"/>
                    <w:jc w:val="center"/>
                    <w:rPr>
                      <w:rFonts w:hint="default" w:ascii="Times New Roman" w:hAnsi="Times New Roman" w:eastAsia="宋体" w:cs="Times New Roman"/>
                      <w:b w:val="0"/>
                      <w:bCs w:val="0"/>
                      <w:color w:val="auto"/>
                      <w:sz w:val="21"/>
                      <w:szCs w:val="21"/>
                      <w:lang w:val="en-US" w:eastAsia="zh-CN"/>
                    </w:rPr>
                  </w:pPr>
                  <w:r>
                    <w:rPr>
                      <w:rFonts w:hint="eastAsia" w:cs="Times New Roman"/>
                      <w:b w:val="0"/>
                      <w:bCs w:val="0"/>
                      <w:color w:val="auto"/>
                      <w:sz w:val="21"/>
                      <w:szCs w:val="21"/>
                      <w:lang w:val="en-US" w:eastAsia="zh-CN"/>
                    </w:rPr>
                    <w:t>95.63</w:t>
                  </w:r>
                </w:p>
              </w:tc>
              <w:tc>
                <w:tcPr>
                  <w:tcW w:w="1116" w:type="dxa"/>
                  <w:noWrap w:val="0"/>
                  <w:vAlign w:val="center"/>
                </w:tcPr>
                <w:p w14:paraId="6FB6F671">
                  <w:pPr>
                    <w:widowControl/>
                    <w:numPr>
                      <w:ilvl w:val="0"/>
                      <w:numId w:val="0"/>
                    </w:numPr>
                    <w:spacing w:line="240" w:lineRule="auto"/>
                    <w:ind w:left="0" w:leftChars="0" w:firstLine="0" w:firstLineChars="0"/>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w:t>
                  </w:r>
                </w:p>
              </w:tc>
            </w:tr>
            <w:tr w14:paraId="7463D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9" w:type="dxa"/>
                  <w:noWrap w:val="0"/>
                  <w:vAlign w:val="center"/>
                </w:tcPr>
                <w:p w14:paraId="5F5D0776">
                  <w:pPr>
                    <w:numPr>
                      <w:ilvl w:val="0"/>
                      <w:numId w:val="0"/>
                    </w:numPr>
                    <w:spacing w:line="240" w:lineRule="auto"/>
                    <w:jc w:val="center"/>
                    <w:rPr>
                      <w:rFonts w:hint="eastAsia" w:ascii="Times New Roman" w:hAnsi="Times New Roman" w:eastAsia="宋体" w:cs="Times New Roman"/>
                      <w:b w:val="0"/>
                      <w:bCs/>
                      <w:color w:val="auto"/>
                      <w:sz w:val="21"/>
                      <w:szCs w:val="21"/>
                      <w:vertAlign w:val="baseline"/>
                      <w:lang w:val="en-US" w:eastAsia="zh-CN"/>
                    </w:rPr>
                  </w:pPr>
                  <w:r>
                    <w:rPr>
                      <w:rFonts w:hint="eastAsia" w:ascii="Times New Roman" w:hAnsi="Times New Roman" w:eastAsia="宋体" w:cs="Times New Roman"/>
                      <w:b w:val="0"/>
                      <w:bCs/>
                      <w:color w:val="auto"/>
                      <w:sz w:val="21"/>
                      <w:szCs w:val="21"/>
                      <w:vertAlign w:val="baseline"/>
                      <w:lang w:val="en-US" w:eastAsia="zh-CN"/>
                    </w:rPr>
                    <w:t>2</w:t>
                  </w:r>
                </w:p>
              </w:tc>
              <w:tc>
                <w:tcPr>
                  <w:tcW w:w="1778" w:type="dxa"/>
                  <w:noWrap w:val="0"/>
                  <w:vAlign w:val="center"/>
                </w:tcPr>
                <w:p w14:paraId="6ECF5681">
                  <w:pPr>
                    <w:widowControl/>
                    <w:numPr>
                      <w:ilvl w:val="0"/>
                      <w:numId w:val="0"/>
                    </w:numPr>
                    <w:spacing w:line="240" w:lineRule="auto"/>
                    <w:ind w:left="0" w:leftChars="0" w:firstLine="0" w:firstLineChars="0"/>
                    <w:jc w:val="center"/>
                    <w:rPr>
                      <w:rFonts w:hint="default" w:ascii="Times New Roman" w:hAnsi="Times New Roman" w:eastAsia="宋体" w:cs="Times New Roman"/>
                      <w:b w:val="0"/>
                      <w:bCs w:val="0"/>
                      <w:color w:val="auto"/>
                      <w:sz w:val="21"/>
                      <w:szCs w:val="21"/>
                      <w:lang w:val="en-US" w:eastAsia="zh-CN"/>
                    </w:rPr>
                  </w:pPr>
                  <w:r>
                    <w:rPr>
                      <w:rFonts w:hint="eastAsia" w:cs="Times New Roman"/>
                      <w:b w:val="0"/>
                      <w:bCs w:val="0"/>
                      <w:color w:val="auto"/>
                      <w:sz w:val="21"/>
                      <w:szCs w:val="21"/>
                      <w:lang w:val="en-US" w:eastAsia="zh-CN"/>
                    </w:rPr>
                    <w:t>浆料制备</w:t>
                  </w:r>
                </w:p>
              </w:tc>
              <w:tc>
                <w:tcPr>
                  <w:tcW w:w="1114" w:type="dxa"/>
                  <w:noWrap w:val="0"/>
                  <w:vAlign w:val="center"/>
                </w:tcPr>
                <w:p w14:paraId="097F8ABB">
                  <w:pPr>
                    <w:widowControl/>
                    <w:numPr>
                      <w:ilvl w:val="0"/>
                      <w:numId w:val="0"/>
                    </w:numPr>
                    <w:spacing w:line="240" w:lineRule="auto"/>
                    <w:ind w:left="0" w:leftChars="0" w:firstLine="0" w:firstLineChars="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w:t>
                  </w:r>
                </w:p>
              </w:tc>
              <w:tc>
                <w:tcPr>
                  <w:tcW w:w="1115" w:type="dxa"/>
                  <w:noWrap w:val="0"/>
                  <w:vAlign w:val="center"/>
                </w:tcPr>
                <w:p w14:paraId="4339512E">
                  <w:pPr>
                    <w:widowControl/>
                    <w:numPr>
                      <w:ilvl w:val="0"/>
                      <w:numId w:val="0"/>
                    </w:numPr>
                    <w:spacing w:line="240" w:lineRule="auto"/>
                    <w:ind w:left="0" w:leftChars="0" w:firstLine="0" w:firstLineChars="0"/>
                    <w:jc w:val="center"/>
                    <w:rPr>
                      <w:rFonts w:hint="default" w:ascii="Times New Roman" w:hAnsi="Times New Roman" w:eastAsia="宋体" w:cs="Times New Roman"/>
                      <w:b w:val="0"/>
                      <w:bCs w:val="0"/>
                      <w:color w:val="auto"/>
                      <w:sz w:val="21"/>
                      <w:szCs w:val="21"/>
                      <w:lang w:val="en-US" w:eastAsia="zh-CN"/>
                    </w:rPr>
                  </w:pPr>
                  <w:r>
                    <w:rPr>
                      <w:rFonts w:hint="eastAsia" w:cs="Times New Roman"/>
                      <w:b w:val="0"/>
                      <w:bCs w:val="0"/>
                      <w:color w:val="auto"/>
                      <w:sz w:val="21"/>
                      <w:szCs w:val="21"/>
                      <w:lang w:val="en-US" w:eastAsia="zh-CN"/>
                    </w:rPr>
                    <w:t>0.0244</w:t>
                  </w:r>
                </w:p>
              </w:tc>
              <w:tc>
                <w:tcPr>
                  <w:tcW w:w="1115" w:type="dxa"/>
                  <w:noWrap w:val="0"/>
                  <w:vAlign w:val="center"/>
                </w:tcPr>
                <w:p w14:paraId="2D008983">
                  <w:pPr>
                    <w:widowControl/>
                    <w:numPr>
                      <w:ilvl w:val="0"/>
                      <w:numId w:val="0"/>
                    </w:numPr>
                    <w:spacing w:line="240" w:lineRule="auto"/>
                    <w:ind w:left="0" w:leftChars="0" w:firstLine="0" w:firstLineChars="0"/>
                    <w:jc w:val="center"/>
                    <w:rPr>
                      <w:rFonts w:hint="default" w:ascii="Times New Roman" w:hAnsi="Times New Roman" w:eastAsia="宋体" w:cs="Times New Roman"/>
                      <w:b w:val="0"/>
                      <w:bCs w:val="0"/>
                      <w:color w:val="auto"/>
                      <w:sz w:val="21"/>
                      <w:szCs w:val="21"/>
                      <w:lang w:val="en-US" w:eastAsia="zh-CN"/>
                    </w:rPr>
                  </w:pPr>
                  <w:r>
                    <w:rPr>
                      <w:rFonts w:hint="eastAsia" w:cs="Times New Roman"/>
                      <w:b w:val="0"/>
                      <w:bCs w:val="0"/>
                      <w:color w:val="auto"/>
                      <w:sz w:val="21"/>
                      <w:szCs w:val="21"/>
                      <w:lang w:val="en-US" w:eastAsia="zh-CN"/>
                    </w:rPr>
                    <w:t>0.0244</w:t>
                  </w:r>
                </w:p>
              </w:tc>
              <w:tc>
                <w:tcPr>
                  <w:tcW w:w="1115" w:type="dxa"/>
                  <w:noWrap w:val="0"/>
                  <w:vAlign w:val="center"/>
                </w:tcPr>
                <w:p w14:paraId="7C276002">
                  <w:pPr>
                    <w:widowControl/>
                    <w:numPr>
                      <w:ilvl w:val="0"/>
                      <w:numId w:val="0"/>
                    </w:numPr>
                    <w:spacing w:line="240" w:lineRule="auto"/>
                    <w:ind w:left="0" w:leftChars="0" w:firstLine="0" w:firstLineChars="0"/>
                    <w:jc w:val="center"/>
                    <w:rPr>
                      <w:rFonts w:hint="default" w:ascii="Times New Roman" w:hAnsi="Times New Roman" w:eastAsia="宋体" w:cs="Times New Roman"/>
                      <w:b w:val="0"/>
                      <w:bCs w:val="0"/>
                      <w:color w:val="auto"/>
                      <w:sz w:val="21"/>
                      <w:szCs w:val="21"/>
                      <w:lang w:val="en-US" w:eastAsia="zh-CN"/>
                    </w:rPr>
                  </w:pPr>
                  <w:r>
                    <w:rPr>
                      <w:rFonts w:hint="eastAsia" w:cs="Times New Roman"/>
                      <w:b w:val="0"/>
                      <w:bCs w:val="0"/>
                      <w:color w:val="auto"/>
                      <w:sz w:val="21"/>
                      <w:szCs w:val="21"/>
                      <w:lang w:val="en-US" w:eastAsia="zh-CN"/>
                    </w:rPr>
                    <w:t>-</w:t>
                  </w:r>
                </w:p>
              </w:tc>
              <w:tc>
                <w:tcPr>
                  <w:tcW w:w="1116" w:type="dxa"/>
                  <w:noWrap w:val="0"/>
                  <w:vAlign w:val="center"/>
                </w:tcPr>
                <w:p w14:paraId="4BD999DC">
                  <w:pPr>
                    <w:widowControl/>
                    <w:numPr>
                      <w:ilvl w:val="0"/>
                      <w:numId w:val="0"/>
                    </w:numPr>
                    <w:spacing w:line="240" w:lineRule="auto"/>
                    <w:ind w:left="0" w:leftChars="0" w:firstLine="0" w:firstLineChars="0"/>
                    <w:jc w:val="center"/>
                    <w:rPr>
                      <w:rFonts w:hint="default" w:ascii="Times New Roman" w:hAnsi="Times New Roman" w:eastAsia="宋体" w:cs="Times New Roman"/>
                      <w:b w:val="0"/>
                      <w:bCs w:val="0"/>
                      <w:color w:val="auto"/>
                      <w:sz w:val="21"/>
                      <w:szCs w:val="21"/>
                      <w:lang w:val="en-US" w:eastAsia="zh-CN"/>
                    </w:rPr>
                  </w:pPr>
                  <w:r>
                    <w:rPr>
                      <w:rFonts w:hint="eastAsia" w:cs="Times New Roman"/>
                      <w:b w:val="0"/>
                      <w:bCs w:val="0"/>
                      <w:color w:val="auto"/>
                      <w:sz w:val="21"/>
                      <w:szCs w:val="21"/>
                      <w:lang w:val="en-US" w:eastAsia="zh-CN"/>
                    </w:rPr>
                    <w:t>-</w:t>
                  </w:r>
                </w:p>
              </w:tc>
            </w:tr>
            <w:tr w14:paraId="1B886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9" w:type="dxa"/>
                  <w:noWrap w:val="0"/>
                  <w:vAlign w:val="center"/>
                </w:tcPr>
                <w:p w14:paraId="40F30E82">
                  <w:pPr>
                    <w:numPr>
                      <w:ilvl w:val="0"/>
                      <w:numId w:val="0"/>
                    </w:numPr>
                    <w:spacing w:line="240" w:lineRule="auto"/>
                    <w:jc w:val="center"/>
                    <w:rPr>
                      <w:rFonts w:hint="eastAsia" w:ascii="Times New Roman" w:hAnsi="Times New Roman" w:eastAsia="宋体" w:cs="Times New Roman"/>
                      <w:b w:val="0"/>
                      <w:bCs/>
                      <w:color w:val="auto"/>
                      <w:sz w:val="21"/>
                      <w:szCs w:val="21"/>
                      <w:vertAlign w:val="baseline"/>
                      <w:lang w:val="en-US" w:eastAsia="zh-CN"/>
                    </w:rPr>
                  </w:pPr>
                  <w:r>
                    <w:rPr>
                      <w:rFonts w:hint="eastAsia" w:ascii="Times New Roman" w:hAnsi="Times New Roman" w:eastAsia="宋体" w:cs="Times New Roman"/>
                      <w:b w:val="0"/>
                      <w:bCs/>
                      <w:color w:val="auto"/>
                      <w:sz w:val="21"/>
                      <w:szCs w:val="21"/>
                      <w:vertAlign w:val="baseline"/>
                      <w:lang w:val="en-US" w:eastAsia="zh-CN"/>
                    </w:rPr>
                    <w:t>3</w:t>
                  </w:r>
                </w:p>
              </w:tc>
              <w:tc>
                <w:tcPr>
                  <w:tcW w:w="1778" w:type="dxa"/>
                  <w:noWrap w:val="0"/>
                  <w:vAlign w:val="center"/>
                </w:tcPr>
                <w:p w14:paraId="4BEAB7ED">
                  <w:pPr>
                    <w:widowControl/>
                    <w:numPr>
                      <w:ilvl w:val="0"/>
                      <w:numId w:val="0"/>
                    </w:numPr>
                    <w:spacing w:line="240" w:lineRule="auto"/>
                    <w:ind w:left="0" w:leftChars="0" w:firstLine="0" w:firstLineChars="0"/>
                    <w:jc w:val="center"/>
                    <w:rPr>
                      <w:rFonts w:hint="default" w:ascii="Times New Roman" w:hAnsi="Times New Roman" w:eastAsia="宋体" w:cs="Times New Roman"/>
                      <w:b w:val="0"/>
                      <w:bCs w:val="0"/>
                      <w:color w:val="auto"/>
                      <w:sz w:val="21"/>
                      <w:szCs w:val="21"/>
                      <w:lang w:val="en-US" w:eastAsia="zh-CN"/>
                    </w:rPr>
                  </w:pPr>
                  <w:r>
                    <w:rPr>
                      <w:rFonts w:hint="eastAsia"/>
                      <w:bCs/>
                      <w:color w:val="auto"/>
                      <w:sz w:val="21"/>
                      <w:szCs w:val="21"/>
                      <w:highlight w:val="none"/>
                      <w:lang w:val="en-US" w:eastAsia="zh-CN"/>
                    </w:rPr>
                    <w:t>设备</w:t>
                  </w:r>
                  <w:r>
                    <w:rPr>
                      <w:rFonts w:hint="eastAsia"/>
                      <w:bCs/>
                      <w:color w:val="auto"/>
                      <w:sz w:val="21"/>
                      <w:szCs w:val="21"/>
                      <w:highlight w:val="none"/>
                    </w:rPr>
                    <w:t>容器</w:t>
                  </w:r>
                  <w:r>
                    <w:rPr>
                      <w:rFonts w:hint="eastAsia"/>
                      <w:bCs/>
                      <w:color w:val="auto"/>
                      <w:sz w:val="21"/>
                      <w:szCs w:val="21"/>
                      <w:highlight w:val="none"/>
                      <w:lang w:val="en-US" w:eastAsia="zh-CN"/>
                    </w:rPr>
                    <w:t>清洗</w:t>
                  </w:r>
                </w:p>
              </w:tc>
              <w:tc>
                <w:tcPr>
                  <w:tcW w:w="1114" w:type="dxa"/>
                  <w:noWrap w:val="0"/>
                  <w:vAlign w:val="center"/>
                </w:tcPr>
                <w:p w14:paraId="20AB6FD4">
                  <w:pPr>
                    <w:widowControl/>
                    <w:numPr>
                      <w:ilvl w:val="0"/>
                      <w:numId w:val="0"/>
                    </w:numPr>
                    <w:spacing w:line="240" w:lineRule="auto"/>
                    <w:ind w:left="0" w:leftChars="0" w:firstLine="0" w:firstLineChars="0"/>
                    <w:jc w:val="center"/>
                    <w:rPr>
                      <w:rFonts w:hint="default" w:ascii="Times New Roman" w:hAnsi="Times New Roman" w:eastAsia="宋体" w:cs="Times New Roman"/>
                      <w:b w:val="0"/>
                      <w:bCs w:val="0"/>
                      <w:color w:val="auto"/>
                      <w:sz w:val="21"/>
                      <w:szCs w:val="21"/>
                      <w:lang w:val="en-US" w:eastAsia="zh-CN"/>
                    </w:rPr>
                  </w:pPr>
                  <w:r>
                    <w:rPr>
                      <w:rFonts w:hint="eastAsia" w:cs="Times New Roman"/>
                      <w:b w:val="0"/>
                      <w:bCs w:val="0"/>
                      <w:color w:val="auto"/>
                      <w:sz w:val="21"/>
                      <w:szCs w:val="21"/>
                      <w:lang w:val="en-US" w:eastAsia="zh-CN"/>
                    </w:rPr>
                    <w:t>0.6</w:t>
                  </w:r>
                </w:p>
              </w:tc>
              <w:tc>
                <w:tcPr>
                  <w:tcW w:w="1115" w:type="dxa"/>
                  <w:noWrap w:val="0"/>
                  <w:vAlign w:val="center"/>
                </w:tcPr>
                <w:p w14:paraId="20BD9357">
                  <w:pPr>
                    <w:widowControl/>
                    <w:numPr>
                      <w:ilvl w:val="0"/>
                      <w:numId w:val="0"/>
                    </w:numPr>
                    <w:spacing w:line="240" w:lineRule="auto"/>
                    <w:ind w:left="0" w:leftChars="0" w:firstLine="0" w:firstLineChars="0"/>
                    <w:jc w:val="center"/>
                    <w:rPr>
                      <w:rFonts w:hint="default" w:ascii="Times New Roman" w:hAnsi="Times New Roman" w:eastAsia="宋体" w:cs="Times New Roman"/>
                      <w:b w:val="0"/>
                      <w:bCs w:val="0"/>
                      <w:color w:val="auto"/>
                      <w:sz w:val="21"/>
                      <w:szCs w:val="21"/>
                      <w:lang w:val="en-US" w:eastAsia="zh-CN"/>
                    </w:rPr>
                  </w:pPr>
                  <w:r>
                    <w:rPr>
                      <w:rFonts w:hint="eastAsia" w:cs="Times New Roman"/>
                      <w:b w:val="0"/>
                      <w:bCs w:val="0"/>
                      <w:color w:val="auto"/>
                      <w:sz w:val="21"/>
                      <w:szCs w:val="21"/>
                      <w:lang w:val="en-US" w:eastAsia="zh-CN"/>
                    </w:rPr>
                    <w:t>0.6</w:t>
                  </w:r>
                </w:p>
              </w:tc>
              <w:tc>
                <w:tcPr>
                  <w:tcW w:w="1115" w:type="dxa"/>
                  <w:noWrap w:val="0"/>
                  <w:vAlign w:val="center"/>
                </w:tcPr>
                <w:p w14:paraId="32B7FB53">
                  <w:pPr>
                    <w:widowControl/>
                    <w:numPr>
                      <w:ilvl w:val="0"/>
                      <w:numId w:val="0"/>
                    </w:numPr>
                    <w:spacing w:line="240" w:lineRule="auto"/>
                    <w:ind w:left="0" w:leftChars="0" w:firstLine="0" w:firstLineChars="0"/>
                    <w:jc w:val="center"/>
                    <w:rPr>
                      <w:rFonts w:hint="default" w:ascii="Times New Roman" w:hAnsi="Times New Roman" w:eastAsia="宋体" w:cs="Times New Roman"/>
                      <w:b w:val="0"/>
                      <w:bCs w:val="0"/>
                      <w:color w:val="auto"/>
                      <w:sz w:val="21"/>
                      <w:szCs w:val="21"/>
                      <w:lang w:val="en-US" w:eastAsia="zh-CN"/>
                    </w:rPr>
                  </w:pPr>
                  <w:r>
                    <w:rPr>
                      <w:rFonts w:hint="eastAsia" w:cs="Times New Roman"/>
                      <w:b w:val="0"/>
                      <w:bCs w:val="0"/>
                      <w:color w:val="auto"/>
                      <w:sz w:val="21"/>
                      <w:szCs w:val="21"/>
                      <w:lang w:val="en-US" w:eastAsia="zh-CN"/>
                    </w:rPr>
                    <w:t>0.12</w:t>
                  </w:r>
                </w:p>
              </w:tc>
              <w:tc>
                <w:tcPr>
                  <w:tcW w:w="1115" w:type="dxa"/>
                  <w:noWrap w:val="0"/>
                  <w:vAlign w:val="center"/>
                </w:tcPr>
                <w:p w14:paraId="40E6EBAB">
                  <w:pPr>
                    <w:widowControl/>
                    <w:numPr>
                      <w:ilvl w:val="0"/>
                      <w:numId w:val="0"/>
                    </w:numPr>
                    <w:spacing w:line="240" w:lineRule="auto"/>
                    <w:ind w:left="0" w:leftChars="0" w:firstLine="0" w:firstLineChars="0"/>
                    <w:jc w:val="center"/>
                    <w:rPr>
                      <w:rFonts w:hint="default" w:ascii="Times New Roman" w:hAnsi="Times New Roman" w:eastAsia="宋体" w:cs="Times New Roman"/>
                      <w:b w:val="0"/>
                      <w:bCs w:val="0"/>
                      <w:color w:val="auto"/>
                      <w:sz w:val="21"/>
                      <w:szCs w:val="21"/>
                      <w:lang w:val="en-US" w:eastAsia="zh-CN"/>
                    </w:rPr>
                  </w:pPr>
                  <w:r>
                    <w:rPr>
                      <w:rFonts w:hint="eastAsia" w:cs="Times New Roman"/>
                      <w:b w:val="0"/>
                      <w:bCs w:val="0"/>
                      <w:color w:val="auto"/>
                      <w:sz w:val="21"/>
                      <w:szCs w:val="21"/>
                      <w:lang w:val="en-US" w:eastAsia="zh-CN"/>
                    </w:rPr>
                    <w:t>0.54</w:t>
                  </w:r>
                </w:p>
              </w:tc>
              <w:tc>
                <w:tcPr>
                  <w:tcW w:w="1116" w:type="dxa"/>
                  <w:noWrap w:val="0"/>
                  <w:vAlign w:val="center"/>
                </w:tcPr>
                <w:p w14:paraId="5D8011B1">
                  <w:pPr>
                    <w:widowControl/>
                    <w:numPr>
                      <w:ilvl w:val="0"/>
                      <w:numId w:val="0"/>
                    </w:numPr>
                    <w:spacing w:line="240" w:lineRule="auto"/>
                    <w:ind w:left="0" w:leftChars="0" w:firstLine="0" w:firstLineChars="0"/>
                    <w:jc w:val="center"/>
                    <w:rPr>
                      <w:rFonts w:hint="default" w:ascii="Times New Roman" w:hAnsi="Times New Roman" w:eastAsia="宋体" w:cs="Times New Roman"/>
                      <w:b w:val="0"/>
                      <w:bCs w:val="0"/>
                      <w:color w:val="auto"/>
                      <w:sz w:val="21"/>
                      <w:szCs w:val="21"/>
                      <w:lang w:val="en-US" w:eastAsia="zh-CN"/>
                    </w:rPr>
                  </w:pPr>
                  <w:r>
                    <w:rPr>
                      <w:rFonts w:hint="eastAsia" w:cs="Times New Roman"/>
                      <w:b w:val="0"/>
                      <w:bCs w:val="0"/>
                      <w:color w:val="auto"/>
                      <w:sz w:val="21"/>
                      <w:szCs w:val="21"/>
                      <w:lang w:val="en-US" w:eastAsia="zh-CN"/>
                    </w:rPr>
                    <w:t>0.54</w:t>
                  </w:r>
                </w:p>
              </w:tc>
            </w:tr>
            <w:tr w14:paraId="33CE8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9" w:type="dxa"/>
                  <w:noWrap w:val="0"/>
                  <w:vAlign w:val="center"/>
                </w:tcPr>
                <w:p w14:paraId="5FB9F370">
                  <w:pPr>
                    <w:numPr>
                      <w:ilvl w:val="0"/>
                      <w:numId w:val="0"/>
                    </w:numPr>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eastAsia" w:cs="Times New Roman"/>
                      <w:b w:val="0"/>
                      <w:bCs/>
                      <w:color w:val="auto"/>
                      <w:sz w:val="21"/>
                      <w:szCs w:val="21"/>
                      <w:vertAlign w:val="baseline"/>
                      <w:lang w:val="en-US" w:eastAsia="zh-CN"/>
                    </w:rPr>
                    <w:t>4</w:t>
                  </w:r>
                </w:p>
              </w:tc>
              <w:tc>
                <w:tcPr>
                  <w:tcW w:w="1778" w:type="dxa"/>
                  <w:noWrap w:val="0"/>
                  <w:vAlign w:val="center"/>
                </w:tcPr>
                <w:p w14:paraId="33C85CC0">
                  <w:pPr>
                    <w:widowControl/>
                    <w:numPr>
                      <w:ilvl w:val="0"/>
                      <w:numId w:val="0"/>
                    </w:numPr>
                    <w:spacing w:line="240" w:lineRule="auto"/>
                    <w:ind w:left="0" w:leftChars="0" w:firstLine="0" w:firstLineChars="0"/>
                    <w:jc w:val="center"/>
                    <w:rPr>
                      <w:rFonts w:hint="default"/>
                      <w:bCs/>
                      <w:color w:val="auto"/>
                      <w:sz w:val="21"/>
                      <w:szCs w:val="21"/>
                      <w:highlight w:val="none"/>
                      <w:lang w:val="en-US" w:eastAsia="zh-CN"/>
                    </w:rPr>
                  </w:pPr>
                  <w:r>
                    <w:rPr>
                      <w:rFonts w:hint="eastAsia"/>
                      <w:bCs/>
                      <w:color w:val="auto"/>
                      <w:sz w:val="21"/>
                      <w:szCs w:val="21"/>
                      <w:highlight w:val="none"/>
                      <w:lang w:val="en-US" w:eastAsia="zh-CN"/>
                    </w:rPr>
                    <w:t>纯水制备</w:t>
                  </w:r>
                </w:p>
              </w:tc>
              <w:tc>
                <w:tcPr>
                  <w:tcW w:w="1114" w:type="dxa"/>
                  <w:noWrap w:val="0"/>
                  <w:vAlign w:val="center"/>
                </w:tcPr>
                <w:p w14:paraId="296C022E">
                  <w:pPr>
                    <w:widowControl/>
                    <w:numPr>
                      <w:ilvl w:val="0"/>
                      <w:numId w:val="0"/>
                    </w:numPr>
                    <w:spacing w:line="240" w:lineRule="auto"/>
                    <w:ind w:left="0" w:leftChars="0" w:firstLine="0" w:firstLineChars="0"/>
                    <w:jc w:val="center"/>
                    <w:rPr>
                      <w:rFonts w:hint="default" w:cs="Times New Roman"/>
                      <w:b w:val="0"/>
                      <w:bCs w:val="0"/>
                      <w:color w:val="auto"/>
                      <w:sz w:val="21"/>
                      <w:szCs w:val="21"/>
                      <w:lang w:val="en-US" w:eastAsia="zh-CN"/>
                    </w:rPr>
                  </w:pPr>
                  <w:r>
                    <w:rPr>
                      <w:rFonts w:hint="eastAsia" w:cs="Times New Roman"/>
                      <w:b w:val="0"/>
                      <w:bCs w:val="0"/>
                      <w:color w:val="auto"/>
                      <w:sz w:val="21"/>
                      <w:szCs w:val="21"/>
                      <w:lang w:val="en-US" w:eastAsia="zh-CN"/>
                    </w:rPr>
                    <w:t>0.892</w:t>
                  </w:r>
                </w:p>
              </w:tc>
              <w:tc>
                <w:tcPr>
                  <w:tcW w:w="1115" w:type="dxa"/>
                  <w:noWrap w:val="0"/>
                  <w:vAlign w:val="center"/>
                </w:tcPr>
                <w:p w14:paraId="4A06731D">
                  <w:pPr>
                    <w:widowControl/>
                    <w:numPr>
                      <w:ilvl w:val="0"/>
                      <w:numId w:val="0"/>
                    </w:numPr>
                    <w:spacing w:line="240" w:lineRule="auto"/>
                    <w:ind w:left="0" w:leftChars="0" w:firstLine="0" w:firstLineChars="0"/>
                    <w:jc w:val="center"/>
                    <w:rPr>
                      <w:rFonts w:hint="default" w:cs="Times New Roman"/>
                      <w:b w:val="0"/>
                      <w:bCs w:val="0"/>
                      <w:color w:val="auto"/>
                      <w:sz w:val="21"/>
                      <w:szCs w:val="21"/>
                      <w:lang w:val="en-US" w:eastAsia="zh-CN"/>
                    </w:rPr>
                  </w:pPr>
                  <w:r>
                    <w:rPr>
                      <w:rFonts w:hint="eastAsia" w:cs="Times New Roman"/>
                      <w:b w:val="0"/>
                      <w:bCs w:val="0"/>
                      <w:color w:val="auto"/>
                      <w:sz w:val="21"/>
                      <w:szCs w:val="21"/>
                      <w:lang w:val="en-US" w:eastAsia="zh-CN"/>
                    </w:rPr>
                    <w:t>0.6244</w:t>
                  </w:r>
                </w:p>
              </w:tc>
              <w:tc>
                <w:tcPr>
                  <w:tcW w:w="1115" w:type="dxa"/>
                  <w:noWrap w:val="0"/>
                  <w:vAlign w:val="center"/>
                </w:tcPr>
                <w:p w14:paraId="746E6CB2">
                  <w:pPr>
                    <w:widowControl/>
                    <w:numPr>
                      <w:ilvl w:val="0"/>
                      <w:numId w:val="0"/>
                    </w:numPr>
                    <w:spacing w:line="240" w:lineRule="auto"/>
                    <w:ind w:left="0" w:leftChars="0" w:firstLine="0" w:firstLineChars="0"/>
                    <w:jc w:val="center"/>
                    <w:rPr>
                      <w:rFonts w:hint="default" w:cs="Times New Roman"/>
                      <w:b w:val="0"/>
                      <w:bCs w:val="0"/>
                      <w:color w:val="auto"/>
                      <w:sz w:val="21"/>
                      <w:szCs w:val="21"/>
                      <w:lang w:val="en-US" w:eastAsia="zh-CN"/>
                    </w:rPr>
                  </w:pPr>
                  <w:r>
                    <w:rPr>
                      <w:rFonts w:hint="eastAsia" w:cs="Times New Roman"/>
                      <w:b w:val="0"/>
                      <w:bCs w:val="0"/>
                      <w:color w:val="auto"/>
                      <w:sz w:val="21"/>
                      <w:szCs w:val="21"/>
                      <w:lang w:val="en-US" w:eastAsia="zh-CN"/>
                    </w:rPr>
                    <w:t>-</w:t>
                  </w:r>
                </w:p>
              </w:tc>
              <w:tc>
                <w:tcPr>
                  <w:tcW w:w="1115" w:type="dxa"/>
                  <w:noWrap w:val="0"/>
                  <w:vAlign w:val="center"/>
                </w:tcPr>
                <w:p w14:paraId="134EFAB5">
                  <w:pPr>
                    <w:widowControl/>
                    <w:numPr>
                      <w:ilvl w:val="0"/>
                      <w:numId w:val="0"/>
                    </w:numPr>
                    <w:spacing w:line="240" w:lineRule="auto"/>
                    <w:ind w:left="0" w:leftChars="0" w:firstLine="0" w:firstLineChars="0"/>
                    <w:jc w:val="center"/>
                    <w:rPr>
                      <w:rFonts w:hint="eastAsia" w:cs="Times New Roman"/>
                      <w:b w:val="0"/>
                      <w:bCs w:val="0"/>
                      <w:color w:val="auto"/>
                      <w:sz w:val="21"/>
                      <w:szCs w:val="21"/>
                      <w:lang w:val="en-US" w:eastAsia="zh-CN"/>
                    </w:rPr>
                  </w:pPr>
                  <w:r>
                    <w:rPr>
                      <w:rFonts w:hint="eastAsia" w:cs="Times New Roman"/>
                      <w:b w:val="0"/>
                      <w:bCs w:val="0"/>
                      <w:color w:val="auto"/>
                      <w:sz w:val="21"/>
                      <w:szCs w:val="21"/>
                      <w:lang w:val="en-US" w:eastAsia="zh-CN"/>
                    </w:rPr>
                    <w:t>0.2676</w:t>
                  </w:r>
                </w:p>
              </w:tc>
              <w:tc>
                <w:tcPr>
                  <w:tcW w:w="1116" w:type="dxa"/>
                  <w:noWrap w:val="0"/>
                  <w:vAlign w:val="center"/>
                </w:tcPr>
                <w:p w14:paraId="66885912">
                  <w:pPr>
                    <w:widowControl/>
                    <w:numPr>
                      <w:ilvl w:val="0"/>
                      <w:numId w:val="0"/>
                    </w:numPr>
                    <w:spacing w:line="240" w:lineRule="auto"/>
                    <w:ind w:left="0" w:leftChars="0" w:firstLine="0" w:firstLineChars="0"/>
                    <w:jc w:val="center"/>
                    <w:rPr>
                      <w:rFonts w:hint="default" w:cs="Times New Roman"/>
                      <w:b w:val="0"/>
                      <w:bCs w:val="0"/>
                      <w:color w:val="auto"/>
                      <w:sz w:val="21"/>
                      <w:szCs w:val="21"/>
                      <w:lang w:val="en-US" w:eastAsia="zh-CN"/>
                    </w:rPr>
                  </w:pPr>
                  <w:r>
                    <w:rPr>
                      <w:rFonts w:hint="eastAsia" w:cs="Times New Roman"/>
                      <w:b w:val="0"/>
                      <w:bCs w:val="0"/>
                      <w:color w:val="auto"/>
                      <w:sz w:val="21"/>
                      <w:szCs w:val="21"/>
                      <w:lang w:val="en-US" w:eastAsia="zh-CN"/>
                    </w:rPr>
                    <w:t>-</w:t>
                  </w:r>
                </w:p>
              </w:tc>
            </w:tr>
            <w:tr w14:paraId="258C9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9" w:type="dxa"/>
                  <w:noWrap w:val="0"/>
                  <w:vAlign w:val="center"/>
                </w:tcPr>
                <w:p w14:paraId="7D5D59BC">
                  <w:pPr>
                    <w:numPr>
                      <w:ilvl w:val="0"/>
                      <w:numId w:val="0"/>
                    </w:numPr>
                    <w:spacing w:line="240" w:lineRule="auto"/>
                    <w:jc w:val="center"/>
                    <w:rPr>
                      <w:rFonts w:hint="default" w:cs="Times New Roman"/>
                      <w:b w:val="0"/>
                      <w:bCs/>
                      <w:color w:val="auto"/>
                      <w:sz w:val="21"/>
                      <w:szCs w:val="21"/>
                      <w:vertAlign w:val="baseline"/>
                      <w:lang w:val="en-US" w:eastAsia="zh-CN"/>
                    </w:rPr>
                  </w:pPr>
                  <w:r>
                    <w:rPr>
                      <w:rFonts w:hint="eastAsia" w:cs="Times New Roman"/>
                      <w:b w:val="0"/>
                      <w:bCs/>
                      <w:color w:val="auto"/>
                      <w:sz w:val="21"/>
                      <w:szCs w:val="21"/>
                      <w:vertAlign w:val="baseline"/>
                      <w:lang w:val="en-US" w:eastAsia="zh-CN"/>
                    </w:rPr>
                    <w:t>5</w:t>
                  </w:r>
                </w:p>
              </w:tc>
              <w:tc>
                <w:tcPr>
                  <w:tcW w:w="1778" w:type="dxa"/>
                  <w:noWrap w:val="0"/>
                  <w:vAlign w:val="center"/>
                </w:tcPr>
                <w:p w14:paraId="08618E93">
                  <w:pPr>
                    <w:widowControl/>
                    <w:numPr>
                      <w:ilvl w:val="0"/>
                      <w:numId w:val="0"/>
                    </w:numPr>
                    <w:spacing w:line="240" w:lineRule="auto"/>
                    <w:ind w:left="0" w:leftChars="0" w:firstLine="0" w:firstLineChars="0"/>
                    <w:jc w:val="center"/>
                    <w:rPr>
                      <w:rFonts w:hint="default"/>
                      <w:bCs/>
                      <w:color w:val="auto"/>
                      <w:sz w:val="21"/>
                      <w:szCs w:val="21"/>
                      <w:highlight w:val="none"/>
                      <w:lang w:val="en-US" w:eastAsia="zh-CN"/>
                    </w:rPr>
                  </w:pPr>
                  <w:r>
                    <w:rPr>
                      <w:rFonts w:hint="eastAsia"/>
                      <w:bCs/>
                      <w:color w:val="auto"/>
                      <w:sz w:val="21"/>
                      <w:szCs w:val="21"/>
                      <w:highlight w:val="none"/>
                      <w:lang w:val="en-US" w:eastAsia="zh-CN"/>
                    </w:rPr>
                    <w:t>冷却用水</w:t>
                  </w:r>
                </w:p>
              </w:tc>
              <w:tc>
                <w:tcPr>
                  <w:tcW w:w="1114" w:type="dxa"/>
                  <w:noWrap w:val="0"/>
                  <w:vAlign w:val="center"/>
                </w:tcPr>
                <w:p w14:paraId="63FCE667">
                  <w:pPr>
                    <w:widowControl/>
                    <w:numPr>
                      <w:ilvl w:val="0"/>
                      <w:numId w:val="0"/>
                    </w:numPr>
                    <w:spacing w:line="240" w:lineRule="auto"/>
                    <w:ind w:left="0" w:leftChars="0" w:firstLine="0" w:firstLineChars="0"/>
                    <w:jc w:val="center"/>
                    <w:rPr>
                      <w:rFonts w:hint="default" w:cs="Times New Roman"/>
                      <w:b w:val="0"/>
                      <w:bCs w:val="0"/>
                      <w:color w:val="auto"/>
                      <w:sz w:val="21"/>
                      <w:szCs w:val="21"/>
                      <w:lang w:val="en-US" w:eastAsia="zh-CN"/>
                    </w:rPr>
                  </w:pPr>
                  <w:r>
                    <w:rPr>
                      <w:rFonts w:hint="eastAsia" w:cs="Times New Roman"/>
                      <w:b w:val="0"/>
                      <w:bCs w:val="0"/>
                      <w:color w:val="auto"/>
                      <w:sz w:val="21"/>
                      <w:szCs w:val="21"/>
                      <w:lang w:val="en-US" w:eastAsia="zh-CN"/>
                    </w:rPr>
                    <w:t>5.0</w:t>
                  </w:r>
                </w:p>
              </w:tc>
              <w:tc>
                <w:tcPr>
                  <w:tcW w:w="1115" w:type="dxa"/>
                  <w:noWrap w:val="0"/>
                  <w:vAlign w:val="center"/>
                </w:tcPr>
                <w:p w14:paraId="5E5B63DF">
                  <w:pPr>
                    <w:widowControl/>
                    <w:numPr>
                      <w:ilvl w:val="0"/>
                      <w:numId w:val="0"/>
                    </w:numPr>
                    <w:spacing w:line="240" w:lineRule="auto"/>
                    <w:ind w:left="0" w:leftChars="0" w:firstLine="0" w:firstLineChars="0"/>
                    <w:jc w:val="center"/>
                    <w:rPr>
                      <w:rFonts w:hint="eastAsia" w:cs="Times New Roman"/>
                      <w:b w:val="0"/>
                      <w:bCs w:val="0"/>
                      <w:color w:val="auto"/>
                      <w:sz w:val="21"/>
                      <w:szCs w:val="21"/>
                      <w:lang w:val="en-US" w:eastAsia="zh-CN"/>
                    </w:rPr>
                  </w:pPr>
                </w:p>
              </w:tc>
              <w:tc>
                <w:tcPr>
                  <w:tcW w:w="1115" w:type="dxa"/>
                  <w:noWrap w:val="0"/>
                  <w:vAlign w:val="center"/>
                </w:tcPr>
                <w:p w14:paraId="742F6DFD">
                  <w:pPr>
                    <w:widowControl/>
                    <w:numPr>
                      <w:ilvl w:val="0"/>
                      <w:numId w:val="0"/>
                    </w:numPr>
                    <w:spacing w:line="240" w:lineRule="auto"/>
                    <w:ind w:left="0" w:leftChars="0" w:firstLine="0" w:firstLineChars="0"/>
                    <w:jc w:val="center"/>
                    <w:rPr>
                      <w:rFonts w:hint="eastAsia" w:cs="Times New Roman"/>
                      <w:b w:val="0"/>
                      <w:bCs w:val="0"/>
                      <w:color w:val="auto"/>
                      <w:sz w:val="21"/>
                      <w:szCs w:val="21"/>
                      <w:lang w:val="en-US" w:eastAsia="zh-CN"/>
                    </w:rPr>
                  </w:pPr>
                </w:p>
              </w:tc>
              <w:tc>
                <w:tcPr>
                  <w:tcW w:w="1115" w:type="dxa"/>
                  <w:noWrap w:val="0"/>
                  <w:vAlign w:val="center"/>
                </w:tcPr>
                <w:p w14:paraId="79C07081">
                  <w:pPr>
                    <w:widowControl/>
                    <w:numPr>
                      <w:ilvl w:val="0"/>
                      <w:numId w:val="0"/>
                    </w:numPr>
                    <w:spacing w:line="240" w:lineRule="auto"/>
                    <w:ind w:left="0" w:leftChars="0" w:firstLine="0" w:firstLineChars="0"/>
                    <w:jc w:val="center"/>
                    <w:rPr>
                      <w:rFonts w:hint="eastAsia" w:cs="Times New Roman"/>
                      <w:b w:val="0"/>
                      <w:bCs w:val="0"/>
                      <w:color w:val="auto"/>
                      <w:sz w:val="21"/>
                      <w:szCs w:val="21"/>
                      <w:lang w:val="en-US" w:eastAsia="zh-CN"/>
                    </w:rPr>
                  </w:pPr>
                </w:p>
              </w:tc>
              <w:tc>
                <w:tcPr>
                  <w:tcW w:w="1116" w:type="dxa"/>
                  <w:noWrap w:val="0"/>
                  <w:vAlign w:val="center"/>
                </w:tcPr>
                <w:p w14:paraId="3807F938">
                  <w:pPr>
                    <w:widowControl/>
                    <w:numPr>
                      <w:ilvl w:val="0"/>
                      <w:numId w:val="0"/>
                    </w:numPr>
                    <w:spacing w:line="240" w:lineRule="auto"/>
                    <w:ind w:left="0" w:leftChars="0" w:firstLine="0" w:firstLineChars="0"/>
                    <w:jc w:val="center"/>
                    <w:rPr>
                      <w:rFonts w:hint="eastAsia" w:cs="Times New Roman"/>
                      <w:b w:val="0"/>
                      <w:bCs w:val="0"/>
                      <w:color w:val="auto"/>
                      <w:sz w:val="21"/>
                      <w:szCs w:val="21"/>
                      <w:lang w:val="en-US" w:eastAsia="zh-CN"/>
                    </w:rPr>
                  </w:pPr>
                </w:p>
              </w:tc>
            </w:tr>
            <w:tr w14:paraId="514FE9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27" w:type="dxa"/>
                  <w:gridSpan w:val="2"/>
                  <w:noWrap w:val="0"/>
                  <w:vAlign w:val="center"/>
                </w:tcPr>
                <w:p w14:paraId="18108667">
                  <w:pPr>
                    <w:widowControl/>
                    <w:numPr>
                      <w:ilvl w:val="0"/>
                      <w:numId w:val="0"/>
                    </w:numPr>
                    <w:spacing w:line="240" w:lineRule="auto"/>
                    <w:ind w:left="0" w:leftChars="0" w:firstLine="0" w:firstLineChars="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合计</w:t>
                  </w:r>
                </w:p>
              </w:tc>
              <w:tc>
                <w:tcPr>
                  <w:tcW w:w="1114" w:type="dxa"/>
                  <w:noWrap w:val="0"/>
                  <w:vAlign w:val="center"/>
                </w:tcPr>
                <w:p w14:paraId="1A6FDCA0">
                  <w:pPr>
                    <w:numPr>
                      <w:ilvl w:val="0"/>
                      <w:numId w:val="0"/>
                    </w:numPr>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eastAsia" w:cs="Times New Roman"/>
                      <w:b w:val="0"/>
                      <w:bCs/>
                      <w:color w:val="auto"/>
                      <w:sz w:val="21"/>
                      <w:szCs w:val="21"/>
                      <w:vertAlign w:val="baseline"/>
                      <w:lang w:val="en-US" w:eastAsia="zh-CN"/>
                    </w:rPr>
                    <w:t>118.992</w:t>
                  </w:r>
                </w:p>
              </w:tc>
              <w:tc>
                <w:tcPr>
                  <w:tcW w:w="1115" w:type="dxa"/>
                  <w:noWrap w:val="0"/>
                  <w:vAlign w:val="center"/>
                </w:tcPr>
                <w:p w14:paraId="39A39D53">
                  <w:pPr>
                    <w:numPr>
                      <w:ilvl w:val="0"/>
                      <w:numId w:val="0"/>
                    </w:numPr>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eastAsia" w:cs="Times New Roman"/>
                      <w:b w:val="0"/>
                      <w:bCs/>
                      <w:color w:val="auto"/>
                      <w:sz w:val="21"/>
                      <w:szCs w:val="21"/>
                      <w:vertAlign w:val="baseline"/>
                      <w:lang w:val="en-US" w:eastAsia="zh-CN"/>
                    </w:rPr>
                    <w:t>0.6244</w:t>
                  </w:r>
                </w:p>
              </w:tc>
              <w:tc>
                <w:tcPr>
                  <w:tcW w:w="1115" w:type="dxa"/>
                  <w:noWrap w:val="0"/>
                  <w:vAlign w:val="center"/>
                </w:tcPr>
                <w:p w14:paraId="57A65170">
                  <w:pPr>
                    <w:numPr>
                      <w:ilvl w:val="0"/>
                      <w:numId w:val="0"/>
                    </w:numPr>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eastAsia" w:cs="Times New Roman"/>
                      <w:b w:val="0"/>
                      <w:bCs/>
                      <w:color w:val="auto"/>
                      <w:sz w:val="21"/>
                      <w:szCs w:val="21"/>
                      <w:vertAlign w:val="baseline"/>
                      <w:lang w:val="en-US" w:eastAsia="zh-CN"/>
                    </w:rPr>
                    <w:t>16.1144</w:t>
                  </w:r>
                </w:p>
              </w:tc>
              <w:tc>
                <w:tcPr>
                  <w:tcW w:w="1115" w:type="dxa"/>
                  <w:noWrap w:val="0"/>
                  <w:vAlign w:val="center"/>
                </w:tcPr>
                <w:p w14:paraId="46130AF4">
                  <w:pPr>
                    <w:numPr>
                      <w:ilvl w:val="0"/>
                      <w:numId w:val="0"/>
                    </w:numPr>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eastAsia" w:cs="Times New Roman"/>
                      <w:b w:val="0"/>
                      <w:bCs/>
                      <w:color w:val="auto"/>
                      <w:sz w:val="21"/>
                      <w:szCs w:val="21"/>
                      <w:vertAlign w:val="baseline"/>
                      <w:lang w:val="en-US" w:eastAsia="zh-CN"/>
                    </w:rPr>
                    <w:t>96.4376</w:t>
                  </w:r>
                </w:p>
              </w:tc>
              <w:tc>
                <w:tcPr>
                  <w:tcW w:w="1116" w:type="dxa"/>
                  <w:noWrap w:val="0"/>
                  <w:vAlign w:val="center"/>
                </w:tcPr>
                <w:p w14:paraId="78AEE61C">
                  <w:pPr>
                    <w:numPr>
                      <w:ilvl w:val="0"/>
                      <w:numId w:val="0"/>
                    </w:numPr>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eastAsia" w:cs="Times New Roman"/>
                      <w:b w:val="0"/>
                      <w:bCs/>
                      <w:color w:val="auto"/>
                      <w:sz w:val="21"/>
                      <w:szCs w:val="21"/>
                      <w:vertAlign w:val="baseline"/>
                      <w:lang w:val="en-US" w:eastAsia="zh-CN"/>
                    </w:rPr>
                    <w:t>0.54</w:t>
                  </w:r>
                </w:p>
              </w:tc>
            </w:tr>
          </w:tbl>
          <w:p w14:paraId="5BBDB36C">
            <w:pPr>
              <w:adjustRightInd w:val="0"/>
              <w:snapToGrid w:val="0"/>
              <w:spacing w:line="360" w:lineRule="auto"/>
              <w:ind w:firstLine="480" w:firstLineChars="200"/>
              <w:rPr>
                <w:bCs/>
                <w:color w:val="auto"/>
                <w:sz w:val="24"/>
                <w:highlight w:val="none"/>
              </w:rPr>
            </w:pPr>
            <w:r>
              <w:rPr>
                <w:rFonts w:hint="eastAsia"/>
                <w:bCs/>
                <w:color w:val="auto"/>
                <w:sz w:val="24"/>
                <w:highlight w:val="none"/>
                <w:lang w:val="en-US" w:eastAsia="zh-CN"/>
              </w:rPr>
              <w:t>本</w:t>
            </w:r>
            <w:r>
              <w:rPr>
                <w:bCs/>
                <w:color w:val="auto"/>
                <w:sz w:val="24"/>
                <w:highlight w:val="none"/>
              </w:rPr>
              <w:t>项目水平衡图见下图。</w:t>
            </w:r>
          </w:p>
          <w:p w14:paraId="75C5B739">
            <w:pPr>
              <w:adjustRightInd w:val="0"/>
              <w:spacing w:line="360" w:lineRule="auto"/>
              <w:jc w:val="center"/>
              <w:rPr>
                <w:rFonts w:hint="default" w:ascii="Times New Roman" w:hAnsi="Times New Roman" w:eastAsia="宋体" w:cs="Times New Roman"/>
                <w:bCs/>
                <w:color w:val="auto"/>
                <w:sz w:val="24"/>
                <w:highlight w:val="none"/>
              </w:rPr>
            </w:pPr>
            <w:r>
              <w:rPr>
                <w:rFonts w:hint="default" w:ascii="Times New Roman" w:hAnsi="Times New Roman" w:eastAsia="宋体" w:cs="Times New Roman"/>
                <w:bCs/>
                <w:color w:val="auto"/>
                <w:sz w:val="24"/>
                <w:highlight w:val="none"/>
              </w:rPr>
              <w:object>
                <v:shape id="_x0000_i1025" o:spt="75" type="#_x0000_t75" style="height:232pt;width:398.25pt;" o:ole="t" filled="f" o:preferrelative="t" stroked="f" coordsize="21600,21600">
                  <v:path/>
                  <v:fill on="f" focussize="0,0"/>
                  <v:stroke on="f"/>
                  <v:imagedata r:id="rId11" o:title=""/>
                  <o:lock v:ext="edit" aspectratio="f"/>
                  <w10:wrap type="none"/>
                  <w10:anchorlock/>
                </v:shape>
                <o:OLEObject Type="Embed" ProgID="Visio.Drawing.15" ShapeID="_x0000_i1025" DrawAspect="Content" ObjectID="_1468075725" r:id="rId10">
                  <o:LockedField>false</o:LockedField>
                </o:OLEObject>
              </w:object>
            </w:r>
          </w:p>
          <w:p w14:paraId="28B4A7A5">
            <w:pPr>
              <w:numPr>
                <w:ilvl w:val="0"/>
                <w:numId w:val="11"/>
              </w:numPr>
              <w:adjustRightInd w:val="0"/>
              <w:spacing w:line="360" w:lineRule="auto"/>
              <w:ind w:left="425" w:leftChars="0" w:hanging="425" w:firstLineChars="0"/>
              <w:jc w:val="center"/>
              <w:rPr>
                <w:rFonts w:hint="eastAsia"/>
                <w:bCs/>
                <w:color w:val="auto"/>
                <w:sz w:val="24"/>
                <w:highlight w:val="none"/>
                <w:lang w:eastAsia="zh-CN"/>
              </w:rPr>
            </w:pPr>
            <w:r>
              <w:rPr>
                <w:rFonts w:hint="eastAsia" w:cs="Times New Roman"/>
                <w:b/>
                <w:color w:val="auto"/>
                <w:sz w:val="24"/>
                <w:highlight w:val="none"/>
                <w:lang w:val="en-US" w:eastAsia="zh-CN"/>
              </w:rPr>
              <w:t>本</w:t>
            </w:r>
            <w:r>
              <w:rPr>
                <w:rFonts w:hint="default" w:ascii="Times New Roman" w:hAnsi="Times New Roman" w:eastAsia="宋体" w:cs="Times New Roman"/>
                <w:b/>
                <w:color w:val="auto"/>
                <w:sz w:val="24"/>
                <w:highlight w:val="none"/>
              </w:rPr>
              <w:t>项目水平衡图</w:t>
            </w:r>
            <w:r>
              <w:rPr>
                <w:rFonts w:hint="eastAsia" w:cs="Times New Roman"/>
                <w:b/>
                <w:color w:val="auto"/>
                <w:sz w:val="24"/>
                <w:highlight w:val="none"/>
                <w:lang w:eastAsia="zh-CN"/>
              </w:rPr>
              <w:t>“</w:t>
            </w:r>
            <w:r>
              <w:rPr>
                <w:rFonts w:hint="default" w:ascii="Times New Roman" w:hAnsi="Times New Roman" w:eastAsia="宋体" w:cs="Times New Roman"/>
                <w:b/>
                <w:color w:val="auto"/>
                <w:sz w:val="24"/>
                <w:highlight w:val="none"/>
              </w:rPr>
              <w:object>
                <v:shape id="_x0000_i1026" o:spt="75" type="#_x0000_t75" style="height:18.25pt;width:30.95pt;" o:ole="t" filled="f" o:preferrelative="t" stroked="f" coordsize="21600,21600">
                  <v:path/>
                  <v:fill on="f" focussize="0,0"/>
                  <v:stroke on="f"/>
                  <v:imagedata r:id="rId13" o:title=""/>
                  <o:lock v:ext="edit" aspectratio="f"/>
                  <w10:wrap type="none"/>
                  <w10:anchorlock/>
                </v:shape>
                <o:OLEObject Type="Embed" ProgID="Visio.Drawing.11" ShapeID="_x0000_i1026" DrawAspect="Content" ObjectID="_1468075726" r:id="rId12">
                  <o:LockedField>false</o:LockedField>
                </o:OLEObject>
              </w:object>
            </w:r>
            <w:r>
              <w:rPr>
                <w:rFonts w:hint="eastAsia" w:cs="Times New Roman"/>
                <w:b/>
                <w:color w:val="auto"/>
                <w:sz w:val="24"/>
                <w:highlight w:val="none"/>
                <w:lang w:eastAsia="zh-CN"/>
              </w:rPr>
              <w:t>”</w:t>
            </w:r>
            <w:r>
              <w:rPr>
                <w:rFonts w:hint="default" w:ascii="Times New Roman" w:hAnsi="Times New Roman" w:eastAsia="宋体" w:cs="Times New Roman"/>
                <w:b/>
                <w:color w:val="auto"/>
                <w:sz w:val="24"/>
                <w:highlight w:val="none"/>
              </w:rPr>
              <w:t>消耗量</w:t>
            </w:r>
            <w:r>
              <w:rPr>
                <w:rFonts w:hint="eastAsia" w:ascii="Times New Roman" w:hAnsi="Times New Roman" w:eastAsia="宋体" w:cs="Times New Roman"/>
                <w:b/>
                <w:color w:val="auto"/>
                <w:sz w:val="24"/>
                <w:highlight w:val="none"/>
                <w:lang w:eastAsia="zh-CN"/>
              </w:rPr>
              <w:t>（</w:t>
            </w:r>
            <w:r>
              <w:rPr>
                <w:rFonts w:hint="eastAsia" w:ascii="Times New Roman" w:hAnsi="Times New Roman" w:eastAsia="宋体" w:cs="Times New Roman"/>
                <w:b/>
                <w:color w:val="auto"/>
                <w:sz w:val="24"/>
                <w:highlight w:val="none"/>
                <w:lang w:val="en-US" w:eastAsia="zh-CN"/>
              </w:rPr>
              <w:t>m</w:t>
            </w:r>
            <w:r>
              <w:rPr>
                <w:rFonts w:hint="eastAsia" w:ascii="Times New Roman" w:hAnsi="Times New Roman" w:eastAsia="宋体" w:cs="Times New Roman"/>
                <w:b/>
                <w:color w:val="auto"/>
                <w:sz w:val="24"/>
                <w:highlight w:val="none"/>
                <w:vertAlign w:val="superscript"/>
                <w:lang w:val="en-US" w:eastAsia="zh-CN"/>
              </w:rPr>
              <w:t>3</w:t>
            </w:r>
            <w:r>
              <w:rPr>
                <w:rFonts w:hint="default" w:ascii="Times New Roman" w:hAnsi="Times New Roman" w:eastAsia="宋体" w:cs="Times New Roman"/>
                <w:b/>
                <w:color w:val="auto"/>
                <w:sz w:val="24"/>
                <w:highlight w:val="none"/>
              </w:rPr>
              <w:t>/a</w:t>
            </w:r>
            <w:r>
              <w:rPr>
                <w:rFonts w:hint="eastAsia" w:ascii="Times New Roman" w:hAnsi="Times New Roman" w:eastAsia="宋体" w:cs="Times New Roman"/>
                <w:b/>
                <w:color w:val="auto"/>
                <w:sz w:val="24"/>
                <w:highlight w:val="none"/>
                <w:lang w:eastAsia="zh-CN"/>
              </w:rPr>
              <w:t>）</w:t>
            </w:r>
          </w:p>
          <w:p w14:paraId="52B8427E">
            <w:pPr>
              <w:numPr>
                <w:ilvl w:val="0"/>
                <w:numId w:val="6"/>
              </w:numPr>
              <w:tabs>
                <w:tab w:val="left" w:pos="0"/>
              </w:tabs>
              <w:adjustRightInd w:val="0"/>
              <w:snapToGrid w:val="0"/>
              <w:spacing w:line="360" w:lineRule="auto"/>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劳动定员及工作制度</w:t>
            </w:r>
          </w:p>
          <w:p w14:paraId="70DAD8D5">
            <w:pPr>
              <w:numPr>
                <w:ilvl w:val="0"/>
                <w:numId w:val="0"/>
              </w:numPr>
              <w:tabs>
                <w:tab w:val="left" w:pos="0"/>
              </w:tabs>
              <w:adjustRightInd w:val="0"/>
              <w:snapToGrid w:val="0"/>
              <w:spacing w:line="360" w:lineRule="auto"/>
              <w:ind w:firstLine="480" w:firstLineChars="200"/>
              <w:rPr>
                <w:rFonts w:hint="eastAsia" w:cs="Times New Roman"/>
                <w:color w:val="auto"/>
                <w:sz w:val="24"/>
                <w:highlight w:val="none"/>
                <w:lang w:val="en-US" w:eastAsia="zh-CN"/>
              </w:rPr>
            </w:pPr>
            <w:r>
              <w:rPr>
                <w:rFonts w:hint="eastAsia" w:cs="Times New Roman"/>
                <w:color w:val="auto"/>
                <w:sz w:val="24"/>
                <w:highlight w:val="none"/>
                <w:lang w:val="en-US" w:eastAsia="zh-CN"/>
              </w:rPr>
              <w:t>本项目员工9人，不设食宿，年工作时间250天，每天工作8小时，夜间不工作。</w:t>
            </w:r>
          </w:p>
          <w:p w14:paraId="272A52CF">
            <w:pPr>
              <w:numPr>
                <w:ilvl w:val="0"/>
                <w:numId w:val="6"/>
              </w:numPr>
              <w:tabs>
                <w:tab w:val="left" w:pos="0"/>
              </w:tabs>
              <w:adjustRightInd w:val="0"/>
              <w:snapToGrid w:val="0"/>
              <w:spacing w:line="360" w:lineRule="auto"/>
              <w:rPr>
                <w:rFonts w:hint="default" w:ascii="Times New Roman" w:hAnsi="Times New Roman" w:eastAsia="宋体" w:cs="Times New Roman"/>
                <w:b/>
                <w:bCs/>
                <w:color w:val="auto"/>
                <w:sz w:val="24"/>
                <w:highlight w:val="none"/>
              </w:rPr>
            </w:pPr>
            <w:r>
              <w:rPr>
                <w:rFonts w:hint="eastAsia" w:cs="Times New Roman"/>
                <w:b/>
                <w:bCs/>
                <w:color w:val="auto"/>
                <w:sz w:val="24"/>
                <w:highlight w:val="none"/>
                <w:lang w:val="en-US" w:eastAsia="zh-CN"/>
              </w:rPr>
              <w:t>平面布置、</w:t>
            </w:r>
            <w:r>
              <w:rPr>
                <w:rFonts w:hint="default" w:ascii="Times New Roman" w:hAnsi="Times New Roman" w:eastAsia="宋体" w:cs="Times New Roman"/>
                <w:b/>
                <w:bCs/>
                <w:color w:val="auto"/>
                <w:sz w:val="24"/>
                <w:highlight w:val="none"/>
                <w:lang w:val="en-US" w:eastAsia="zh-CN"/>
              </w:rPr>
              <w:t>地理位置、周边关系</w:t>
            </w:r>
          </w:p>
          <w:p w14:paraId="72D281E0">
            <w:pPr>
              <w:adjustRightInd w:val="0"/>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eastAsia" w:cs="Times New Roman"/>
                <w:color w:val="auto"/>
                <w:sz w:val="24"/>
                <w:highlight w:val="none"/>
                <w:lang w:val="en-US" w:eastAsia="zh-CN"/>
              </w:rPr>
              <w:t>1、平面布置</w:t>
            </w:r>
          </w:p>
          <w:p w14:paraId="63114989">
            <w:pPr>
              <w:adjustRightInd w:val="0"/>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eastAsia" w:cs="Times New Roman"/>
                <w:color w:val="auto"/>
                <w:sz w:val="24"/>
                <w:highlight w:val="none"/>
                <w:lang w:val="en-US" w:eastAsia="zh-CN"/>
              </w:rPr>
              <w:t>本项目所在建筑共1层，在项目区域西侧布置烧结间、配料间、纯水制备间；在项目区域东侧从北向南布置电池测试间、扣电制备间；在项目区域中部北侧从西向东布置危险废物暂存间、一般固体废物暂存间、正极浆料制备间、负极浆料制备间、涂布间、模切间、电芯封装间；在项目区域中部南侧从西向东布置材料表征间、材料制备间、材料性能测试间。具体平面布置见附图3。</w:t>
            </w:r>
          </w:p>
          <w:p w14:paraId="113E8D64">
            <w:pPr>
              <w:adjustRightInd w:val="0"/>
              <w:spacing w:line="360" w:lineRule="auto"/>
              <w:ind w:firstLine="480" w:firstLineChars="200"/>
              <w:rPr>
                <w:rFonts w:hint="default" w:ascii="Times New Roman" w:hAnsi="Times New Roman" w:eastAsia="宋体" w:cs="Times New Roman"/>
                <w:color w:val="auto"/>
                <w:sz w:val="24"/>
                <w:highlight w:val="none"/>
              </w:rPr>
            </w:pPr>
            <w:r>
              <w:rPr>
                <w:rFonts w:hint="eastAsia" w:cs="Times New Roman"/>
                <w:color w:val="auto"/>
                <w:sz w:val="24"/>
                <w:highlight w:val="none"/>
                <w:lang w:val="en-US" w:eastAsia="zh-CN"/>
              </w:rPr>
              <w:t>2</w:t>
            </w:r>
            <w:r>
              <w:rPr>
                <w:rFonts w:hint="default"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rPr>
              <w:t>地理位置</w:t>
            </w:r>
          </w:p>
          <w:p w14:paraId="1E271DE6">
            <w:pPr>
              <w:spacing w:line="360" w:lineRule="auto"/>
              <w:ind w:firstLine="480" w:firstLineChars="200"/>
              <w:contextualSpacing/>
              <w:rPr>
                <w:rFonts w:hint="default"/>
                <w:color w:val="auto"/>
                <w:sz w:val="24"/>
                <w:highlight w:val="none"/>
                <w:lang w:eastAsia="zh-CN"/>
              </w:rPr>
            </w:pPr>
            <w:r>
              <w:rPr>
                <w:rFonts w:hint="default"/>
                <w:color w:val="auto"/>
                <w:sz w:val="24"/>
                <w:highlight w:val="none"/>
              </w:rPr>
              <w:t>本项目位于</w:t>
            </w:r>
            <w:r>
              <w:rPr>
                <w:rFonts w:hint="eastAsia"/>
                <w:color w:val="auto"/>
                <w:sz w:val="24"/>
                <w:highlight w:val="none"/>
                <w:lang w:val="en-US" w:eastAsia="zh-CN"/>
              </w:rPr>
              <w:t>北京市朝阳区和平里青年沟东路5号45号楼</w:t>
            </w:r>
            <w:r>
              <w:rPr>
                <w:rFonts w:hint="default"/>
                <w:color w:val="auto"/>
                <w:sz w:val="24"/>
                <w:highlight w:val="none"/>
                <w:lang w:val="en-US" w:eastAsia="zh-CN"/>
              </w:rPr>
              <w:t>，</w:t>
            </w:r>
            <w:r>
              <w:rPr>
                <w:rFonts w:hint="default"/>
                <w:color w:val="auto"/>
                <w:sz w:val="24"/>
                <w:highlight w:val="none"/>
              </w:rPr>
              <w:t>地理位置图见附图1</w:t>
            </w:r>
            <w:r>
              <w:rPr>
                <w:rFonts w:hint="default"/>
                <w:color w:val="auto"/>
                <w:sz w:val="24"/>
                <w:highlight w:val="none"/>
                <w:lang w:eastAsia="zh-CN"/>
              </w:rPr>
              <w:t>。</w:t>
            </w:r>
          </w:p>
          <w:p w14:paraId="1DD65386">
            <w:pPr>
              <w:adjustRightInd w:val="0"/>
              <w:spacing w:line="360" w:lineRule="auto"/>
              <w:ind w:firstLine="480" w:firstLineChars="200"/>
              <w:rPr>
                <w:rFonts w:hint="default" w:ascii="Times New Roman" w:hAnsi="Times New Roman" w:eastAsia="宋体" w:cs="Times New Roman"/>
                <w:color w:val="auto"/>
                <w:sz w:val="24"/>
                <w:highlight w:val="none"/>
              </w:rPr>
            </w:pPr>
            <w:r>
              <w:rPr>
                <w:rFonts w:hint="eastAsia" w:cs="Times New Roman"/>
                <w:color w:val="auto"/>
                <w:sz w:val="24"/>
                <w:highlight w:val="none"/>
                <w:lang w:val="en-US" w:eastAsia="zh-CN"/>
              </w:rPr>
              <w:t>3</w:t>
            </w:r>
            <w:r>
              <w:rPr>
                <w:rFonts w:hint="default"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rPr>
              <w:t>周边关系</w:t>
            </w:r>
          </w:p>
          <w:p w14:paraId="046EB1CC">
            <w:pPr>
              <w:spacing w:line="360" w:lineRule="auto"/>
              <w:ind w:firstLine="480" w:firstLineChars="200"/>
              <w:contextualSpacing/>
              <w:rPr>
                <w:color w:val="auto"/>
                <w:sz w:val="24"/>
                <w:highlight w:val="none"/>
              </w:rPr>
            </w:pPr>
            <w:r>
              <w:rPr>
                <w:color w:val="auto"/>
                <w:sz w:val="24"/>
                <w:highlight w:val="none"/>
              </w:rPr>
              <w:t>本项目</w:t>
            </w:r>
            <w:r>
              <w:rPr>
                <w:rFonts w:hint="eastAsia"/>
                <w:color w:val="auto"/>
                <w:sz w:val="24"/>
                <w:highlight w:val="none"/>
                <w:lang w:val="en-US" w:eastAsia="zh-CN"/>
              </w:rPr>
              <w:t>东</w:t>
            </w:r>
            <w:r>
              <w:rPr>
                <w:color w:val="auto"/>
                <w:sz w:val="24"/>
                <w:highlight w:val="none"/>
              </w:rPr>
              <w:t>侧</w:t>
            </w:r>
            <w:r>
              <w:rPr>
                <w:rFonts w:hint="eastAsia"/>
                <w:color w:val="auto"/>
                <w:sz w:val="24"/>
                <w:highlight w:val="none"/>
                <w:lang w:val="en-US" w:eastAsia="zh-CN"/>
              </w:rPr>
              <w:t>隔内部道路13m</w:t>
            </w:r>
            <w:r>
              <w:rPr>
                <w:color w:val="auto"/>
                <w:sz w:val="24"/>
                <w:highlight w:val="none"/>
              </w:rPr>
              <w:t>为</w:t>
            </w:r>
            <w:r>
              <w:rPr>
                <w:rFonts w:hint="eastAsia"/>
                <w:color w:val="auto"/>
                <w:sz w:val="24"/>
                <w:highlight w:val="none"/>
                <w:lang w:val="en-US" w:eastAsia="zh-CN"/>
              </w:rPr>
              <w:t>煤炭科学研究总院62号楼、南</w:t>
            </w:r>
            <w:r>
              <w:rPr>
                <w:color w:val="auto"/>
                <w:sz w:val="24"/>
                <w:highlight w:val="none"/>
              </w:rPr>
              <w:t>侧</w:t>
            </w:r>
            <w:r>
              <w:rPr>
                <w:rFonts w:hint="eastAsia"/>
                <w:color w:val="auto"/>
                <w:sz w:val="24"/>
                <w:highlight w:val="none"/>
                <w:lang w:val="en-US" w:eastAsia="zh-CN"/>
              </w:rPr>
              <w:t>5m</w:t>
            </w:r>
            <w:r>
              <w:rPr>
                <w:color w:val="auto"/>
                <w:sz w:val="24"/>
                <w:highlight w:val="none"/>
              </w:rPr>
              <w:t>为</w:t>
            </w:r>
            <w:r>
              <w:rPr>
                <w:rFonts w:hint="eastAsia"/>
                <w:color w:val="auto"/>
                <w:sz w:val="24"/>
                <w:highlight w:val="none"/>
                <w:lang w:val="en-US" w:eastAsia="zh-CN"/>
              </w:rPr>
              <w:t>煤炭科学研究总院47号楼、北</w:t>
            </w:r>
            <w:r>
              <w:rPr>
                <w:color w:val="auto"/>
                <w:sz w:val="24"/>
                <w:highlight w:val="none"/>
              </w:rPr>
              <w:t>侧</w:t>
            </w:r>
            <w:r>
              <w:rPr>
                <w:rFonts w:hint="eastAsia"/>
                <w:color w:val="auto"/>
                <w:sz w:val="24"/>
                <w:highlight w:val="none"/>
                <w:lang w:val="en-US" w:eastAsia="zh-CN"/>
              </w:rPr>
              <w:t>34m</w:t>
            </w:r>
            <w:r>
              <w:rPr>
                <w:color w:val="auto"/>
                <w:sz w:val="24"/>
                <w:highlight w:val="none"/>
              </w:rPr>
              <w:t>为</w:t>
            </w:r>
            <w:r>
              <w:rPr>
                <w:rFonts w:hint="eastAsia"/>
                <w:color w:val="auto"/>
                <w:sz w:val="24"/>
                <w:highlight w:val="none"/>
                <w:lang w:val="en-US" w:eastAsia="zh-CN"/>
              </w:rPr>
              <w:t>煤炭科学研究总院39号楼、西南</w:t>
            </w:r>
            <w:r>
              <w:rPr>
                <w:color w:val="auto"/>
                <w:sz w:val="24"/>
                <w:highlight w:val="none"/>
              </w:rPr>
              <w:t>侧</w:t>
            </w:r>
            <w:r>
              <w:rPr>
                <w:rFonts w:hint="eastAsia"/>
                <w:color w:val="auto"/>
                <w:sz w:val="24"/>
                <w:highlight w:val="none"/>
                <w:lang w:val="en-US" w:eastAsia="zh-CN"/>
              </w:rPr>
              <w:t>22m</w:t>
            </w:r>
            <w:r>
              <w:rPr>
                <w:color w:val="auto"/>
                <w:sz w:val="24"/>
                <w:highlight w:val="none"/>
              </w:rPr>
              <w:t>为</w:t>
            </w:r>
            <w:r>
              <w:rPr>
                <w:rFonts w:hint="eastAsia"/>
                <w:color w:val="auto"/>
                <w:sz w:val="24"/>
                <w:highlight w:val="none"/>
                <w:lang w:val="en-US" w:eastAsia="zh-CN"/>
              </w:rPr>
              <w:t>煤炭科学研究总院家属楼</w:t>
            </w:r>
            <w:r>
              <w:rPr>
                <w:color w:val="auto"/>
                <w:sz w:val="24"/>
                <w:highlight w:val="none"/>
              </w:rPr>
              <w:t>。</w:t>
            </w:r>
          </w:p>
          <w:p w14:paraId="1393F9C0">
            <w:pPr>
              <w:adjustRightInd w:val="0"/>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eastAsia" w:cs="Times New Roman"/>
                <w:color w:val="auto"/>
                <w:sz w:val="24"/>
                <w:highlight w:val="none"/>
                <w:lang w:val="en-US" w:eastAsia="zh-CN"/>
              </w:rPr>
              <w:t>距离项目最近的市内道路为东侧145m的青年沟路，道路等级为次干路</w:t>
            </w:r>
            <w:r>
              <w:rPr>
                <w:rFonts w:hint="default" w:ascii="Times New Roman" w:hAnsi="Times New Roman" w:eastAsia="宋体" w:cs="Times New Roman"/>
                <w:color w:val="auto"/>
                <w:sz w:val="24"/>
                <w:highlight w:val="none"/>
                <w:lang w:val="en-US" w:eastAsia="zh-CN"/>
              </w:rPr>
              <w:t>。</w:t>
            </w:r>
          </w:p>
          <w:p w14:paraId="6ABB6EA4">
            <w:pPr>
              <w:numPr>
                <w:ilvl w:val="0"/>
                <w:numId w:val="0"/>
              </w:numPr>
              <w:adjustRightInd w:val="0"/>
              <w:snapToGrid w:val="0"/>
              <w:spacing w:line="360" w:lineRule="auto"/>
              <w:ind w:leftChars="0" w:firstLine="480" w:firstLineChars="200"/>
              <w:jc w:val="both"/>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rPr>
              <w:t>本项目周边关系见</w:t>
            </w:r>
            <w:r>
              <w:rPr>
                <w:rFonts w:hint="eastAsia" w:cs="Times New Roman"/>
                <w:color w:val="auto"/>
                <w:sz w:val="24"/>
                <w:highlight w:val="none"/>
                <w:lang w:val="en-US" w:eastAsia="zh-CN"/>
              </w:rPr>
              <w:t>表2-7、项目周边现场照片见</w:t>
            </w:r>
            <w:r>
              <w:rPr>
                <w:rFonts w:hint="default" w:ascii="Times New Roman" w:hAnsi="Times New Roman" w:eastAsia="宋体" w:cs="Times New Roman"/>
                <w:color w:val="auto"/>
                <w:sz w:val="24"/>
                <w:highlight w:val="none"/>
              </w:rPr>
              <w:t>图2</w:t>
            </w:r>
            <w:r>
              <w:rPr>
                <w:rFonts w:hint="eastAsia" w:cs="Times New Roman"/>
                <w:color w:val="auto"/>
                <w:sz w:val="24"/>
                <w:highlight w:val="none"/>
                <w:lang w:val="en-US" w:eastAsia="zh-CN"/>
              </w:rPr>
              <w:t>-2</w:t>
            </w:r>
            <w:r>
              <w:rPr>
                <w:rFonts w:hint="default" w:ascii="Times New Roman" w:hAnsi="Times New Roman" w:eastAsia="宋体" w:cs="Times New Roman"/>
                <w:color w:val="auto"/>
                <w:sz w:val="24"/>
                <w:highlight w:val="none"/>
                <w:lang w:eastAsia="zh-CN"/>
              </w:rPr>
              <w:t>。</w:t>
            </w:r>
          </w:p>
          <w:p w14:paraId="7BB2EB25">
            <w:pPr>
              <w:numPr>
                <w:ilvl w:val="0"/>
                <w:numId w:val="7"/>
              </w:numPr>
              <w:adjustRightInd w:val="0"/>
              <w:snapToGrid w:val="0"/>
              <w:spacing w:line="360" w:lineRule="auto"/>
              <w:jc w:val="center"/>
              <w:rPr>
                <w:rFonts w:hint="default" w:ascii="Times New Roman" w:hAnsi="Times New Roman" w:eastAsia="宋体" w:cs="Times New Roman"/>
                <w:b/>
                <w:bCs/>
                <w:color w:val="auto"/>
                <w:sz w:val="24"/>
                <w:highlight w:val="none"/>
                <w:lang w:eastAsia="zh-CN"/>
              </w:rPr>
            </w:pPr>
            <w:r>
              <w:rPr>
                <w:rFonts w:hint="default" w:ascii="Times New Roman" w:hAnsi="Times New Roman" w:eastAsia="宋体" w:cs="Times New Roman"/>
                <w:b/>
                <w:bCs/>
                <w:color w:val="auto"/>
                <w:sz w:val="24"/>
                <w:highlight w:val="none"/>
              </w:rPr>
              <w:t>本项目周边关系</w:t>
            </w:r>
            <w:r>
              <w:rPr>
                <w:rFonts w:hint="eastAsia" w:cs="Times New Roman"/>
                <w:b/>
                <w:bCs/>
                <w:color w:val="auto"/>
                <w:sz w:val="24"/>
                <w:highlight w:val="none"/>
                <w:lang w:val="en-US" w:eastAsia="zh-CN"/>
              </w:rPr>
              <w:t>表</w:t>
            </w:r>
          </w:p>
          <w:tbl>
            <w:tblPr>
              <w:tblStyle w:val="24"/>
              <w:tblW w:w="7973" w:type="dxa"/>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89"/>
              <w:gridCol w:w="1390"/>
              <w:gridCol w:w="1407"/>
              <w:gridCol w:w="306"/>
              <w:gridCol w:w="3522"/>
              <w:gridCol w:w="159"/>
            </w:tblGrid>
            <w:tr w14:paraId="2A12C67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59" w:type="dxa"/>
                <w:trHeight w:val="408" w:hRule="atLeast"/>
              </w:trPr>
              <w:tc>
                <w:tcPr>
                  <w:tcW w:w="1189" w:type="dxa"/>
                  <w:tcBorders>
                    <w:tl2br w:val="nil"/>
                    <w:tr2bl w:val="nil"/>
                  </w:tcBorders>
                  <w:vAlign w:val="center"/>
                </w:tcPr>
                <w:p w14:paraId="19BA03A8">
                  <w:pPr>
                    <w:adjustRightInd w:val="0"/>
                    <w:spacing w:line="240" w:lineRule="auto"/>
                    <w:jc w:val="center"/>
                    <w:rPr>
                      <w:rFonts w:hint="default" w:ascii="Times New Roman" w:hAnsi="Times New Roman" w:eastAsia="宋体" w:cs="Times New Roman"/>
                      <w:b/>
                      <w:bCs/>
                      <w:color w:val="auto"/>
                      <w:sz w:val="21"/>
                      <w:szCs w:val="21"/>
                      <w:highlight w:val="none"/>
                      <w:vertAlign w:val="baseline"/>
                      <w:lang w:val="en-US" w:eastAsia="zh-CN"/>
                    </w:rPr>
                  </w:pPr>
                  <w:r>
                    <w:rPr>
                      <w:rFonts w:hint="eastAsia" w:cs="Times New Roman"/>
                      <w:b/>
                      <w:bCs/>
                      <w:color w:val="auto"/>
                      <w:sz w:val="21"/>
                      <w:szCs w:val="21"/>
                      <w:highlight w:val="none"/>
                      <w:vertAlign w:val="baseline"/>
                      <w:lang w:val="en-US" w:eastAsia="zh-CN"/>
                    </w:rPr>
                    <w:t>序号</w:t>
                  </w:r>
                </w:p>
              </w:tc>
              <w:tc>
                <w:tcPr>
                  <w:tcW w:w="1390" w:type="dxa"/>
                  <w:tcBorders>
                    <w:tl2br w:val="nil"/>
                    <w:tr2bl w:val="nil"/>
                  </w:tcBorders>
                  <w:vAlign w:val="center"/>
                </w:tcPr>
                <w:p w14:paraId="180DA12C">
                  <w:pPr>
                    <w:adjustRightInd w:val="0"/>
                    <w:spacing w:line="240" w:lineRule="auto"/>
                    <w:jc w:val="center"/>
                    <w:rPr>
                      <w:rFonts w:hint="default" w:ascii="Times New Roman" w:hAnsi="Times New Roman" w:eastAsia="宋体" w:cs="Times New Roman"/>
                      <w:b/>
                      <w:bCs/>
                      <w:color w:val="auto"/>
                      <w:sz w:val="21"/>
                      <w:szCs w:val="21"/>
                      <w:highlight w:val="none"/>
                      <w:vertAlign w:val="baseline"/>
                      <w:lang w:val="en-US" w:eastAsia="zh-CN"/>
                    </w:rPr>
                  </w:pPr>
                  <w:r>
                    <w:rPr>
                      <w:rFonts w:hint="eastAsia" w:cs="Times New Roman"/>
                      <w:b/>
                      <w:bCs/>
                      <w:color w:val="auto"/>
                      <w:sz w:val="21"/>
                      <w:szCs w:val="21"/>
                      <w:highlight w:val="none"/>
                      <w:vertAlign w:val="baseline"/>
                      <w:lang w:val="en-US" w:eastAsia="zh-CN"/>
                    </w:rPr>
                    <w:t>方位</w:t>
                  </w:r>
                </w:p>
              </w:tc>
              <w:tc>
                <w:tcPr>
                  <w:tcW w:w="1713" w:type="dxa"/>
                  <w:gridSpan w:val="2"/>
                  <w:tcBorders>
                    <w:tl2br w:val="nil"/>
                    <w:tr2bl w:val="nil"/>
                  </w:tcBorders>
                  <w:vAlign w:val="center"/>
                </w:tcPr>
                <w:p w14:paraId="6A815715">
                  <w:pPr>
                    <w:adjustRightInd w:val="0"/>
                    <w:spacing w:line="240" w:lineRule="auto"/>
                    <w:jc w:val="center"/>
                    <w:rPr>
                      <w:rFonts w:hint="default" w:cs="Times New Roman"/>
                      <w:b/>
                      <w:bCs/>
                      <w:color w:val="auto"/>
                      <w:sz w:val="21"/>
                      <w:szCs w:val="21"/>
                      <w:highlight w:val="none"/>
                      <w:vertAlign w:val="baseline"/>
                      <w:lang w:val="en-US" w:eastAsia="zh-CN"/>
                    </w:rPr>
                  </w:pPr>
                  <w:r>
                    <w:rPr>
                      <w:rFonts w:hint="eastAsia" w:cs="Times New Roman"/>
                      <w:b/>
                      <w:bCs/>
                      <w:color w:val="auto"/>
                      <w:sz w:val="21"/>
                      <w:szCs w:val="21"/>
                      <w:highlight w:val="none"/>
                      <w:vertAlign w:val="baseline"/>
                      <w:lang w:val="en-US" w:eastAsia="zh-CN"/>
                    </w:rPr>
                    <w:t>距离，m</w:t>
                  </w:r>
                </w:p>
              </w:tc>
              <w:tc>
                <w:tcPr>
                  <w:tcW w:w="3522" w:type="dxa"/>
                  <w:tcBorders>
                    <w:tl2br w:val="nil"/>
                    <w:tr2bl w:val="nil"/>
                  </w:tcBorders>
                  <w:vAlign w:val="center"/>
                </w:tcPr>
                <w:p w14:paraId="2E4AD3A7">
                  <w:pPr>
                    <w:adjustRightInd w:val="0"/>
                    <w:spacing w:line="240" w:lineRule="auto"/>
                    <w:jc w:val="center"/>
                    <w:rPr>
                      <w:rFonts w:hint="default" w:cs="Times New Roman"/>
                      <w:b/>
                      <w:bCs/>
                      <w:color w:val="auto"/>
                      <w:sz w:val="21"/>
                      <w:szCs w:val="21"/>
                      <w:highlight w:val="none"/>
                      <w:vertAlign w:val="baseline"/>
                      <w:lang w:val="en-US" w:eastAsia="zh-CN"/>
                    </w:rPr>
                  </w:pPr>
                  <w:r>
                    <w:rPr>
                      <w:rFonts w:hint="eastAsia" w:cs="Times New Roman"/>
                      <w:b/>
                      <w:bCs/>
                      <w:color w:val="auto"/>
                      <w:sz w:val="21"/>
                      <w:szCs w:val="21"/>
                      <w:highlight w:val="none"/>
                      <w:vertAlign w:val="baseline"/>
                      <w:lang w:val="en-US" w:eastAsia="zh-CN"/>
                    </w:rPr>
                    <w:t>名称</w:t>
                  </w:r>
                </w:p>
              </w:tc>
            </w:tr>
            <w:tr w14:paraId="59D261D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59" w:type="dxa"/>
                <w:trHeight w:val="408" w:hRule="atLeast"/>
              </w:trPr>
              <w:tc>
                <w:tcPr>
                  <w:tcW w:w="1189" w:type="dxa"/>
                  <w:tcBorders>
                    <w:tl2br w:val="nil"/>
                    <w:tr2bl w:val="nil"/>
                  </w:tcBorders>
                  <w:vAlign w:val="center"/>
                </w:tcPr>
                <w:p w14:paraId="41BBCFE8">
                  <w:pPr>
                    <w:adjustRightInd w:val="0"/>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1</w:t>
                  </w:r>
                </w:p>
              </w:tc>
              <w:tc>
                <w:tcPr>
                  <w:tcW w:w="1390" w:type="dxa"/>
                  <w:tcBorders>
                    <w:tl2br w:val="nil"/>
                    <w:tr2bl w:val="nil"/>
                  </w:tcBorders>
                  <w:vAlign w:val="center"/>
                </w:tcPr>
                <w:p w14:paraId="774D6BBD">
                  <w:pPr>
                    <w:adjustRightInd w:val="0"/>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东侧</w:t>
                  </w:r>
                </w:p>
              </w:tc>
              <w:tc>
                <w:tcPr>
                  <w:tcW w:w="1713" w:type="dxa"/>
                  <w:gridSpan w:val="2"/>
                  <w:tcBorders>
                    <w:tl2br w:val="nil"/>
                    <w:tr2bl w:val="nil"/>
                  </w:tcBorders>
                  <w:vAlign w:val="center"/>
                </w:tcPr>
                <w:p w14:paraId="11B7BC6E">
                  <w:pPr>
                    <w:adjustRightInd w:val="0"/>
                    <w:spacing w:line="240" w:lineRule="auto"/>
                    <w:jc w:val="center"/>
                    <w:rPr>
                      <w:rFonts w:hint="default"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13</w:t>
                  </w:r>
                </w:p>
              </w:tc>
              <w:tc>
                <w:tcPr>
                  <w:tcW w:w="3522" w:type="dxa"/>
                  <w:tcBorders>
                    <w:tl2br w:val="nil"/>
                    <w:tr2bl w:val="nil"/>
                  </w:tcBorders>
                  <w:vAlign w:val="center"/>
                </w:tcPr>
                <w:p w14:paraId="470C1306">
                  <w:pPr>
                    <w:adjustRightInd w:val="0"/>
                    <w:spacing w:line="240" w:lineRule="auto"/>
                    <w:jc w:val="center"/>
                    <w:rPr>
                      <w:rFonts w:hint="default" w:cs="Times New Roman"/>
                      <w:color w:val="auto"/>
                      <w:sz w:val="21"/>
                      <w:szCs w:val="21"/>
                      <w:highlight w:val="none"/>
                      <w:vertAlign w:val="baseline"/>
                      <w:lang w:val="en-US" w:eastAsia="zh-CN"/>
                    </w:rPr>
                  </w:pPr>
                  <w:r>
                    <w:rPr>
                      <w:rFonts w:hint="eastAsia"/>
                      <w:color w:val="auto"/>
                      <w:sz w:val="24"/>
                      <w:highlight w:val="none"/>
                      <w:lang w:val="en-US" w:eastAsia="zh-CN"/>
                    </w:rPr>
                    <w:t>煤炭科学研究总院62号楼</w:t>
                  </w:r>
                </w:p>
              </w:tc>
            </w:tr>
            <w:tr w14:paraId="7EACB1D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59" w:type="dxa"/>
                <w:trHeight w:val="408" w:hRule="atLeast"/>
              </w:trPr>
              <w:tc>
                <w:tcPr>
                  <w:tcW w:w="1189" w:type="dxa"/>
                  <w:tcBorders>
                    <w:tl2br w:val="nil"/>
                    <w:tr2bl w:val="nil"/>
                  </w:tcBorders>
                  <w:shd w:val="clear" w:color="auto" w:fill="auto"/>
                  <w:vAlign w:val="center"/>
                </w:tcPr>
                <w:p w14:paraId="1A7E84B3">
                  <w:pPr>
                    <w:adjustRightInd w:val="0"/>
                    <w:spacing w:line="240" w:lineRule="auto"/>
                    <w:jc w:val="center"/>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sz w:val="21"/>
                      <w:szCs w:val="21"/>
                      <w:highlight w:val="none"/>
                      <w:vertAlign w:val="baseline"/>
                      <w:lang w:val="en-US" w:eastAsia="zh-CN"/>
                    </w:rPr>
                    <w:t>2</w:t>
                  </w:r>
                </w:p>
              </w:tc>
              <w:tc>
                <w:tcPr>
                  <w:tcW w:w="1390" w:type="dxa"/>
                  <w:tcBorders>
                    <w:tl2br w:val="nil"/>
                    <w:tr2bl w:val="nil"/>
                  </w:tcBorders>
                  <w:vAlign w:val="center"/>
                </w:tcPr>
                <w:p w14:paraId="09BA860D">
                  <w:pPr>
                    <w:adjustRightInd w:val="0"/>
                    <w:spacing w:line="240" w:lineRule="auto"/>
                    <w:jc w:val="center"/>
                    <w:rPr>
                      <w:rFonts w:hint="default"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南侧</w:t>
                  </w:r>
                </w:p>
              </w:tc>
              <w:tc>
                <w:tcPr>
                  <w:tcW w:w="1713" w:type="dxa"/>
                  <w:gridSpan w:val="2"/>
                  <w:tcBorders>
                    <w:tl2br w:val="nil"/>
                    <w:tr2bl w:val="nil"/>
                  </w:tcBorders>
                  <w:vAlign w:val="center"/>
                </w:tcPr>
                <w:p w14:paraId="0C8081AE">
                  <w:pPr>
                    <w:adjustRightInd w:val="0"/>
                    <w:spacing w:line="240" w:lineRule="auto"/>
                    <w:jc w:val="center"/>
                    <w:rPr>
                      <w:rFonts w:hint="default"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5</w:t>
                  </w:r>
                </w:p>
              </w:tc>
              <w:tc>
                <w:tcPr>
                  <w:tcW w:w="3522" w:type="dxa"/>
                  <w:tcBorders>
                    <w:tl2br w:val="nil"/>
                    <w:tr2bl w:val="nil"/>
                  </w:tcBorders>
                  <w:vAlign w:val="center"/>
                </w:tcPr>
                <w:p w14:paraId="3516193A">
                  <w:pPr>
                    <w:adjustRightInd w:val="0"/>
                    <w:spacing w:line="240" w:lineRule="auto"/>
                    <w:jc w:val="center"/>
                    <w:rPr>
                      <w:rFonts w:hint="default" w:cs="Times New Roman"/>
                      <w:color w:val="auto"/>
                      <w:sz w:val="21"/>
                      <w:szCs w:val="21"/>
                      <w:highlight w:val="none"/>
                      <w:vertAlign w:val="baseline"/>
                      <w:lang w:val="en-US" w:eastAsia="zh-CN"/>
                    </w:rPr>
                  </w:pPr>
                  <w:r>
                    <w:rPr>
                      <w:rFonts w:hint="eastAsia"/>
                      <w:color w:val="auto"/>
                      <w:sz w:val="24"/>
                      <w:highlight w:val="none"/>
                      <w:lang w:val="en-US" w:eastAsia="zh-CN"/>
                    </w:rPr>
                    <w:t>煤炭科学研究总院47号楼</w:t>
                  </w:r>
                </w:p>
              </w:tc>
            </w:tr>
            <w:tr w14:paraId="33A4498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59" w:type="dxa"/>
                <w:trHeight w:val="408" w:hRule="atLeast"/>
              </w:trPr>
              <w:tc>
                <w:tcPr>
                  <w:tcW w:w="1189" w:type="dxa"/>
                  <w:tcBorders>
                    <w:tl2br w:val="nil"/>
                    <w:tr2bl w:val="nil"/>
                  </w:tcBorders>
                  <w:shd w:val="clear" w:color="auto" w:fill="auto"/>
                  <w:vAlign w:val="center"/>
                </w:tcPr>
                <w:p w14:paraId="4CD556B4">
                  <w:pPr>
                    <w:adjustRightInd w:val="0"/>
                    <w:spacing w:line="240" w:lineRule="auto"/>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sz w:val="21"/>
                      <w:szCs w:val="21"/>
                      <w:highlight w:val="none"/>
                      <w:vertAlign w:val="baseline"/>
                      <w:lang w:val="en-US" w:eastAsia="zh-CN"/>
                    </w:rPr>
                    <w:t>3</w:t>
                  </w:r>
                </w:p>
              </w:tc>
              <w:tc>
                <w:tcPr>
                  <w:tcW w:w="1390" w:type="dxa"/>
                  <w:tcBorders>
                    <w:tl2br w:val="nil"/>
                    <w:tr2bl w:val="nil"/>
                  </w:tcBorders>
                  <w:shd w:val="clear" w:color="auto" w:fill="auto"/>
                  <w:vAlign w:val="center"/>
                </w:tcPr>
                <w:p w14:paraId="4D2BE77A">
                  <w:pPr>
                    <w:adjustRightInd w:val="0"/>
                    <w:spacing w:line="240" w:lineRule="auto"/>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sz w:val="21"/>
                      <w:szCs w:val="21"/>
                      <w:highlight w:val="none"/>
                      <w:vertAlign w:val="baseline"/>
                      <w:lang w:val="en-US" w:eastAsia="zh-CN"/>
                    </w:rPr>
                    <w:t>北侧</w:t>
                  </w:r>
                </w:p>
              </w:tc>
              <w:tc>
                <w:tcPr>
                  <w:tcW w:w="1713" w:type="dxa"/>
                  <w:gridSpan w:val="2"/>
                  <w:tcBorders>
                    <w:tl2br w:val="nil"/>
                    <w:tr2bl w:val="nil"/>
                  </w:tcBorders>
                  <w:shd w:val="clear" w:color="auto" w:fill="auto"/>
                  <w:vAlign w:val="center"/>
                </w:tcPr>
                <w:p w14:paraId="6F8BBC99">
                  <w:pPr>
                    <w:adjustRightInd w:val="0"/>
                    <w:spacing w:line="240" w:lineRule="auto"/>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sz w:val="21"/>
                      <w:szCs w:val="21"/>
                      <w:highlight w:val="none"/>
                      <w:vertAlign w:val="baseline"/>
                      <w:lang w:val="en-US" w:eastAsia="zh-CN"/>
                    </w:rPr>
                    <w:t>34</w:t>
                  </w:r>
                </w:p>
              </w:tc>
              <w:tc>
                <w:tcPr>
                  <w:tcW w:w="3522" w:type="dxa"/>
                  <w:tcBorders>
                    <w:tl2br w:val="nil"/>
                    <w:tr2bl w:val="nil"/>
                  </w:tcBorders>
                  <w:shd w:val="clear" w:color="auto" w:fill="auto"/>
                  <w:vAlign w:val="center"/>
                </w:tcPr>
                <w:p w14:paraId="4959753E">
                  <w:pPr>
                    <w:adjustRightInd w:val="0"/>
                    <w:spacing w:line="240" w:lineRule="auto"/>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olor w:val="auto"/>
                      <w:sz w:val="24"/>
                      <w:highlight w:val="none"/>
                      <w:lang w:val="en-US" w:eastAsia="zh-CN"/>
                    </w:rPr>
                    <w:t>煤炭科学研究总院39号楼</w:t>
                  </w:r>
                </w:p>
              </w:tc>
            </w:tr>
            <w:tr w14:paraId="259720C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59" w:type="dxa"/>
                <w:trHeight w:val="408" w:hRule="atLeast"/>
              </w:trPr>
              <w:tc>
                <w:tcPr>
                  <w:tcW w:w="1189" w:type="dxa"/>
                  <w:tcBorders>
                    <w:tl2br w:val="nil"/>
                    <w:tr2bl w:val="nil"/>
                  </w:tcBorders>
                  <w:shd w:val="clear" w:color="auto" w:fill="auto"/>
                  <w:vAlign w:val="center"/>
                </w:tcPr>
                <w:p w14:paraId="7F135681">
                  <w:pPr>
                    <w:adjustRightInd w:val="0"/>
                    <w:spacing w:line="240" w:lineRule="auto"/>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sz w:val="21"/>
                      <w:szCs w:val="21"/>
                      <w:highlight w:val="none"/>
                      <w:vertAlign w:val="baseline"/>
                      <w:lang w:val="en-US" w:eastAsia="zh-CN"/>
                    </w:rPr>
                    <w:t>4</w:t>
                  </w:r>
                </w:p>
              </w:tc>
              <w:tc>
                <w:tcPr>
                  <w:tcW w:w="1390" w:type="dxa"/>
                  <w:tcBorders>
                    <w:tl2br w:val="nil"/>
                    <w:tr2bl w:val="nil"/>
                  </w:tcBorders>
                  <w:shd w:val="clear" w:color="auto" w:fill="auto"/>
                  <w:vAlign w:val="center"/>
                </w:tcPr>
                <w:p w14:paraId="7372DB97">
                  <w:pPr>
                    <w:adjustRightInd w:val="0"/>
                    <w:spacing w:line="240" w:lineRule="auto"/>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sz w:val="21"/>
                      <w:szCs w:val="21"/>
                      <w:highlight w:val="none"/>
                      <w:vertAlign w:val="baseline"/>
                      <w:lang w:val="en-US" w:eastAsia="zh-CN"/>
                    </w:rPr>
                    <w:t>西南侧</w:t>
                  </w:r>
                </w:p>
              </w:tc>
              <w:tc>
                <w:tcPr>
                  <w:tcW w:w="1713" w:type="dxa"/>
                  <w:gridSpan w:val="2"/>
                  <w:tcBorders>
                    <w:tl2br w:val="nil"/>
                    <w:tr2bl w:val="nil"/>
                  </w:tcBorders>
                  <w:shd w:val="clear" w:color="auto" w:fill="auto"/>
                  <w:vAlign w:val="center"/>
                </w:tcPr>
                <w:p w14:paraId="38E43D28">
                  <w:pPr>
                    <w:adjustRightInd w:val="0"/>
                    <w:spacing w:line="240" w:lineRule="auto"/>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kern w:val="2"/>
                      <w:sz w:val="21"/>
                      <w:szCs w:val="21"/>
                      <w:highlight w:val="none"/>
                      <w:vertAlign w:val="baseline"/>
                      <w:lang w:val="en-US" w:eastAsia="zh-CN" w:bidi="ar-SA"/>
                    </w:rPr>
                    <w:t>22</w:t>
                  </w:r>
                </w:p>
              </w:tc>
              <w:tc>
                <w:tcPr>
                  <w:tcW w:w="3522" w:type="dxa"/>
                  <w:tcBorders>
                    <w:tl2br w:val="nil"/>
                    <w:tr2bl w:val="nil"/>
                  </w:tcBorders>
                  <w:shd w:val="clear" w:color="auto" w:fill="auto"/>
                  <w:vAlign w:val="center"/>
                </w:tcPr>
                <w:p w14:paraId="0082A4C6">
                  <w:pPr>
                    <w:adjustRightInd w:val="0"/>
                    <w:spacing w:line="240" w:lineRule="auto"/>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olor w:val="auto"/>
                      <w:sz w:val="24"/>
                      <w:highlight w:val="none"/>
                      <w:lang w:val="en-US" w:eastAsia="zh-CN"/>
                    </w:rPr>
                    <w:t>煤炭科学研究总院家属楼</w:t>
                  </w:r>
                </w:p>
              </w:tc>
            </w:tr>
            <w:tr w14:paraId="3187770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59" w:type="dxa"/>
                <w:trHeight w:val="408" w:hRule="atLeast"/>
              </w:trPr>
              <w:tc>
                <w:tcPr>
                  <w:tcW w:w="1189" w:type="dxa"/>
                  <w:tcBorders>
                    <w:tl2br w:val="nil"/>
                    <w:tr2bl w:val="nil"/>
                  </w:tcBorders>
                  <w:shd w:val="clear" w:color="auto" w:fill="auto"/>
                  <w:vAlign w:val="center"/>
                </w:tcPr>
                <w:p w14:paraId="798ABD88">
                  <w:pPr>
                    <w:adjustRightInd w:val="0"/>
                    <w:spacing w:line="240" w:lineRule="auto"/>
                    <w:jc w:val="center"/>
                    <w:rPr>
                      <w:rFonts w:hint="default"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5</w:t>
                  </w:r>
                </w:p>
              </w:tc>
              <w:tc>
                <w:tcPr>
                  <w:tcW w:w="1390" w:type="dxa"/>
                  <w:tcBorders>
                    <w:tl2br w:val="nil"/>
                    <w:tr2bl w:val="nil"/>
                  </w:tcBorders>
                  <w:shd w:val="clear" w:color="auto" w:fill="auto"/>
                  <w:vAlign w:val="center"/>
                </w:tcPr>
                <w:p w14:paraId="0EF6C975">
                  <w:pPr>
                    <w:adjustRightInd w:val="0"/>
                    <w:spacing w:line="240" w:lineRule="auto"/>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kern w:val="2"/>
                      <w:sz w:val="21"/>
                      <w:szCs w:val="21"/>
                      <w:highlight w:val="none"/>
                      <w:vertAlign w:val="baseline"/>
                      <w:lang w:val="en-US" w:eastAsia="zh-CN" w:bidi="ar-SA"/>
                    </w:rPr>
                    <w:t>东</w:t>
                  </w:r>
                  <w:r>
                    <w:rPr>
                      <w:rFonts w:hint="eastAsia" w:eastAsia="宋体" w:cs="Times New Roman"/>
                      <w:color w:val="auto"/>
                      <w:kern w:val="2"/>
                      <w:sz w:val="21"/>
                      <w:szCs w:val="21"/>
                      <w:highlight w:val="none"/>
                      <w:vertAlign w:val="baseline"/>
                      <w:lang w:val="en-US" w:eastAsia="zh-CN" w:bidi="ar-SA"/>
                    </w:rPr>
                    <w:t>侧</w:t>
                  </w:r>
                </w:p>
              </w:tc>
              <w:tc>
                <w:tcPr>
                  <w:tcW w:w="1713" w:type="dxa"/>
                  <w:gridSpan w:val="2"/>
                  <w:tcBorders>
                    <w:tl2br w:val="nil"/>
                    <w:tr2bl w:val="nil"/>
                  </w:tcBorders>
                  <w:shd w:val="clear" w:color="auto" w:fill="auto"/>
                  <w:vAlign w:val="center"/>
                </w:tcPr>
                <w:p w14:paraId="40E45A09">
                  <w:pPr>
                    <w:adjustRightInd w:val="0"/>
                    <w:spacing w:line="240" w:lineRule="auto"/>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kern w:val="2"/>
                      <w:sz w:val="21"/>
                      <w:szCs w:val="21"/>
                      <w:highlight w:val="none"/>
                      <w:vertAlign w:val="baseline"/>
                      <w:lang w:val="en-US" w:eastAsia="zh-CN" w:bidi="ar-SA"/>
                    </w:rPr>
                    <w:t>145</w:t>
                  </w:r>
                </w:p>
              </w:tc>
              <w:tc>
                <w:tcPr>
                  <w:tcW w:w="3522" w:type="dxa"/>
                  <w:tcBorders>
                    <w:tl2br w:val="nil"/>
                    <w:tr2bl w:val="nil"/>
                  </w:tcBorders>
                  <w:shd w:val="clear" w:color="auto" w:fill="auto"/>
                  <w:vAlign w:val="center"/>
                </w:tcPr>
                <w:p w14:paraId="3A35F5C7">
                  <w:pPr>
                    <w:adjustRightInd w:val="0"/>
                    <w:spacing w:line="240" w:lineRule="auto"/>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sz w:val="24"/>
                      <w:highlight w:val="none"/>
                      <w:lang w:val="en-US" w:eastAsia="zh-CN"/>
                    </w:rPr>
                    <w:t>青年沟路（次干路）</w:t>
                  </w:r>
                </w:p>
              </w:tc>
            </w:tr>
            <w:tr w14:paraId="1EE3EC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986" w:type="dxa"/>
                  <w:gridSpan w:val="3"/>
                  <w:tcBorders>
                    <w:tl2br w:val="nil"/>
                    <w:tr2bl w:val="nil"/>
                  </w:tcBorders>
                </w:tcPr>
                <w:p w14:paraId="7A0E15D5">
                  <w:pPr>
                    <w:numPr>
                      <w:ilvl w:val="0"/>
                      <w:numId w:val="0"/>
                    </w:numPr>
                    <w:adjustRightInd w:val="0"/>
                    <w:spacing w:line="360" w:lineRule="auto"/>
                    <w:jc w:val="both"/>
                    <w:rPr>
                      <w:rFonts w:hint="eastAsia" w:ascii="Times New Roman" w:hAnsi="Times New Roman" w:eastAsia="宋体" w:cs="Times New Roman"/>
                      <w:color w:val="auto"/>
                      <w:sz w:val="24"/>
                      <w:highlight w:val="none"/>
                      <w:vertAlign w:val="baseline"/>
                      <w:lang w:eastAsia="zh-CN"/>
                    </w:rPr>
                  </w:pPr>
                  <w:r>
                    <w:rPr>
                      <w:rFonts w:hint="eastAsia" w:ascii="Times New Roman" w:hAnsi="Times New Roman" w:eastAsia="宋体" w:cs="Times New Roman"/>
                      <w:color w:val="auto"/>
                      <w:sz w:val="24"/>
                      <w:highlight w:val="none"/>
                      <w:vertAlign w:val="baseline"/>
                      <w:lang w:eastAsia="zh-CN"/>
                    </w:rPr>
                    <w:drawing>
                      <wp:inline distT="0" distB="0" distL="114300" distR="114300">
                        <wp:extent cx="2392045" cy="1794510"/>
                        <wp:effectExtent l="0" t="0" r="635" b="3810"/>
                        <wp:docPr id="15" name="图片 15" descr="995a1f7aa7aa1ed3016ddd9900764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995a1f7aa7aa1ed3016ddd9900764ad"/>
                                <pic:cNvPicPr>
                                  <a:picLocks noChangeAspect="1"/>
                                </pic:cNvPicPr>
                              </pic:nvPicPr>
                              <pic:blipFill>
                                <a:blip r:embed="rId14"/>
                                <a:stretch>
                                  <a:fillRect/>
                                </a:stretch>
                              </pic:blipFill>
                              <pic:spPr>
                                <a:xfrm>
                                  <a:off x="0" y="0"/>
                                  <a:ext cx="2392045" cy="1794510"/>
                                </a:xfrm>
                                <a:prstGeom prst="rect">
                                  <a:avLst/>
                                </a:prstGeom>
                              </pic:spPr>
                            </pic:pic>
                          </a:graphicData>
                        </a:graphic>
                      </wp:inline>
                    </w:drawing>
                  </w:r>
                </w:p>
              </w:tc>
              <w:tc>
                <w:tcPr>
                  <w:tcW w:w="3987" w:type="dxa"/>
                  <w:gridSpan w:val="3"/>
                  <w:tcBorders>
                    <w:tl2br w:val="nil"/>
                    <w:tr2bl w:val="nil"/>
                  </w:tcBorders>
                </w:tcPr>
                <w:p w14:paraId="68E4FEB7">
                  <w:pPr>
                    <w:numPr>
                      <w:ilvl w:val="0"/>
                      <w:numId w:val="0"/>
                    </w:numPr>
                    <w:adjustRightInd w:val="0"/>
                    <w:spacing w:line="360" w:lineRule="auto"/>
                    <w:jc w:val="both"/>
                    <w:rPr>
                      <w:rFonts w:hint="eastAsia" w:ascii="Times New Roman" w:hAnsi="Times New Roman" w:eastAsia="宋体" w:cs="Times New Roman"/>
                      <w:color w:val="auto"/>
                      <w:sz w:val="24"/>
                      <w:highlight w:val="none"/>
                      <w:vertAlign w:val="baseline"/>
                      <w:lang w:eastAsia="zh-CN"/>
                    </w:rPr>
                  </w:pPr>
                  <w:r>
                    <w:rPr>
                      <w:rFonts w:hint="eastAsia" w:ascii="Times New Roman" w:hAnsi="Times New Roman" w:eastAsia="宋体" w:cs="Times New Roman"/>
                      <w:color w:val="auto"/>
                      <w:sz w:val="24"/>
                      <w:highlight w:val="none"/>
                      <w:vertAlign w:val="baseline"/>
                      <w:lang w:eastAsia="zh-CN"/>
                    </w:rPr>
                    <w:drawing>
                      <wp:inline distT="0" distB="0" distL="114300" distR="114300">
                        <wp:extent cx="2392045" cy="1794510"/>
                        <wp:effectExtent l="0" t="0" r="635" b="3810"/>
                        <wp:docPr id="16" name="图片 16" descr="22d8b4acaf83ac05c4fa8dbcd82e7c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22d8b4acaf83ac05c4fa8dbcd82e7c3"/>
                                <pic:cNvPicPr>
                                  <a:picLocks noChangeAspect="1"/>
                                </pic:cNvPicPr>
                              </pic:nvPicPr>
                              <pic:blipFill>
                                <a:blip r:embed="rId15"/>
                                <a:stretch>
                                  <a:fillRect/>
                                </a:stretch>
                              </pic:blipFill>
                              <pic:spPr>
                                <a:xfrm>
                                  <a:off x="0" y="0"/>
                                  <a:ext cx="2392045" cy="1794510"/>
                                </a:xfrm>
                                <a:prstGeom prst="rect">
                                  <a:avLst/>
                                </a:prstGeom>
                              </pic:spPr>
                            </pic:pic>
                          </a:graphicData>
                        </a:graphic>
                      </wp:inline>
                    </w:drawing>
                  </w:r>
                </w:p>
              </w:tc>
            </w:tr>
            <w:tr w14:paraId="117949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986" w:type="dxa"/>
                  <w:gridSpan w:val="3"/>
                  <w:tcBorders>
                    <w:tl2br w:val="nil"/>
                    <w:tr2bl w:val="nil"/>
                  </w:tcBorders>
                </w:tcPr>
                <w:p w14:paraId="2E8C3FF3">
                  <w:pPr>
                    <w:numPr>
                      <w:ilvl w:val="0"/>
                      <w:numId w:val="0"/>
                    </w:numPr>
                    <w:adjustRightInd w:val="0"/>
                    <w:spacing w:line="360" w:lineRule="auto"/>
                    <w:jc w:val="center"/>
                    <w:rPr>
                      <w:rFonts w:hint="default" w:ascii="Times New Roman" w:hAnsi="Times New Roman" w:eastAsia="宋体" w:cs="Times New Roman"/>
                      <w:color w:val="auto"/>
                      <w:sz w:val="24"/>
                      <w:highlight w:val="none"/>
                      <w:vertAlign w:val="baseline"/>
                      <w:lang w:val="en-US" w:eastAsia="zh-CN"/>
                    </w:rPr>
                  </w:pPr>
                  <w:r>
                    <w:rPr>
                      <w:rFonts w:hint="eastAsia" w:cs="Times New Roman"/>
                      <w:color w:val="auto"/>
                      <w:sz w:val="24"/>
                      <w:highlight w:val="none"/>
                      <w:vertAlign w:val="baseline"/>
                      <w:lang w:val="en-US" w:eastAsia="zh-CN"/>
                    </w:rPr>
                    <w:t>项目东侧道路</w:t>
                  </w:r>
                </w:p>
              </w:tc>
              <w:tc>
                <w:tcPr>
                  <w:tcW w:w="3987" w:type="dxa"/>
                  <w:gridSpan w:val="3"/>
                  <w:tcBorders>
                    <w:tl2br w:val="nil"/>
                    <w:tr2bl w:val="nil"/>
                  </w:tcBorders>
                </w:tcPr>
                <w:p w14:paraId="1E02A432">
                  <w:pPr>
                    <w:numPr>
                      <w:ilvl w:val="0"/>
                      <w:numId w:val="0"/>
                    </w:numPr>
                    <w:adjustRightInd w:val="0"/>
                    <w:spacing w:line="360" w:lineRule="auto"/>
                    <w:jc w:val="center"/>
                    <w:rPr>
                      <w:rFonts w:hint="default" w:ascii="Times New Roman" w:hAnsi="Times New Roman" w:eastAsia="宋体" w:cs="Times New Roman"/>
                      <w:color w:val="auto"/>
                      <w:sz w:val="24"/>
                      <w:highlight w:val="none"/>
                      <w:vertAlign w:val="baseline"/>
                    </w:rPr>
                  </w:pPr>
                  <w:r>
                    <w:rPr>
                      <w:rFonts w:hint="eastAsia" w:cs="Times New Roman"/>
                      <w:color w:val="auto"/>
                      <w:sz w:val="24"/>
                      <w:highlight w:val="none"/>
                      <w:vertAlign w:val="baseline"/>
                      <w:lang w:val="en-US" w:eastAsia="zh-CN"/>
                    </w:rPr>
                    <w:t>项目南侧道路</w:t>
                  </w:r>
                </w:p>
              </w:tc>
            </w:tr>
            <w:tr w14:paraId="1819FB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986" w:type="dxa"/>
                  <w:gridSpan w:val="3"/>
                  <w:tcBorders>
                    <w:tl2br w:val="nil"/>
                    <w:tr2bl w:val="nil"/>
                  </w:tcBorders>
                </w:tcPr>
                <w:p w14:paraId="62D50FF7">
                  <w:pPr>
                    <w:numPr>
                      <w:ilvl w:val="0"/>
                      <w:numId w:val="0"/>
                    </w:numPr>
                    <w:adjustRightInd w:val="0"/>
                    <w:spacing w:line="360" w:lineRule="auto"/>
                    <w:jc w:val="center"/>
                    <w:rPr>
                      <w:rFonts w:hint="eastAsia" w:ascii="Times New Roman" w:hAnsi="Times New Roman" w:eastAsia="宋体" w:cs="Times New Roman"/>
                      <w:color w:val="auto"/>
                      <w:sz w:val="24"/>
                      <w:highlight w:val="none"/>
                      <w:vertAlign w:val="baseline"/>
                      <w:lang w:eastAsia="zh-CN"/>
                    </w:rPr>
                  </w:pPr>
                  <w:r>
                    <w:rPr>
                      <w:rFonts w:hint="eastAsia" w:ascii="Times New Roman" w:hAnsi="Times New Roman" w:eastAsia="宋体" w:cs="Times New Roman"/>
                      <w:color w:val="auto"/>
                      <w:sz w:val="24"/>
                      <w:highlight w:val="none"/>
                      <w:vertAlign w:val="baseline"/>
                      <w:lang w:eastAsia="zh-CN"/>
                    </w:rPr>
                    <w:drawing>
                      <wp:inline distT="0" distB="0" distL="114300" distR="114300">
                        <wp:extent cx="2385060" cy="1857375"/>
                        <wp:effectExtent l="0" t="0" r="7620" b="1905"/>
                        <wp:docPr id="19" name="图片 19" descr="a6231f01260c4c195e3dc93d53988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a6231f01260c4c195e3dc93d5398803"/>
                                <pic:cNvPicPr>
                                  <a:picLocks noChangeAspect="1"/>
                                </pic:cNvPicPr>
                              </pic:nvPicPr>
                              <pic:blipFill>
                                <a:blip r:embed="rId16"/>
                                <a:stretch>
                                  <a:fillRect/>
                                </a:stretch>
                              </pic:blipFill>
                              <pic:spPr>
                                <a:xfrm>
                                  <a:off x="0" y="0"/>
                                  <a:ext cx="2385060" cy="1857375"/>
                                </a:xfrm>
                                <a:prstGeom prst="rect">
                                  <a:avLst/>
                                </a:prstGeom>
                              </pic:spPr>
                            </pic:pic>
                          </a:graphicData>
                        </a:graphic>
                      </wp:inline>
                    </w:drawing>
                  </w:r>
                </w:p>
              </w:tc>
              <w:tc>
                <w:tcPr>
                  <w:tcW w:w="3987" w:type="dxa"/>
                  <w:gridSpan w:val="3"/>
                  <w:tcBorders>
                    <w:tl2br w:val="nil"/>
                    <w:tr2bl w:val="nil"/>
                  </w:tcBorders>
                </w:tcPr>
                <w:p w14:paraId="2E6E2DAC">
                  <w:pPr>
                    <w:numPr>
                      <w:ilvl w:val="0"/>
                      <w:numId w:val="0"/>
                    </w:numPr>
                    <w:adjustRightInd w:val="0"/>
                    <w:spacing w:line="360" w:lineRule="auto"/>
                    <w:jc w:val="center"/>
                    <w:rPr>
                      <w:rFonts w:hint="eastAsia" w:ascii="Times New Roman" w:hAnsi="Times New Roman" w:eastAsia="宋体" w:cs="Times New Roman"/>
                      <w:color w:val="auto"/>
                      <w:sz w:val="24"/>
                      <w:highlight w:val="none"/>
                      <w:vertAlign w:val="baseline"/>
                      <w:lang w:eastAsia="zh-CN"/>
                    </w:rPr>
                  </w:pPr>
                  <w:r>
                    <w:rPr>
                      <w:rFonts w:hint="eastAsia" w:ascii="Times New Roman" w:hAnsi="Times New Roman" w:eastAsia="宋体" w:cs="Times New Roman"/>
                      <w:color w:val="auto"/>
                      <w:sz w:val="24"/>
                      <w:highlight w:val="none"/>
                      <w:vertAlign w:val="baseline"/>
                      <w:lang w:eastAsia="zh-CN"/>
                    </w:rPr>
                    <w:drawing>
                      <wp:inline distT="0" distB="0" distL="114300" distR="114300">
                        <wp:extent cx="2392045" cy="1794510"/>
                        <wp:effectExtent l="0" t="0" r="635" b="3810"/>
                        <wp:docPr id="17" name="图片 17" descr="7fa43c24212b766483d32609b91aad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7fa43c24212b766483d32609b91aad2"/>
                                <pic:cNvPicPr>
                                  <a:picLocks noChangeAspect="1"/>
                                </pic:cNvPicPr>
                              </pic:nvPicPr>
                              <pic:blipFill>
                                <a:blip r:embed="rId17"/>
                                <a:stretch>
                                  <a:fillRect/>
                                </a:stretch>
                              </pic:blipFill>
                              <pic:spPr>
                                <a:xfrm>
                                  <a:off x="0" y="0"/>
                                  <a:ext cx="2392045" cy="1794510"/>
                                </a:xfrm>
                                <a:prstGeom prst="rect">
                                  <a:avLst/>
                                </a:prstGeom>
                              </pic:spPr>
                            </pic:pic>
                          </a:graphicData>
                        </a:graphic>
                      </wp:inline>
                    </w:drawing>
                  </w:r>
                </w:p>
              </w:tc>
            </w:tr>
            <w:tr w14:paraId="42188B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3986" w:type="dxa"/>
                  <w:gridSpan w:val="3"/>
                  <w:tcBorders>
                    <w:tl2br w:val="nil"/>
                    <w:tr2bl w:val="nil"/>
                  </w:tcBorders>
                </w:tcPr>
                <w:p w14:paraId="51428F5F">
                  <w:pPr>
                    <w:numPr>
                      <w:ilvl w:val="0"/>
                      <w:numId w:val="0"/>
                    </w:numPr>
                    <w:adjustRightInd w:val="0"/>
                    <w:spacing w:line="360" w:lineRule="auto"/>
                    <w:jc w:val="center"/>
                    <w:rPr>
                      <w:rFonts w:hint="default" w:ascii="Times New Roman" w:hAnsi="Times New Roman" w:eastAsia="宋体" w:cs="Times New Roman"/>
                      <w:color w:val="auto"/>
                      <w:sz w:val="24"/>
                      <w:highlight w:val="none"/>
                      <w:vertAlign w:val="baseline"/>
                    </w:rPr>
                  </w:pPr>
                  <w:r>
                    <w:rPr>
                      <w:rFonts w:hint="eastAsia" w:cs="Times New Roman"/>
                      <w:color w:val="auto"/>
                      <w:sz w:val="24"/>
                      <w:highlight w:val="none"/>
                      <w:vertAlign w:val="baseline"/>
                      <w:lang w:val="en-US" w:eastAsia="zh-CN"/>
                    </w:rPr>
                    <w:t>项目西侧道路</w:t>
                  </w:r>
                </w:p>
              </w:tc>
              <w:tc>
                <w:tcPr>
                  <w:tcW w:w="3987" w:type="dxa"/>
                  <w:gridSpan w:val="3"/>
                  <w:tcBorders>
                    <w:tl2br w:val="nil"/>
                    <w:tr2bl w:val="nil"/>
                  </w:tcBorders>
                </w:tcPr>
                <w:p w14:paraId="7456FFE8">
                  <w:pPr>
                    <w:numPr>
                      <w:ilvl w:val="0"/>
                      <w:numId w:val="0"/>
                    </w:numPr>
                    <w:adjustRightInd w:val="0"/>
                    <w:spacing w:line="360" w:lineRule="auto"/>
                    <w:jc w:val="center"/>
                    <w:rPr>
                      <w:rFonts w:hint="default" w:ascii="Times New Roman" w:hAnsi="Times New Roman" w:eastAsia="宋体" w:cs="Times New Roman"/>
                      <w:color w:val="auto"/>
                      <w:sz w:val="24"/>
                      <w:highlight w:val="none"/>
                      <w:vertAlign w:val="baseline"/>
                    </w:rPr>
                  </w:pPr>
                  <w:r>
                    <w:rPr>
                      <w:rFonts w:hint="eastAsia" w:cs="Times New Roman"/>
                      <w:color w:val="auto"/>
                      <w:sz w:val="24"/>
                      <w:highlight w:val="none"/>
                      <w:vertAlign w:val="baseline"/>
                      <w:lang w:val="en-US" w:eastAsia="zh-CN"/>
                    </w:rPr>
                    <w:t>项目北侧道路</w:t>
                  </w:r>
                </w:p>
              </w:tc>
            </w:tr>
          </w:tbl>
          <w:p w14:paraId="511E0F45">
            <w:pPr>
              <w:numPr>
                <w:ilvl w:val="0"/>
                <w:numId w:val="11"/>
              </w:numPr>
              <w:adjustRightInd w:val="0"/>
              <w:spacing w:line="360" w:lineRule="auto"/>
              <w:ind w:left="425" w:leftChars="0" w:hanging="425" w:firstLineChars="0"/>
              <w:jc w:val="center"/>
              <w:rPr>
                <w:rFonts w:hint="default" w:ascii="Times New Roman" w:hAnsi="Times New Roman" w:eastAsia="宋体" w:cs="Times New Roman"/>
                <w:color w:val="auto"/>
                <w:sz w:val="24"/>
                <w:highlight w:val="none"/>
              </w:rPr>
            </w:pPr>
            <w:r>
              <w:rPr>
                <w:rFonts w:hint="eastAsia" w:cs="Times New Roman"/>
                <w:b/>
                <w:color w:val="auto"/>
                <w:sz w:val="24"/>
                <w:highlight w:val="none"/>
                <w:lang w:val="en-US" w:eastAsia="zh-CN"/>
              </w:rPr>
              <w:t>项目周边照片</w:t>
            </w:r>
          </w:p>
        </w:tc>
      </w:tr>
      <w:tr w14:paraId="1EF500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818" w:type="dxa"/>
            <w:vAlign w:val="center"/>
          </w:tcPr>
          <w:p w14:paraId="7C66032D">
            <w:pPr>
              <w:pStyle w:val="20"/>
              <w:adjustRightInd w:val="0"/>
              <w:snapToGrid w:val="0"/>
              <w:spacing w:before="0" w:beforeAutospacing="0" w:after="0" w:afterAutospacing="0"/>
              <w:jc w:val="center"/>
              <w:rPr>
                <w:rFonts w:hint="default" w:ascii="Times New Roman" w:hAnsi="Times New Roman" w:eastAsia="宋体" w:cs="Times New Roman"/>
                <w:color w:val="auto"/>
                <w:szCs w:val="24"/>
                <w:highlight w:val="none"/>
              </w:rPr>
            </w:pPr>
            <w:r>
              <w:rPr>
                <w:rFonts w:hint="default" w:ascii="Times New Roman" w:hAnsi="Times New Roman" w:eastAsia="宋体" w:cs="Times New Roman"/>
                <w:color w:val="auto"/>
                <w:szCs w:val="24"/>
                <w:highlight w:val="none"/>
              </w:rPr>
              <w:t>工艺流程和产排污环节</w:t>
            </w:r>
          </w:p>
        </w:tc>
        <w:tc>
          <w:tcPr>
            <w:tcW w:w="8189" w:type="dxa"/>
          </w:tcPr>
          <w:p w14:paraId="4E71AAD0">
            <w:pPr>
              <w:adjustRightInd w:val="0"/>
              <w:snapToGrid w:val="0"/>
              <w:spacing w:line="360" w:lineRule="auto"/>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lang w:val="en-US" w:eastAsia="zh-CN"/>
              </w:rPr>
              <w:t>一、</w:t>
            </w:r>
            <w:r>
              <w:rPr>
                <w:rFonts w:hint="default" w:ascii="Times New Roman" w:hAnsi="Times New Roman" w:eastAsia="宋体" w:cs="Times New Roman"/>
                <w:b/>
                <w:bCs/>
                <w:color w:val="auto"/>
                <w:sz w:val="24"/>
                <w:highlight w:val="none"/>
              </w:rPr>
              <w:t>施工期</w:t>
            </w:r>
          </w:p>
          <w:p w14:paraId="40867B67">
            <w:pPr>
              <w:adjustRightInd w:val="0"/>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drawing>
                <wp:anchor distT="0" distB="0" distL="114300" distR="114300" simplePos="0" relativeHeight="251663360" behindDoc="0" locked="0" layoutInCell="1" allowOverlap="1">
                  <wp:simplePos x="0" y="0"/>
                  <wp:positionH relativeFrom="column">
                    <wp:posOffset>339090</wp:posOffset>
                  </wp:positionH>
                  <wp:positionV relativeFrom="paragraph">
                    <wp:posOffset>1166495</wp:posOffset>
                  </wp:positionV>
                  <wp:extent cx="4314825" cy="1774825"/>
                  <wp:effectExtent l="0" t="0" r="0" b="0"/>
                  <wp:wrapTopAndBottom/>
                  <wp:docPr id="150" name="ECB019B1-382A-4266-B25C-5B523AA43C14-1" descr="C:/Users/Administrator/AppData/Local/Temp/wps.sOBRPn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ECB019B1-382A-4266-B25C-5B523AA43C14-1" descr="C:/Users/Administrator/AppData/Local/Temp/wps.sOBRPnwps"/>
                          <pic:cNvPicPr>
                            <a:picLocks noChangeAspect="1"/>
                          </pic:cNvPicPr>
                        </pic:nvPicPr>
                        <pic:blipFill>
                          <a:blip r:embed="rId18"/>
                          <a:srcRect t="10967" b="5363"/>
                          <a:stretch>
                            <a:fillRect/>
                          </a:stretch>
                        </pic:blipFill>
                        <pic:spPr>
                          <a:xfrm>
                            <a:off x="0" y="0"/>
                            <a:ext cx="4314825" cy="1774825"/>
                          </a:xfrm>
                          <a:prstGeom prst="rect">
                            <a:avLst/>
                          </a:prstGeom>
                        </pic:spPr>
                      </pic:pic>
                    </a:graphicData>
                  </a:graphic>
                </wp:anchor>
              </w:drawing>
            </w:r>
            <w:r>
              <w:rPr>
                <w:rFonts w:hint="default" w:ascii="Times New Roman" w:hAnsi="Times New Roman" w:eastAsia="宋体" w:cs="Times New Roman"/>
                <w:color w:val="auto"/>
                <w:sz w:val="24"/>
                <w:highlight w:val="none"/>
              </w:rPr>
              <w:t>本项目利用已建成房屋作为项目场所，施工期仅为厂房内简单装修和设备安装。主要污染物为施工噪声、施工人员生活污水，同时产生少量施工扬尘、施工固体废物（装修垃圾和生活垃圾）。随着施工期的结束，对环境的影响也随之消失。</w:t>
            </w:r>
          </w:p>
          <w:p w14:paraId="5A0DC028">
            <w:pPr>
              <w:numPr>
                <w:ilvl w:val="0"/>
                <w:numId w:val="11"/>
              </w:numPr>
              <w:adjustRightInd w:val="0"/>
              <w:spacing w:line="360" w:lineRule="auto"/>
              <w:ind w:left="425" w:leftChars="0" w:hanging="425" w:firstLineChars="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b/>
                <w:bCs/>
                <w:color w:val="auto"/>
                <w:sz w:val="24"/>
                <w:szCs w:val="32"/>
                <w:highlight w:val="none"/>
              </w:rPr>
              <w:t xml:space="preserve"> 项目施工期流程及产污节点图</w:t>
            </w:r>
          </w:p>
          <w:p w14:paraId="4001FB6E">
            <w:pPr>
              <w:adjustRightInd w:val="0"/>
              <w:snapToGrid w:val="0"/>
              <w:spacing w:line="360" w:lineRule="auto"/>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二、运营期</w:t>
            </w:r>
          </w:p>
          <w:p w14:paraId="3F571E6B">
            <w:pPr>
              <w:adjustRightInd w:val="0"/>
              <w:snapToGrid w:val="0"/>
              <w:spacing w:line="360" w:lineRule="auto"/>
              <w:ind w:firstLine="482" w:firstLineChars="200"/>
              <w:rPr>
                <w:rFonts w:hint="eastAsia"/>
                <w:b/>
                <w:sz w:val="24"/>
                <w:highlight w:val="yellow"/>
              </w:rPr>
            </w:pPr>
            <w:r>
              <w:rPr>
                <w:rFonts w:hint="eastAsia"/>
                <w:b/>
                <w:sz w:val="24"/>
                <w:highlight w:val="yellow"/>
              </w:rPr>
              <w:object>
                <v:shape id="_x0000_i1027" o:spt="75" type="#_x0000_t75" style="height:208.85pt;width:342.15pt;" o:ole="t" filled="f" o:preferrelative="t" stroked="f" coordsize="21600,21600">
                  <v:path/>
                  <v:fill on="f" focussize="0,0"/>
                  <v:stroke on="f"/>
                  <v:imagedata r:id="rId20" o:title=""/>
                  <o:lock v:ext="edit" aspectratio="f"/>
                  <w10:wrap type="none"/>
                  <w10:anchorlock/>
                </v:shape>
                <o:OLEObject Type="Embed" ProgID="Visio.Drawing.15" ShapeID="_x0000_i1027" DrawAspect="Content" ObjectID="_1468075727" r:id="rId19">
                  <o:LockedField>false</o:LockedField>
                </o:OLEObject>
              </w:object>
            </w:r>
          </w:p>
          <w:p w14:paraId="664F48BF">
            <w:pPr>
              <w:numPr>
                <w:ilvl w:val="0"/>
                <w:numId w:val="11"/>
              </w:numPr>
              <w:adjustRightInd w:val="0"/>
              <w:spacing w:line="360" w:lineRule="auto"/>
              <w:ind w:left="425" w:leftChars="0" w:hanging="425" w:firstLineChars="0"/>
              <w:jc w:val="center"/>
              <w:rPr>
                <w:rFonts w:hint="default" w:ascii="Times New Roman" w:hAnsi="Times New Roman" w:eastAsia="宋体" w:cs="Times New Roman"/>
                <w:color w:val="auto"/>
                <w:sz w:val="24"/>
                <w:highlight w:val="none"/>
              </w:rPr>
            </w:pPr>
            <w:r>
              <w:rPr>
                <w:rFonts w:hint="eastAsia" w:cs="Times New Roman"/>
                <w:b/>
                <w:bCs/>
                <w:color w:val="auto"/>
                <w:sz w:val="24"/>
                <w:szCs w:val="32"/>
                <w:highlight w:val="none"/>
                <w:lang w:val="en-US" w:eastAsia="zh-CN"/>
              </w:rPr>
              <w:t>电池材料研发实验</w:t>
            </w:r>
            <w:r>
              <w:rPr>
                <w:rFonts w:hint="default" w:ascii="Times New Roman" w:hAnsi="Times New Roman" w:eastAsia="宋体" w:cs="Times New Roman"/>
                <w:b/>
                <w:bCs/>
                <w:color w:val="auto"/>
                <w:sz w:val="24"/>
                <w:szCs w:val="32"/>
                <w:highlight w:val="none"/>
              </w:rPr>
              <w:t>流程及产污节点图</w:t>
            </w:r>
          </w:p>
          <w:p w14:paraId="2E78495A">
            <w:pPr>
              <w:adjustRightInd w:val="0"/>
              <w:snapToGrid w:val="0"/>
              <w:spacing w:line="360" w:lineRule="auto"/>
              <w:ind w:firstLine="482" w:firstLineChars="200"/>
              <w:rPr>
                <w:rFonts w:hint="default" w:eastAsia="宋体"/>
                <w:b/>
                <w:sz w:val="24"/>
                <w:highlight w:val="yellow"/>
                <w:lang w:val="en-US" w:eastAsia="zh-CN"/>
              </w:rPr>
            </w:pPr>
            <w:r>
              <w:rPr>
                <w:rFonts w:hint="eastAsia"/>
                <w:b/>
                <w:sz w:val="24"/>
                <w:highlight w:val="yellow"/>
              </w:rPr>
              <w:t>1、电池材料</w:t>
            </w:r>
            <w:r>
              <w:rPr>
                <w:rFonts w:hint="eastAsia"/>
                <w:b/>
                <w:sz w:val="24"/>
                <w:highlight w:val="yellow"/>
                <w:lang w:val="en-US" w:eastAsia="zh-CN"/>
              </w:rPr>
              <w:t>研发实验</w:t>
            </w:r>
          </w:p>
          <w:p w14:paraId="6B174620">
            <w:pPr>
              <w:adjustRightInd w:val="0"/>
              <w:snapToGrid w:val="0"/>
              <w:spacing w:line="360" w:lineRule="auto"/>
              <w:ind w:firstLine="480" w:firstLineChars="200"/>
              <w:rPr>
                <w:rFonts w:hint="default" w:eastAsia="宋体"/>
                <w:bCs/>
                <w:sz w:val="24"/>
                <w:highlight w:val="yellow"/>
                <w:lang w:val="en-US" w:eastAsia="zh-CN"/>
              </w:rPr>
            </w:pPr>
            <w:r>
              <w:rPr>
                <w:rFonts w:hint="eastAsia"/>
                <w:bCs/>
                <w:sz w:val="24"/>
                <w:highlight w:val="yellow"/>
              </w:rPr>
              <w:t>1）</w:t>
            </w:r>
            <w:r>
              <w:rPr>
                <w:rFonts w:hint="eastAsia"/>
                <w:sz w:val="24"/>
                <w:highlight w:val="yellow"/>
                <w:lang w:val="en-US" w:eastAsia="zh-CN"/>
              </w:rPr>
              <w:t>浆料制备</w:t>
            </w:r>
            <w:r>
              <w:rPr>
                <w:rFonts w:hint="eastAsia"/>
                <w:bCs/>
                <w:sz w:val="24"/>
                <w:highlight w:val="yellow"/>
              </w:rPr>
              <w:t>：使用天平</w:t>
            </w:r>
            <w:r>
              <w:rPr>
                <w:rFonts w:hint="eastAsia"/>
                <w:bCs/>
                <w:sz w:val="24"/>
                <w:highlight w:val="yellow"/>
                <w:lang w:val="en-US" w:eastAsia="zh-CN"/>
              </w:rPr>
              <w:t>在烧杯中</w:t>
            </w:r>
            <w:r>
              <w:rPr>
                <w:rFonts w:hint="eastAsia"/>
                <w:bCs/>
                <w:sz w:val="24"/>
                <w:highlight w:val="yellow"/>
              </w:rPr>
              <w:t>称取一定质量的</w:t>
            </w:r>
            <w:r>
              <w:rPr>
                <w:rFonts w:hint="eastAsia"/>
                <w:bCs/>
                <w:sz w:val="24"/>
                <w:highlight w:val="yellow"/>
                <w:lang w:val="en-US" w:eastAsia="zh-CN"/>
              </w:rPr>
              <w:t>磷酸</w:t>
            </w:r>
            <w:r>
              <w:rPr>
                <w:rFonts w:hint="eastAsia"/>
                <w:bCs/>
                <w:sz w:val="24"/>
                <w:highlight w:val="yellow"/>
              </w:rPr>
              <w:t>亚铁、</w:t>
            </w:r>
            <w:r>
              <w:rPr>
                <w:rFonts w:hint="eastAsia"/>
                <w:bCs/>
                <w:sz w:val="24"/>
                <w:highlight w:val="yellow"/>
                <w:lang w:val="en-US" w:eastAsia="zh-CN"/>
              </w:rPr>
              <w:t>碳酸</w:t>
            </w:r>
            <w:r>
              <w:rPr>
                <w:rFonts w:hint="eastAsia"/>
                <w:bCs/>
                <w:sz w:val="24"/>
                <w:highlight w:val="yellow"/>
              </w:rPr>
              <w:t>锂、葡萄糖</w:t>
            </w:r>
            <w:r>
              <w:rPr>
                <w:rFonts w:hint="eastAsia"/>
                <w:bCs/>
                <w:sz w:val="24"/>
                <w:highlight w:val="yellow"/>
                <w:lang w:eastAsia="zh-CN"/>
              </w:rPr>
              <w:t>，</w:t>
            </w:r>
            <w:r>
              <w:rPr>
                <w:rFonts w:hint="eastAsia"/>
                <w:bCs/>
                <w:sz w:val="24"/>
                <w:highlight w:val="yellow"/>
              </w:rPr>
              <w:t>加入</w:t>
            </w:r>
            <w:r>
              <w:rPr>
                <w:rFonts w:hint="eastAsia"/>
                <w:bCs/>
                <w:sz w:val="24"/>
                <w:highlight w:val="yellow"/>
                <w:lang w:val="en-US" w:eastAsia="zh-CN"/>
              </w:rPr>
              <w:t>一定量纯水，在行星式</w:t>
            </w:r>
            <w:r>
              <w:rPr>
                <w:rFonts w:hint="eastAsia"/>
                <w:bCs/>
                <w:sz w:val="24"/>
                <w:highlight w:val="yellow"/>
              </w:rPr>
              <w:t>球磨机中进行球磨搅拌</w:t>
            </w:r>
            <w:r>
              <w:rPr>
                <w:rFonts w:hint="eastAsia"/>
                <w:bCs/>
                <w:sz w:val="24"/>
                <w:highlight w:val="yellow"/>
                <w:lang w:eastAsia="zh-CN"/>
              </w:rPr>
              <w:t>，</w:t>
            </w:r>
            <w:r>
              <w:rPr>
                <w:rFonts w:hint="eastAsia"/>
                <w:bCs/>
                <w:sz w:val="24"/>
                <w:highlight w:val="yellow"/>
              </w:rPr>
              <w:t>得到混合浆料。</w:t>
            </w:r>
            <w:r>
              <w:rPr>
                <w:rFonts w:hint="eastAsia"/>
                <w:bCs/>
                <w:sz w:val="24"/>
                <w:highlight w:val="yellow"/>
                <w:lang w:val="en-US" w:eastAsia="zh-CN"/>
              </w:rPr>
              <w:t>行星式</w:t>
            </w:r>
            <w:r>
              <w:rPr>
                <w:rFonts w:hint="eastAsia"/>
                <w:bCs/>
                <w:sz w:val="24"/>
                <w:highlight w:val="yellow"/>
              </w:rPr>
              <w:t>球磨机</w:t>
            </w:r>
            <w:r>
              <w:rPr>
                <w:rFonts w:hint="eastAsia"/>
                <w:bCs/>
                <w:sz w:val="24"/>
                <w:highlight w:val="yellow"/>
                <w:lang w:val="en-US" w:eastAsia="zh-CN"/>
              </w:rPr>
              <w:t>为密闭设备。</w:t>
            </w:r>
          </w:p>
          <w:p w14:paraId="13E65A67">
            <w:pPr>
              <w:adjustRightInd w:val="0"/>
              <w:snapToGrid w:val="0"/>
              <w:spacing w:line="360" w:lineRule="auto"/>
              <w:ind w:firstLine="482" w:firstLineChars="200"/>
              <w:rPr>
                <w:rFonts w:hint="eastAsia"/>
                <w:b/>
                <w:sz w:val="24"/>
                <w:highlight w:val="yellow"/>
              </w:rPr>
            </w:pPr>
            <w:r>
              <w:rPr>
                <w:rFonts w:hint="eastAsia"/>
                <w:b/>
                <w:sz w:val="24"/>
                <w:highlight w:val="yellow"/>
              </w:rPr>
              <w:t>该过程产生</w:t>
            </w:r>
            <w:r>
              <w:rPr>
                <w:rFonts w:hint="eastAsia"/>
                <w:b/>
                <w:sz w:val="24"/>
                <w:highlight w:val="yellow"/>
                <w:lang w:val="en-US" w:eastAsia="zh-CN"/>
              </w:rPr>
              <w:t>清洗废液S1、</w:t>
            </w:r>
            <w:r>
              <w:rPr>
                <w:rFonts w:hint="eastAsia"/>
                <w:b/>
                <w:sz w:val="24"/>
                <w:highlight w:val="yellow"/>
              </w:rPr>
              <w:t>清洗废水W1、设备运行噪声N。</w:t>
            </w:r>
          </w:p>
          <w:p w14:paraId="343B6E61">
            <w:pPr>
              <w:adjustRightInd w:val="0"/>
              <w:snapToGrid w:val="0"/>
              <w:spacing w:line="360" w:lineRule="auto"/>
              <w:ind w:firstLine="480" w:firstLineChars="200"/>
              <w:rPr>
                <w:bCs/>
                <w:sz w:val="24"/>
                <w:highlight w:val="yellow"/>
              </w:rPr>
            </w:pPr>
            <w:r>
              <w:rPr>
                <w:rFonts w:hint="eastAsia"/>
                <w:bCs/>
                <w:sz w:val="24"/>
                <w:highlight w:val="yellow"/>
              </w:rPr>
              <w:t>2）前驱体制</w:t>
            </w:r>
            <w:r>
              <w:rPr>
                <w:rFonts w:hint="eastAsia"/>
                <w:bCs/>
                <w:sz w:val="24"/>
                <w:highlight w:val="yellow"/>
                <w:lang w:val="en-US" w:eastAsia="zh-CN"/>
              </w:rPr>
              <w:t>备：将混合浆料在</w:t>
            </w:r>
            <w:r>
              <w:rPr>
                <w:rFonts w:hint="default"/>
                <w:bCs/>
                <w:sz w:val="24"/>
                <w:highlight w:val="yellow"/>
                <w:lang w:val="en-US" w:eastAsia="zh-CN"/>
              </w:rPr>
              <w:t>试验型喷雾干燥机</w:t>
            </w:r>
            <w:r>
              <w:rPr>
                <w:rFonts w:hint="eastAsia"/>
                <w:bCs/>
                <w:sz w:val="24"/>
                <w:highlight w:val="yellow"/>
                <w:lang w:val="en-US" w:eastAsia="zh-CN"/>
              </w:rPr>
              <w:t>中喷雾干燥，得到成分均匀、球形的前驱体粉末。</w:t>
            </w:r>
          </w:p>
          <w:p w14:paraId="26BD99FC">
            <w:pPr>
              <w:adjustRightInd w:val="0"/>
              <w:snapToGrid w:val="0"/>
              <w:spacing w:line="360" w:lineRule="auto"/>
              <w:ind w:firstLine="482" w:firstLineChars="200"/>
              <w:rPr>
                <w:rFonts w:hint="eastAsia"/>
                <w:b/>
                <w:sz w:val="24"/>
                <w:highlight w:val="yellow"/>
              </w:rPr>
            </w:pPr>
            <w:r>
              <w:rPr>
                <w:rFonts w:hint="eastAsia"/>
                <w:b/>
                <w:sz w:val="24"/>
                <w:highlight w:val="yellow"/>
              </w:rPr>
              <w:t>该过程产生</w:t>
            </w:r>
            <w:r>
              <w:rPr>
                <w:rFonts w:hint="eastAsia"/>
                <w:b/>
                <w:sz w:val="24"/>
                <w:highlight w:val="yellow"/>
                <w:lang w:val="en-US" w:eastAsia="zh-CN"/>
              </w:rPr>
              <w:t>颗粒物G1、废布袋S2、清洗废液S1、</w:t>
            </w:r>
            <w:r>
              <w:rPr>
                <w:rFonts w:hint="eastAsia"/>
                <w:b/>
                <w:sz w:val="24"/>
                <w:highlight w:val="yellow"/>
              </w:rPr>
              <w:t>清洗废水W1、设备运行噪声N。</w:t>
            </w:r>
          </w:p>
          <w:p w14:paraId="5D0E40EA">
            <w:pPr>
              <w:adjustRightInd w:val="0"/>
              <w:snapToGrid w:val="0"/>
              <w:spacing w:line="360" w:lineRule="auto"/>
              <w:ind w:firstLine="480" w:firstLineChars="200"/>
              <w:rPr>
                <w:bCs/>
                <w:sz w:val="24"/>
                <w:highlight w:val="yellow"/>
              </w:rPr>
            </w:pPr>
            <w:r>
              <w:rPr>
                <w:rFonts w:hint="eastAsia"/>
                <w:bCs/>
                <w:sz w:val="24"/>
                <w:highlight w:val="yellow"/>
              </w:rPr>
              <w:t>3）高温热处理：在高纯氩气保护下，于600-800℃</w:t>
            </w:r>
            <w:r>
              <w:rPr>
                <w:rFonts w:hint="eastAsia"/>
                <w:bCs/>
                <w:sz w:val="24"/>
                <w:highlight w:val="yellow"/>
                <w:lang w:val="en-US" w:eastAsia="zh-CN"/>
              </w:rPr>
              <w:t>在管式气氛炉中</w:t>
            </w:r>
            <w:r>
              <w:rPr>
                <w:rFonts w:hint="eastAsia"/>
                <w:bCs/>
                <w:sz w:val="24"/>
                <w:highlight w:val="yellow"/>
              </w:rPr>
              <w:t>烧结数小时，完成晶化及碳包覆。</w:t>
            </w:r>
          </w:p>
          <w:p w14:paraId="6D794725">
            <w:pPr>
              <w:adjustRightInd w:val="0"/>
              <w:snapToGrid w:val="0"/>
              <w:spacing w:line="360" w:lineRule="auto"/>
              <w:ind w:firstLine="480" w:firstLineChars="200"/>
              <w:rPr>
                <w:rFonts w:hint="eastAsia"/>
                <w:bCs/>
                <w:sz w:val="24"/>
                <w:highlight w:val="yellow"/>
                <w:lang w:val="en-US" w:eastAsia="zh-CN"/>
              </w:rPr>
            </w:pPr>
            <w:r>
              <w:rPr>
                <w:rFonts w:hint="eastAsia"/>
                <w:bCs/>
                <w:sz w:val="24"/>
                <w:highlight w:val="yellow"/>
              </w:rPr>
              <w:t>4）</w:t>
            </w:r>
            <w:r>
              <w:rPr>
                <w:rFonts w:hint="eastAsia"/>
                <w:bCs/>
                <w:sz w:val="24"/>
                <w:highlight w:val="yellow"/>
                <w:lang w:val="en-US" w:eastAsia="zh-CN"/>
              </w:rPr>
              <w:t>粉碎、筛分</w:t>
            </w:r>
            <w:r>
              <w:rPr>
                <w:rFonts w:hint="eastAsia"/>
                <w:bCs/>
                <w:sz w:val="24"/>
                <w:highlight w:val="yellow"/>
              </w:rPr>
              <w:t>：</w:t>
            </w:r>
            <w:r>
              <w:rPr>
                <w:rFonts w:hint="eastAsia"/>
                <w:bCs/>
                <w:sz w:val="24"/>
                <w:highlight w:val="yellow"/>
                <w:lang w:val="en-US" w:eastAsia="zh-CN"/>
              </w:rPr>
              <w:t>自然</w:t>
            </w:r>
            <w:r>
              <w:rPr>
                <w:rFonts w:hint="eastAsia"/>
                <w:bCs/>
                <w:sz w:val="24"/>
                <w:highlight w:val="yellow"/>
              </w:rPr>
              <w:t>冷却后，对烧结产物</w:t>
            </w:r>
            <w:r>
              <w:rPr>
                <w:rFonts w:hint="eastAsia"/>
                <w:bCs/>
                <w:sz w:val="24"/>
                <w:highlight w:val="yellow"/>
                <w:lang w:val="en-US" w:eastAsia="zh-CN"/>
              </w:rPr>
              <w:t>使用气流粉碎机</w:t>
            </w:r>
            <w:r>
              <w:rPr>
                <w:rFonts w:hint="eastAsia"/>
                <w:bCs/>
                <w:sz w:val="24"/>
                <w:highlight w:val="yellow"/>
              </w:rPr>
              <w:t>粉碎、</w:t>
            </w:r>
            <w:r>
              <w:rPr>
                <w:rFonts w:hint="eastAsia"/>
                <w:bCs/>
                <w:sz w:val="24"/>
                <w:highlight w:val="yellow"/>
                <w:lang w:val="en-US" w:eastAsia="zh-CN"/>
              </w:rPr>
              <w:t>使用气流筛分机</w:t>
            </w:r>
            <w:r>
              <w:rPr>
                <w:rFonts w:hint="eastAsia"/>
                <w:bCs/>
                <w:sz w:val="24"/>
                <w:highlight w:val="yellow"/>
              </w:rPr>
              <w:t>筛分，</w:t>
            </w:r>
            <w:r>
              <w:rPr>
                <w:rFonts w:hint="eastAsia"/>
                <w:bCs/>
                <w:sz w:val="24"/>
                <w:highlight w:val="yellow"/>
                <w:lang w:val="en-US" w:eastAsia="zh-CN"/>
              </w:rPr>
              <w:t>未过筛颗粒继续粉碎，直至全部过筛</w:t>
            </w:r>
            <w:r>
              <w:rPr>
                <w:rFonts w:hint="eastAsia"/>
                <w:bCs/>
                <w:sz w:val="24"/>
                <w:highlight w:val="yellow"/>
              </w:rPr>
              <w:t>得到最终</w:t>
            </w:r>
            <w:r>
              <w:rPr>
                <w:rFonts w:hint="eastAsia"/>
                <w:bCs/>
                <w:sz w:val="24"/>
                <w:highlight w:val="yellow"/>
                <w:lang w:val="en-US" w:eastAsia="zh-CN"/>
              </w:rPr>
              <w:t>磷酸铁锂样品</w:t>
            </w:r>
            <w:r>
              <w:rPr>
                <w:rFonts w:hint="eastAsia"/>
                <w:bCs/>
                <w:sz w:val="24"/>
                <w:highlight w:val="yellow"/>
              </w:rPr>
              <w:t>。</w:t>
            </w:r>
            <w:r>
              <w:rPr>
                <w:rFonts w:hint="eastAsia"/>
                <w:bCs/>
                <w:sz w:val="24"/>
                <w:highlight w:val="yellow"/>
                <w:lang w:val="en-US" w:eastAsia="zh-CN"/>
              </w:rPr>
              <w:t>气流粉碎机、气流筛分机均为密闭设备，粉碎、筛分全密闭操作。</w:t>
            </w:r>
          </w:p>
          <w:p w14:paraId="554FE035">
            <w:pPr>
              <w:adjustRightInd w:val="0"/>
              <w:snapToGrid w:val="0"/>
              <w:spacing w:line="360" w:lineRule="auto"/>
              <w:ind w:firstLine="482" w:firstLineChars="200"/>
              <w:rPr>
                <w:rFonts w:hint="eastAsia"/>
                <w:bCs/>
                <w:sz w:val="24"/>
                <w:highlight w:val="yellow"/>
                <w:lang w:val="en-US" w:eastAsia="zh-CN"/>
              </w:rPr>
            </w:pPr>
            <w:r>
              <w:rPr>
                <w:rFonts w:hint="eastAsia"/>
                <w:b/>
                <w:sz w:val="24"/>
                <w:highlight w:val="yellow"/>
              </w:rPr>
              <w:t>该过程产生</w:t>
            </w:r>
            <w:r>
              <w:rPr>
                <w:rFonts w:hint="eastAsia"/>
                <w:b/>
                <w:sz w:val="24"/>
                <w:highlight w:val="yellow"/>
                <w:lang w:val="en-US" w:eastAsia="zh-CN"/>
              </w:rPr>
              <w:t>颗粒物G2、清洗废液S1、</w:t>
            </w:r>
            <w:r>
              <w:rPr>
                <w:rFonts w:hint="eastAsia"/>
                <w:b/>
                <w:sz w:val="24"/>
                <w:highlight w:val="yellow"/>
              </w:rPr>
              <w:t>清洗废水W1、设备运行噪声N。</w:t>
            </w:r>
          </w:p>
          <w:p w14:paraId="392CDFB8">
            <w:pPr>
              <w:adjustRightInd w:val="0"/>
              <w:snapToGrid w:val="0"/>
              <w:spacing w:line="360" w:lineRule="auto"/>
              <w:ind w:firstLine="480" w:firstLineChars="200"/>
              <w:rPr>
                <w:rFonts w:hint="default"/>
                <w:bCs/>
                <w:sz w:val="24"/>
                <w:highlight w:val="yellow"/>
                <w:lang w:val="en-US" w:eastAsia="zh-CN"/>
              </w:rPr>
            </w:pPr>
            <w:r>
              <w:rPr>
                <w:rFonts w:hint="eastAsia"/>
                <w:bCs/>
                <w:sz w:val="24"/>
                <w:highlight w:val="yellow"/>
                <w:lang w:val="en-US" w:eastAsia="zh-CN"/>
              </w:rPr>
              <w:t>5）样品检测：使用X射线衍射光谱仪测量磷酸铁锂样品晶型、使用电子扫描电镜观察样品物理形态、使用比表面积分析仪测量样品比表面积、使用激光粒度分布仪测量样品粒度。测量观察后记录数据，样品转软包电芯研发实验。</w:t>
            </w:r>
          </w:p>
          <w:p w14:paraId="6F9A241A">
            <w:pPr>
              <w:adjustRightInd w:val="0"/>
              <w:snapToGrid w:val="0"/>
              <w:spacing w:line="360" w:lineRule="auto"/>
              <w:ind w:firstLine="482" w:firstLineChars="200"/>
              <w:rPr>
                <w:rFonts w:hint="eastAsia"/>
                <w:b/>
                <w:sz w:val="24"/>
                <w:highlight w:val="yellow"/>
              </w:rPr>
            </w:pPr>
            <w:r>
              <w:rPr>
                <w:rFonts w:hint="eastAsia"/>
                <w:b/>
                <w:sz w:val="24"/>
                <w:highlight w:val="yellow"/>
              </w:rPr>
              <w:t>该过程产生设备清洗废液S1、清洗废水W1。</w:t>
            </w:r>
          </w:p>
          <w:p w14:paraId="28EFA6C3">
            <w:pPr>
              <w:numPr>
                <w:ilvl w:val="0"/>
                <w:numId w:val="12"/>
              </w:numPr>
              <w:adjustRightInd w:val="0"/>
              <w:snapToGrid w:val="0"/>
              <w:spacing w:line="360" w:lineRule="auto"/>
              <w:ind w:firstLine="482" w:firstLineChars="200"/>
              <w:rPr>
                <w:rFonts w:hint="eastAsia" w:cs="Times New Roman"/>
                <w:b/>
                <w:bCs w:val="0"/>
                <w:color w:val="auto"/>
                <w:sz w:val="24"/>
                <w:highlight w:val="none"/>
                <w:lang w:val="en-US" w:eastAsia="zh-CN"/>
              </w:rPr>
            </w:pPr>
            <w:r>
              <w:rPr>
                <w:rFonts w:hint="eastAsia" w:cs="Times New Roman"/>
                <w:b/>
                <w:bCs w:val="0"/>
                <w:color w:val="auto"/>
                <w:sz w:val="24"/>
                <w:highlight w:val="none"/>
                <w:lang w:val="en-US" w:eastAsia="zh-CN"/>
              </w:rPr>
              <w:t>电芯研发实验</w:t>
            </w:r>
          </w:p>
          <w:p w14:paraId="7EC9A603">
            <w:pPr>
              <w:numPr>
                <w:ilvl w:val="0"/>
                <w:numId w:val="0"/>
              </w:numPr>
              <w:adjustRightInd w:val="0"/>
              <w:snapToGrid w:val="0"/>
              <w:spacing w:line="360" w:lineRule="auto"/>
              <w:jc w:val="center"/>
              <w:rPr>
                <w:rFonts w:hint="default" w:cs="Times New Roman"/>
                <w:b/>
                <w:bCs w:val="0"/>
                <w:color w:val="auto"/>
                <w:sz w:val="24"/>
                <w:highlight w:val="none"/>
                <w:lang w:val="en-US" w:eastAsia="zh-CN"/>
              </w:rPr>
            </w:pPr>
            <w:r>
              <w:rPr>
                <w:rFonts w:hint="default" w:cs="Times New Roman"/>
                <w:b/>
                <w:bCs w:val="0"/>
                <w:color w:val="auto"/>
                <w:sz w:val="24"/>
                <w:highlight w:val="none"/>
                <w:lang w:val="en-US" w:eastAsia="zh-CN"/>
              </w:rPr>
              <w:object>
                <v:shape id="_x0000_i1028" o:spt="75" type="#_x0000_t75" style="height:317.45pt;width:347.9pt;" o:ole="t" filled="f" o:preferrelative="t" stroked="f" coordsize="21600,21600">
                  <v:path/>
                  <v:fill on="f" focussize="0,0"/>
                  <v:stroke on="f"/>
                  <v:imagedata r:id="rId22" o:title=""/>
                  <o:lock v:ext="edit" aspectratio="f"/>
                  <w10:wrap type="none"/>
                  <w10:anchorlock/>
                </v:shape>
                <o:OLEObject Type="Embed" ProgID="Visio.Drawing.15" ShapeID="_x0000_i1028" DrawAspect="Content" ObjectID="_1468075728" r:id="rId21">
                  <o:LockedField>false</o:LockedField>
                </o:OLEObject>
              </w:object>
            </w:r>
          </w:p>
          <w:p w14:paraId="2B8008C6">
            <w:pPr>
              <w:numPr>
                <w:ilvl w:val="0"/>
                <w:numId w:val="11"/>
              </w:numPr>
              <w:adjustRightInd w:val="0"/>
              <w:spacing w:line="360" w:lineRule="auto"/>
              <w:ind w:left="425" w:leftChars="0" w:hanging="425" w:firstLineChars="0"/>
              <w:jc w:val="center"/>
              <w:rPr>
                <w:rFonts w:hint="default" w:ascii="Times New Roman" w:hAnsi="Times New Roman" w:eastAsia="宋体" w:cs="Times New Roman"/>
                <w:color w:val="auto"/>
                <w:sz w:val="24"/>
                <w:highlight w:val="none"/>
              </w:rPr>
            </w:pPr>
            <w:r>
              <w:rPr>
                <w:rFonts w:hint="eastAsia" w:ascii="Times New Roman" w:hAnsi="Times New Roman" w:eastAsia="宋体" w:cs="Times New Roman"/>
                <w:b/>
                <w:bCs/>
                <w:color w:val="auto"/>
                <w:sz w:val="24"/>
                <w:szCs w:val="32"/>
                <w:highlight w:val="none"/>
                <w:lang w:val="en-US" w:eastAsia="zh-CN"/>
              </w:rPr>
              <w:t>软包电芯研发实验</w:t>
            </w:r>
            <w:r>
              <w:rPr>
                <w:rFonts w:hint="default" w:ascii="Times New Roman" w:hAnsi="Times New Roman" w:eastAsia="宋体" w:cs="Times New Roman"/>
                <w:b/>
                <w:bCs/>
                <w:color w:val="auto"/>
                <w:sz w:val="24"/>
                <w:szCs w:val="32"/>
                <w:highlight w:val="none"/>
              </w:rPr>
              <w:t>流程及产污节点图</w:t>
            </w:r>
          </w:p>
          <w:p w14:paraId="7837BC30">
            <w:pPr>
              <w:adjustRightInd w:val="0"/>
              <w:snapToGrid w:val="0"/>
              <w:spacing w:line="360" w:lineRule="auto"/>
              <w:ind w:firstLine="480" w:firstLineChars="200"/>
              <w:rPr>
                <w:rFonts w:hint="eastAsia" w:cs="Times New Roman"/>
                <w:b w:val="0"/>
                <w:bCs/>
                <w:color w:val="auto"/>
                <w:sz w:val="24"/>
                <w:highlight w:val="none"/>
                <w:lang w:val="en-US" w:eastAsia="zh-CN"/>
              </w:rPr>
            </w:pPr>
            <w:r>
              <w:rPr>
                <w:rFonts w:hint="eastAsia" w:cs="Times New Roman"/>
                <w:b w:val="0"/>
                <w:bCs/>
                <w:color w:val="auto"/>
                <w:sz w:val="24"/>
                <w:highlight w:val="none"/>
                <w:lang w:val="en-US" w:eastAsia="zh-CN"/>
              </w:rPr>
              <w:t>1）制浆：用天平在烧杯</w:t>
            </w:r>
            <w:r>
              <w:rPr>
                <w:rFonts w:hint="eastAsia" w:ascii="Times New Roman" w:hAnsi="Times New Roman" w:eastAsia="宋体" w:cs="Times New Roman"/>
                <w:b w:val="0"/>
                <w:bCs/>
                <w:color w:val="auto"/>
                <w:sz w:val="24"/>
                <w:highlight w:val="none"/>
                <w:lang w:val="en-US" w:eastAsia="zh-CN"/>
              </w:rPr>
              <w:t>中分别称取一定质量的磷酸铁锂、羧甲基纤维素钠、N-甲基吡咯烷酮</w:t>
            </w:r>
            <w:r>
              <w:rPr>
                <w:rFonts w:hint="eastAsia" w:cs="Times New Roman"/>
                <w:b w:val="0"/>
                <w:bCs/>
                <w:color w:val="auto"/>
                <w:sz w:val="24"/>
                <w:highlight w:val="none"/>
                <w:lang w:val="en-US" w:eastAsia="zh-CN"/>
              </w:rPr>
              <w:t>、纯水</w:t>
            </w:r>
            <w:r>
              <w:rPr>
                <w:rFonts w:hint="eastAsia" w:ascii="Times New Roman" w:hAnsi="Times New Roman" w:eastAsia="宋体" w:cs="Times New Roman"/>
                <w:b w:val="0"/>
                <w:bCs/>
                <w:color w:val="auto"/>
                <w:sz w:val="24"/>
                <w:highlight w:val="none"/>
                <w:lang w:val="en-US" w:eastAsia="zh-CN"/>
              </w:rPr>
              <w:t>加入</w:t>
            </w:r>
            <w:r>
              <w:rPr>
                <w:rFonts w:hint="eastAsia" w:cs="Times New Roman"/>
                <w:b w:val="0"/>
                <w:bCs/>
                <w:color w:val="auto"/>
                <w:sz w:val="24"/>
                <w:highlight w:val="none"/>
                <w:lang w:val="en-US" w:eastAsia="zh-CN"/>
              </w:rPr>
              <w:t>双分散轴真空行星</w:t>
            </w:r>
            <w:r>
              <w:rPr>
                <w:rFonts w:hint="eastAsia" w:ascii="Times New Roman" w:hAnsi="Times New Roman" w:eastAsia="宋体" w:cs="Times New Roman"/>
                <w:b w:val="0"/>
                <w:bCs/>
                <w:color w:val="auto"/>
                <w:sz w:val="24"/>
                <w:highlight w:val="none"/>
                <w:lang w:val="en-US" w:eastAsia="zh-CN"/>
              </w:rPr>
              <w:t>搅拌</w:t>
            </w:r>
            <w:r>
              <w:rPr>
                <w:rFonts w:hint="eastAsia" w:cs="Times New Roman"/>
                <w:b w:val="0"/>
                <w:bCs/>
                <w:color w:val="auto"/>
                <w:sz w:val="24"/>
                <w:highlight w:val="none"/>
                <w:lang w:val="en-US" w:eastAsia="zh-CN"/>
              </w:rPr>
              <w:t>机中，开启搅拌制备正极浆料；同样称取一定质量的石墨、</w:t>
            </w:r>
            <w:r>
              <w:rPr>
                <w:rFonts w:hint="eastAsia" w:ascii="Times New Roman" w:hAnsi="Times New Roman" w:eastAsia="宋体" w:cs="Times New Roman"/>
                <w:b w:val="0"/>
                <w:bCs/>
                <w:color w:val="auto"/>
                <w:sz w:val="24"/>
                <w:highlight w:val="none"/>
                <w:lang w:val="en-US" w:eastAsia="zh-CN"/>
              </w:rPr>
              <w:t>羧甲基纤维素钠</w:t>
            </w:r>
            <w:r>
              <w:rPr>
                <w:rFonts w:hint="eastAsia" w:cs="Times New Roman"/>
                <w:b w:val="0"/>
                <w:bCs/>
                <w:color w:val="auto"/>
                <w:sz w:val="24"/>
                <w:highlight w:val="none"/>
                <w:lang w:val="en-US" w:eastAsia="zh-CN"/>
              </w:rPr>
              <w:t>、N-甲基吡咯烷酮、纯水加入搅拌机中，开启搅拌制备负极浆料。</w:t>
            </w:r>
          </w:p>
          <w:p w14:paraId="48213914">
            <w:pPr>
              <w:adjustRightInd w:val="0"/>
              <w:snapToGrid w:val="0"/>
              <w:spacing w:line="360" w:lineRule="auto"/>
              <w:ind w:firstLine="482" w:firstLineChars="200"/>
              <w:rPr>
                <w:rFonts w:hint="eastAsia" w:cs="Times New Roman"/>
                <w:b/>
                <w:bCs w:val="0"/>
                <w:color w:val="auto"/>
                <w:sz w:val="24"/>
                <w:highlight w:val="none"/>
                <w:lang w:val="en-US" w:eastAsia="zh-CN"/>
              </w:rPr>
            </w:pPr>
            <w:r>
              <w:rPr>
                <w:rFonts w:hint="eastAsia" w:cs="Times New Roman"/>
                <w:b/>
                <w:bCs w:val="0"/>
                <w:color w:val="auto"/>
                <w:sz w:val="24"/>
                <w:highlight w:val="none"/>
                <w:lang w:val="en-US" w:eastAsia="zh-CN"/>
              </w:rPr>
              <w:t>该过程产生挥发性有机物G1、设备清洗废液S1、清洗废水W1、设备运行噪声N。</w:t>
            </w:r>
          </w:p>
          <w:p w14:paraId="1AE78597">
            <w:pPr>
              <w:numPr>
                <w:ilvl w:val="0"/>
                <w:numId w:val="13"/>
              </w:numPr>
              <w:adjustRightInd w:val="0"/>
              <w:snapToGrid w:val="0"/>
              <w:spacing w:line="360" w:lineRule="auto"/>
              <w:ind w:firstLine="480" w:firstLineChars="200"/>
              <w:rPr>
                <w:rFonts w:hint="eastAsia" w:ascii="Times New Roman" w:hAnsi="Times New Roman" w:cs="Times New Roman"/>
                <w:b w:val="0"/>
                <w:bCs/>
                <w:color w:val="auto"/>
                <w:sz w:val="24"/>
                <w:highlight w:val="none"/>
                <w:lang w:val="en-US" w:eastAsia="zh-CN"/>
              </w:rPr>
            </w:pPr>
            <w:r>
              <w:rPr>
                <w:rFonts w:hint="eastAsia" w:cs="Times New Roman"/>
                <w:b w:val="0"/>
                <w:bCs/>
                <w:color w:val="auto"/>
                <w:sz w:val="24"/>
                <w:highlight w:val="none"/>
                <w:lang w:val="en-US" w:eastAsia="zh-CN"/>
              </w:rPr>
              <w:t>涂布：将以上搅拌制得的正负极浆料使用多功能涂布机分别涂于铝箔、铜箔上，在真空烘箱中干燥制备正负极极片。N-甲基吡咯烷酮经转轮式NMP回收系统回收后做危险废物处置。</w:t>
            </w:r>
          </w:p>
          <w:p w14:paraId="5EBC2C1D">
            <w:pPr>
              <w:adjustRightInd w:val="0"/>
              <w:snapToGrid w:val="0"/>
              <w:spacing w:line="360" w:lineRule="auto"/>
              <w:ind w:firstLine="482" w:firstLineChars="200"/>
              <w:rPr>
                <w:rFonts w:hint="eastAsia" w:cs="Times New Roman"/>
                <w:b/>
                <w:bCs w:val="0"/>
                <w:color w:val="auto"/>
                <w:sz w:val="24"/>
                <w:highlight w:val="none"/>
                <w:lang w:val="en-US" w:eastAsia="zh-CN"/>
              </w:rPr>
            </w:pPr>
            <w:r>
              <w:rPr>
                <w:rFonts w:hint="eastAsia" w:cs="Times New Roman"/>
                <w:b/>
                <w:bCs w:val="0"/>
                <w:color w:val="auto"/>
                <w:sz w:val="24"/>
                <w:highlight w:val="none"/>
                <w:lang w:val="en-US" w:eastAsia="zh-CN"/>
              </w:rPr>
              <w:t>该过程产生挥发性有机物G2、</w:t>
            </w:r>
            <w:r>
              <w:rPr>
                <w:rFonts w:hint="eastAsia" w:ascii="Times New Roman" w:hAnsi="Times New Roman" w:cs="Times New Roman"/>
                <w:b/>
                <w:bCs w:val="0"/>
                <w:color w:val="auto"/>
                <w:sz w:val="24"/>
                <w:highlight w:val="none"/>
                <w:lang w:val="en-US" w:eastAsia="zh-CN"/>
              </w:rPr>
              <w:t>N-甲基吡咯烷酮</w:t>
            </w:r>
            <w:r>
              <w:rPr>
                <w:rFonts w:hint="eastAsia" w:cs="Times New Roman"/>
                <w:b/>
                <w:bCs w:val="0"/>
                <w:color w:val="auto"/>
                <w:sz w:val="24"/>
                <w:highlight w:val="none"/>
                <w:lang w:val="en-US" w:eastAsia="zh-CN"/>
              </w:rPr>
              <w:t>废液</w:t>
            </w:r>
            <w:r>
              <w:rPr>
                <w:rFonts w:hint="eastAsia" w:ascii="Times New Roman" w:hAnsi="Times New Roman" w:cs="Times New Roman"/>
                <w:b/>
                <w:bCs w:val="0"/>
                <w:color w:val="auto"/>
                <w:sz w:val="24"/>
                <w:highlight w:val="none"/>
                <w:lang w:val="en-US" w:eastAsia="zh-CN"/>
              </w:rPr>
              <w:t>S</w:t>
            </w:r>
            <w:r>
              <w:rPr>
                <w:rFonts w:hint="eastAsia" w:cs="Times New Roman"/>
                <w:b/>
                <w:bCs w:val="0"/>
                <w:color w:val="auto"/>
                <w:sz w:val="24"/>
                <w:highlight w:val="none"/>
                <w:lang w:val="en-US" w:eastAsia="zh-CN"/>
              </w:rPr>
              <w:t>3</w:t>
            </w:r>
            <w:r>
              <w:rPr>
                <w:rFonts w:hint="eastAsia" w:ascii="Times New Roman" w:hAnsi="Times New Roman" w:cs="Times New Roman"/>
                <w:b/>
                <w:bCs w:val="0"/>
                <w:color w:val="auto"/>
                <w:sz w:val="24"/>
                <w:highlight w:val="none"/>
                <w:lang w:val="en-US" w:eastAsia="zh-CN"/>
              </w:rPr>
              <w:t>、</w:t>
            </w:r>
            <w:r>
              <w:rPr>
                <w:rFonts w:hint="eastAsia" w:cs="Times New Roman"/>
                <w:b/>
                <w:bCs w:val="0"/>
                <w:color w:val="auto"/>
                <w:sz w:val="24"/>
                <w:highlight w:val="none"/>
                <w:lang w:val="en-US" w:eastAsia="zh-CN"/>
              </w:rPr>
              <w:t>废活性炭S4、</w:t>
            </w:r>
            <w:r>
              <w:rPr>
                <w:rFonts w:hint="eastAsia" w:ascii="Times New Roman" w:hAnsi="Times New Roman" w:cs="Times New Roman"/>
                <w:b/>
                <w:bCs w:val="0"/>
                <w:color w:val="auto"/>
                <w:sz w:val="24"/>
                <w:highlight w:val="none"/>
                <w:lang w:val="en-US" w:eastAsia="zh-CN"/>
              </w:rPr>
              <w:t>设备运</w:t>
            </w:r>
            <w:r>
              <w:rPr>
                <w:rFonts w:hint="eastAsia" w:cs="Times New Roman"/>
                <w:b/>
                <w:bCs w:val="0"/>
                <w:color w:val="auto"/>
                <w:sz w:val="24"/>
                <w:highlight w:val="none"/>
                <w:lang w:val="en-US" w:eastAsia="zh-CN"/>
              </w:rPr>
              <w:t>行噪声N。</w:t>
            </w:r>
          </w:p>
          <w:p w14:paraId="3888A491">
            <w:pPr>
              <w:numPr>
                <w:ilvl w:val="0"/>
                <w:numId w:val="13"/>
              </w:numPr>
              <w:adjustRightInd w:val="0"/>
              <w:snapToGrid w:val="0"/>
              <w:spacing w:line="360" w:lineRule="auto"/>
              <w:ind w:firstLine="480" w:firstLineChars="200"/>
              <w:rPr>
                <w:rFonts w:hint="default" w:cs="Times New Roman"/>
                <w:b w:val="0"/>
                <w:bCs/>
                <w:color w:val="auto"/>
                <w:sz w:val="24"/>
                <w:highlight w:val="none"/>
                <w:lang w:val="en-US" w:eastAsia="zh-CN"/>
              </w:rPr>
            </w:pPr>
            <w:r>
              <w:rPr>
                <w:rFonts w:hint="eastAsia" w:cs="Times New Roman"/>
                <w:b w:val="0"/>
                <w:bCs/>
                <w:color w:val="auto"/>
                <w:sz w:val="24"/>
                <w:highlight w:val="none"/>
                <w:lang w:val="en-US" w:eastAsia="zh-CN"/>
              </w:rPr>
              <w:t>辊压：对以上干燥后的正负极极片使用精密辊压机压实。</w:t>
            </w:r>
          </w:p>
          <w:p w14:paraId="28D30CC3">
            <w:pPr>
              <w:adjustRightInd w:val="0"/>
              <w:snapToGrid w:val="0"/>
              <w:spacing w:line="360" w:lineRule="auto"/>
              <w:ind w:firstLine="482" w:firstLineChars="200"/>
              <w:rPr>
                <w:rFonts w:hint="eastAsia" w:cs="Times New Roman"/>
                <w:b/>
                <w:bCs w:val="0"/>
                <w:color w:val="auto"/>
                <w:sz w:val="24"/>
                <w:highlight w:val="none"/>
                <w:lang w:val="en-US" w:eastAsia="zh-CN"/>
              </w:rPr>
            </w:pPr>
            <w:r>
              <w:rPr>
                <w:rFonts w:hint="eastAsia" w:cs="Times New Roman"/>
                <w:b/>
                <w:bCs w:val="0"/>
                <w:color w:val="auto"/>
                <w:sz w:val="24"/>
                <w:highlight w:val="none"/>
                <w:lang w:val="en-US" w:eastAsia="zh-CN"/>
              </w:rPr>
              <w:t>该过程产生</w:t>
            </w:r>
            <w:r>
              <w:rPr>
                <w:rFonts w:hint="eastAsia" w:ascii="Times New Roman" w:hAnsi="Times New Roman" w:cs="Times New Roman"/>
                <w:b/>
                <w:bCs w:val="0"/>
                <w:color w:val="auto"/>
                <w:sz w:val="24"/>
                <w:highlight w:val="none"/>
                <w:lang w:val="en-US" w:eastAsia="zh-CN"/>
              </w:rPr>
              <w:t>设备运</w:t>
            </w:r>
            <w:r>
              <w:rPr>
                <w:rFonts w:hint="eastAsia" w:cs="Times New Roman"/>
                <w:b/>
                <w:bCs w:val="0"/>
                <w:color w:val="auto"/>
                <w:sz w:val="24"/>
                <w:highlight w:val="none"/>
                <w:lang w:val="en-US" w:eastAsia="zh-CN"/>
              </w:rPr>
              <w:t>行噪声N。</w:t>
            </w:r>
          </w:p>
          <w:p w14:paraId="0B4D36B8">
            <w:pPr>
              <w:numPr>
                <w:ilvl w:val="0"/>
                <w:numId w:val="13"/>
              </w:numPr>
              <w:adjustRightInd w:val="0"/>
              <w:snapToGrid w:val="0"/>
              <w:spacing w:line="360" w:lineRule="auto"/>
              <w:ind w:firstLine="480" w:firstLineChars="200"/>
              <w:rPr>
                <w:rFonts w:hint="default" w:cs="Times New Roman"/>
                <w:b w:val="0"/>
                <w:bCs/>
                <w:color w:val="auto"/>
                <w:sz w:val="24"/>
                <w:highlight w:val="none"/>
                <w:lang w:val="en-US" w:eastAsia="zh-CN"/>
              </w:rPr>
            </w:pPr>
            <w:r>
              <w:rPr>
                <w:rFonts w:hint="eastAsia" w:cs="Times New Roman"/>
                <w:b w:val="0"/>
                <w:bCs/>
                <w:color w:val="auto"/>
                <w:sz w:val="24"/>
                <w:highlight w:val="none"/>
                <w:lang w:val="en-US" w:eastAsia="zh-CN"/>
              </w:rPr>
              <w:t>模切：对以上辊压后的正负极极片使用自半动模切机按规定尺寸裁切。</w:t>
            </w:r>
          </w:p>
          <w:p w14:paraId="5545793D">
            <w:pPr>
              <w:adjustRightInd w:val="0"/>
              <w:snapToGrid w:val="0"/>
              <w:spacing w:line="360" w:lineRule="auto"/>
              <w:ind w:firstLine="482" w:firstLineChars="200"/>
              <w:rPr>
                <w:rFonts w:hint="eastAsia" w:cs="Times New Roman"/>
                <w:b/>
                <w:bCs w:val="0"/>
                <w:color w:val="auto"/>
                <w:sz w:val="24"/>
                <w:highlight w:val="none"/>
                <w:lang w:val="en-US" w:eastAsia="zh-CN"/>
              </w:rPr>
            </w:pPr>
            <w:r>
              <w:rPr>
                <w:rFonts w:hint="eastAsia" w:cs="Times New Roman"/>
                <w:b/>
                <w:bCs w:val="0"/>
                <w:color w:val="auto"/>
                <w:sz w:val="24"/>
                <w:highlight w:val="none"/>
                <w:lang w:val="en-US" w:eastAsia="zh-CN"/>
              </w:rPr>
              <w:t>该过程产生废边角料S5、</w:t>
            </w:r>
            <w:r>
              <w:rPr>
                <w:rFonts w:hint="eastAsia" w:ascii="Times New Roman" w:hAnsi="Times New Roman" w:cs="Times New Roman"/>
                <w:b/>
                <w:bCs w:val="0"/>
                <w:color w:val="auto"/>
                <w:sz w:val="24"/>
                <w:highlight w:val="none"/>
                <w:lang w:val="en-US" w:eastAsia="zh-CN"/>
              </w:rPr>
              <w:t>设备运</w:t>
            </w:r>
            <w:r>
              <w:rPr>
                <w:rFonts w:hint="eastAsia" w:cs="Times New Roman"/>
                <w:b/>
                <w:bCs w:val="0"/>
                <w:color w:val="auto"/>
                <w:sz w:val="24"/>
                <w:highlight w:val="none"/>
                <w:lang w:val="en-US" w:eastAsia="zh-CN"/>
              </w:rPr>
              <w:t>行噪声N。</w:t>
            </w:r>
          </w:p>
          <w:p w14:paraId="08495EBD">
            <w:pPr>
              <w:numPr>
                <w:ilvl w:val="0"/>
                <w:numId w:val="13"/>
              </w:numPr>
              <w:adjustRightInd w:val="0"/>
              <w:snapToGrid w:val="0"/>
              <w:spacing w:line="360" w:lineRule="auto"/>
              <w:ind w:firstLine="480" w:firstLineChars="200"/>
              <w:rPr>
                <w:rFonts w:hint="default" w:cs="Times New Roman"/>
                <w:b w:val="0"/>
                <w:bCs/>
                <w:color w:val="auto"/>
                <w:sz w:val="24"/>
                <w:highlight w:val="none"/>
                <w:lang w:val="en-US" w:eastAsia="zh-CN"/>
              </w:rPr>
            </w:pPr>
            <w:r>
              <w:rPr>
                <w:rFonts w:hint="eastAsia" w:cs="Times New Roman"/>
                <w:b w:val="0"/>
                <w:bCs/>
                <w:color w:val="auto"/>
                <w:sz w:val="24"/>
                <w:highlight w:val="none"/>
                <w:lang w:val="en-US" w:eastAsia="zh-CN"/>
              </w:rPr>
              <w:t>叠片：将以上裁切后的正负极极片、隔膜使用自动叠片机交替堆叠，形成电芯。</w:t>
            </w:r>
          </w:p>
          <w:p w14:paraId="515B4054">
            <w:pPr>
              <w:numPr>
                <w:ilvl w:val="0"/>
                <w:numId w:val="13"/>
              </w:numPr>
              <w:adjustRightInd w:val="0"/>
              <w:snapToGrid w:val="0"/>
              <w:spacing w:line="360" w:lineRule="auto"/>
              <w:ind w:firstLine="480" w:firstLineChars="200"/>
              <w:rPr>
                <w:rFonts w:hint="default" w:cs="Times New Roman"/>
                <w:b w:val="0"/>
                <w:bCs/>
                <w:color w:val="auto"/>
                <w:sz w:val="24"/>
                <w:highlight w:val="none"/>
                <w:lang w:val="en-US" w:eastAsia="zh-CN"/>
              </w:rPr>
            </w:pPr>
            <w:r>
              <w:rPr>
                <w:rFonts w:hint="eastAsia" w:cs="Times New Roman"/>
                <w:b w:val="0"/>
                <w:bCs/>
                <w:color w:val="auto"/>
                <w:sz w:val="24"/>
                <w:highlight w:val="none"/>
                <w:lang w:val="en-US" w:eastAsia="zh-CN"/>
              </w:rPr>
              <w:t>封装：将以上电芯手工封装于铝塑膜中形成软包电池、封装于不锈钢壳体中形成扣式电池。</w:t>
            </w:r>
          </w:p>
          <w:p w14:paraId="3529CDE7">
            <w:pPr>
              <w:numPr>
                <w:ilvl w:val="0"/>
                <w:numId w:val="13"/>
              </w:numPr>
              <w:adjustRightInd w:val="0"/>
              <w:snapToGrid w:val="0"/>
              <w:spacing w:line="360" w:lineRule="auto"/>
              <w:ind w:firstLine="480" w:firstLineChars="200"/>
              <w:rPr>
                <w:rFonts w:hint="default" w:cs="Times New Roman"/>
                <w:b w:val="0"/>
                <w:bCs/>
                <w:color w:val="auto"/>
                <w:sz w:val="24"/>
                <w:highlight w:val="none"/>
                <w:lang w:val="en-US" w:eastAsia="zh-CN"/>
              </w:rPr>
            </w:pPr>
            <w:r>
              <w:rPr>
                <w:rFonts w:hint="eastAsia" w:cs="Times New Roman"/>
                <w:b w:val="0"/>
                <w:bCs/>
                <w:color w:val="auto"/>
                <w:sz w:val="24"/>
                <w:highlight w:val="none"/>
                <w:lang w:val="en-US" w:eastAsia="zh-CN"/>
              </w:rPr>
              <w:t>注液：在密闭的手套箱内，向以上封装电芯的铝塑膜内使用滴管手工滴加碳酸二乙酯、碳酸聚丙烯酯电解液，形成实验电池。手套箱全密闭，内充氩气，内部气体经自带的吸附剂、活性炭循环，保持手套箱内部干燥、洁净环境。</w:t>
            </w:r>
          </w:p>
          <w:p w14:paraId="58E5B042">
            <w:pPr>
              <w:adjustRightInd w:val="0"/>
              <w:snapToGrid w:val="0"/>
              <w:spacing w:line="360" w:lineRule="auto"/>
              <w:ind w:firstLine="482" w:firstLineChars="200"/>
              <w:rPr>
                <w:rFonts w:hint="eastAsia" w:cs="Times New Roman"/>
                <w:b/>
                <w:bCs w:val="0"/>
                <w:color w:val="auto"/>
                <w:sz w:val="24"/>
                <w:highlight w:val="none"/>
                <w:lang w:val="en-US" w:eastAsia="zh-CN"/>
              </w:rPr>
            </w:pPr>
            <w:r>
              <w:rPr>
                <w:rFonts w:hint="eastAsia" w:cs="Times New Roman"/>
                <w:b/>
                <w:bCs w:val="0"/>
                <w:color w:val="auto"/>
                <w:sz w:val="24"/>
                <w:highlight w:val="none"/>
                <w:lang w:val="en-US" w:eastAsia="zh-CN"/>
              </w:rPr>
              <w:t>该过程产生设备清洗废液S1、清洗废水W1、废吸附剂S6、废活性炭S4、</w:t>
            </w:r>
            <w:r>
              <w:rPr>
                <w:rFonts w:hint="eastAsia" w:ascii="Times New Roman" w:hAnsi="Times New Roman" w:cs="Times New Roman"/>
                <w:b/>
                <w:bCs w:val="0"/>
                <w:color w:val="auto"/>
                <w:sz w:val="24"/>
                <w:highlight w:val="none"/>
                <w:lang w:val="en-US" w:eastAsia="zh-CN"/>
              </w:rPr>
              <w:t>设备运</w:t>
            </w:r>
            <w:r>
              <w:rPr>
                <w:rFonts w:hint="eastAsia" w:cs="Times New Roman"/>
                <w:b/>
                <w:bCs w:val="0"/>
                <w:color w:val="auto"/>
                <w:sz w:val="24"/>
                <w:highlight w:val="none"/>
                <w:lang w:val="en-US" w:eastAsia="zh-CN"/>
              </w:rPr>
              <w:t>行噪声N。</w:t>
            </w:r>
          </w:p>
          <w:p w14:paraId="6552DAB1">
            <w:pPr>
              <w:numPr>
                <w:ilvl w:val="0"/>
                <w:numId w:val="13"/>
              </w:numPr>
              <w:adjustRightInd w:val="0"/>
              <w:snapToGrid w:val="0"/>
              <w:spacing w:line="360" w:lineRule="auto"/>
              <w:ind w:firstLine="480" w:firstLineChars="200"/>
              <w:rPr>
                <w:rFonts w:hint="default" w:cs="Times New Roman"/>
                <w:b w:val="0"/>
                <w:bCs/>
                <w:color w:val="auto"/>
                <w:sz w:val="24"/>
                <w:highlight w:val="none"/>
                <w:lang w:val="en-US" w:eastAsia="zh-CN"/>
              </w:rPr>
            </w:pPr>
            <w:r>
              <w:rPr>
                <w:rFonts w:hint="eastAsia" w:cs="Times New Roman"/>
                <w:b w:val="0"/>
                <w:bCs/>
                <w:color w:val="auto"/>
                <w:sz w:val="24"/>
                <w:highlight w:val="none"/>
                <w:lang w:val="en-US" w:eastAsia="zh-CN"/>
              </w:rPr>
              <w:t>测试：使用蓝电电池测试系统检测电池电压、电流；使用电池温度循环测试机检测不同温度下电池电压、电流；使用精密内阻测试仪检测电池内阻；使用扣电恒温测试一体机检测扣式电池电压、电流。</w:t>
            </w:r>
          </w:p>
          <w:p w14:paraId="2086AF70">
            <w:pPr>
              <w:adjustRightInd w:val="0"/>
              <w:snapToGrid w:val="0"/>
              <w:spacing w:line="360" w:lineRule="auto"/>
              <w:ind w:firstLine="482" w:firstLineChars="200"/>
              <w:rPr>
                <w:rFonts w:hint="eastAsia" w:cs="Times New Roman"/>
                <w:b/>
                <w:bCs w:val="0"/>
                <w:color w:val="auto"/>
                <w:sz w:val="24"/>
                <w:highlight w:val="none"/>
                <w:lang w:val="en-US" w:eastAsia="zh-CN"/>
              </w:rPr>
            </w:pPr>
            <w:r>
              <w:rPr>
                <w:rFonts w:hint="eastAsia" w:cs="Times New Roman"/>
                <w:b/>
                <w:bCs w:val="0"/>
                <w:color w:val="auto"/>
                <w:sz w:val="24"/>
                <w:highlight w:val="none"/>
                <w:lang w:val="en-US" w:eastAsia="zh-CN"/>
              </w:rPr>
              <w:t>该过程产生废电池S7。</w:t>
            </w:r>
          </w:p>
          <w:p w14:paraId="3FE635E9">
            <w:pPr>
              <w:adjustRightInd w:val="0"/>
              <w:snapToGrid w:val="0"/>
              <w:spacing w:line="360" w:lineRule="auto"/>
              <w:ind w:firstLine="482" w:firstLineChars="200"/>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lang w:val="en-US" w:eastAsia="zh-CN"/>
              </w:rPr>
              <w:t>其他产污环节</w:t>
            </w:r>
            <w:r>
              <w:rPr>
                <w:rFonts w:hint="default" w:ascii="Times New Roman" w:hAnsi="Times New Roman" w:eastAsia="宋体" w:cs="Times New Roman"/>
                <w:b/>
                <w:color w:val="auto"/>
                <w:sz w:val="24"/>
                <w:highlight w:val="none"/>
              </w:rPr>
              <w:t>：</w:t>
            </w:r>
          </w:p>
          <w:p w14:paraId="0BE46DF8">
            <w:pPr>
              <w:adjustRightInd w:val="0"/>
              <w:snapToGrid w:val="0"/>
              <w:spacing w:line="360" w:lineRule="auto"/>
              <w:ind w:firstLine="480" w:firstLineChars="200"/>
              <w:rPr>
                <w:rFonts w:hint="default" w:ascii="Times New Roman" w:hAnsi="Times New Roman" w:eastAsia="宋体" w:cs="Times New Roman"/>
                <w:b w:val="0"/>
                <w:bCs w:val="0"/>
                <w:color w:val="auto"/>
                <w:sz w:val="24"/>
                <w:highlight w:val="none"/>
              </w:rPr>
            </w:pPr>
            <w:r>
              <w:rPr>
                <w:rFonts w:hint="eastAsia" w:cs="Times New Roman"/>
                <w:b w:val="0"/>
                <w:bCs w:val="0"/>
                <w:color w:val="auto"/>
                <w:sz w:val="24"/>
                <w:szCs w:val="24"/>
                <w:highlight w:val="none"/>
                <w:lang w:val="en-US" w:eastAsia="zh-CN"/>
              </w:rPr>
              <w:t>部分设备容器根据实验情况需要用乙醇对表面擦洗会产生挥发性有机物G3、试剂</w:t>
            </w:r>
            <w:r>
              <w:rPr>
                <w:rFonts w:hint="default" w:ascii="Times New Roman" w:hAnsi="Times New Roman" w:eastAsia="宋体" w:cs="Times New Roman"/>
                <w:b w:val="0"/>
                <w:bCs w:val="0"/>
                <w:color w:val="auto"/>
                <w:sz w:val="24"/>
                <w:szCs w:val="24"/>
                <w:highlight w:val="none"/>
                <w:lang w:val="en-US" w:eastAsia="zh-CN"/>
              </w:rPr>
              <w:t>使用后会产生</w:t>
            </w:r>
            <w:r>
              <w:rPr>
                <w:rFonts w:hint="eastAsia" w:cs="Times New Roman"/>
                <w:b w:val="0"/>
                <w:bCs w:val="0"/>
                <w:color w:val="auto"/>
                <w:sz w:val="24"/>
                <w:szCs w:val="24"/>
                <w:highlight w:val="none"/>
                <w:lang w:val="en-US" w:eastAsia="zh-CN"/>
              </w:rPr>
              <w:t>废试剂瓶</w:t>
            </w:r>
            <w:r>
              <w:rPr>
                <w:rFonts w:hint="default" w:ascii="Times New Roman" w:hAnsi="Times New Roman" w:eastAsia="宋体" w:cs="Times New Roman"/>
                <w:b w:val="0"/>
                <w:bCs w:val="0"/>
                <w:color w:val="auto"/>
                <w:sz w:val="24"/>
                <w:szCs w:val="24"/>
                <w:highlight w:val="none"/>
                <w:lang w:val="en-US" w:eastAsia="zh-CN"/>
              </w:rPr>
              <w:t>S</w:t>
            </w:r>
            <w:r>
              <w:rPr>
                <w:rFonts w:hint="eastAsia" w:cs="Times New Roman"/>
                <w:b w:val="0"/>
                <w:bCs w:val="0"/>
                <w:color w:val="auto"/>
                <w:sz w:val="24"/>
                <w:szCs w:val="24"/>
                <w:highlight w:val="none"/>
                <w:lang w:val="en-US" w:eastAsia="zh-CN"/>
              </w:rPr>
              <w:t>8、</w:t>
            </w:r>
            <w:r>
              <w:rPr>
                <w:rFonts w:hint="default" w:ascii="Times New Roman" w:hAnsi="Times New Roman" w:eastAsia="宋体" w:cs="Times New Roman"/>
                <w:b w:val="0"/>
                <w:bCs w:val="0"/>
                <w:color w:val="auto"/>
                <w:sz w:val="24"/>
                <w:szCs w:val="24"/>
                <w:highlight w:val="none"/>
                <w:lang w:val="en-US" w:eastAsia="zh-CN"/>
              </w:rPr>
              <w:t>原辅料包装会产生不沾染化学试剂的废包装物S</w:t>
            </w:r>
            <w:r>
              <w:rPr>
                <w:rFonts w:hint="eastAsia" w:cs="Times New Roman"/>
                <w:b w:val="0"/>
                <w:bCs w:val="0"/>
                <w:color w:val="auto"/>
                <w:sz w:val="24"/>
                <w:szCs w:val="24"/>
                <w:highlight w:val="none"/>
                <w:lang w:val="en-US" w:eastAsia="zh-CN"/>
              </w:rPr>
              <w:t>9</w:t>
            </w:r>
            <w:r>
              <w:rPr>
                <w:rFonts w:hint="default" w:ascii="Times New Roman" w:hAnsi="Times New Roman" w:eastAsia="宋体" w:cs="Times New Roman"/>
                <w:b w:val="0"/>
                <w:bCs w:val="0"/>
                <w:color w:val="auto"/>
                <w:sz w:val="24"/>
                <w:szCs w:val="24"/>
                <w:highlight w:val="none"/>
                <w:lang w:val="en-US" w:eastAsia="zh-CN"/>
              </w:rPr>
              <w:t>、</w:t>
            </w:r>
            <w:r>
              <w:rPr>
                <w:rFonts w:hint="eastAsia" w:cs="Times New Roman"/>
                <w:b w:val="0"/>
                <w:bCs w:val="0"/>
                <w:color w:val="auto"/>
                <w:sz w:val="24"/>
                <w:szCs w:val="24"/>
                <w:highlight w:val="none"/>
                <w:lang w:val="en-US" w:eastAsia="zh-CN"/>
              </w:rPr>
              <w:t>设备维护保养会产生废润滑油S10、废油桶S11、纯水制备会产生废滤芯S12、纯水制备废水W2、</w:t>
            </w:r>
            <w:r>
              <w:rPr>
                <w:rFonts w:hint="default" w:ascii="Times New Roman" w:hAnsi="Times New Roman" w:eastAsia="宋体" w:cs="Times New Roman"/>
                <w:b w:val="0"/>
                <w:bCs w:val="0"/>
                <w:color w:val="auto"/>
                <w:sz w:val="24"/>
                <w:szCs w:val="24"/>
                <w:highlight w:val="none"/>
              </w:rPr>
              <w:t>员工生活会产生生活</w:t>
            </w:r>
            <w:r>
              <w:rPr>
                <w:rFonts w:hint="eastAsia" w:cs="Times New Roman"/>
                <w:b w:val="0"/>
                <w:bCs w:val="0"/>
                <w:color w:val="auto"/>
                <w:sz w:val="24"/>
                <w:szCs w:val="24"/>
                <w:highlight w:val="none"/>
                <w:lang w:val="en-US" w:eastAsia="zh-CN"/>
              </w:rPr>
              <w:t>污水W3、生活</w:t>
            </w:r>
            <w:r>
              <w:rPr>
                <w:rFonts w:hint="default" w:ascii="Times New Roman" w:hAnsi="Times New Roman" w:eastAsia="宋体" w:cs="Times New Roman"/>
                <w:b w:val="0"/>
                <w:bCs w:val="0"/>
                <w:color w:val="auto"/>
                <w:sz w:val="24"/>
                <w:szCs w:val="24"/>
                <w:highlight w:val="none"/>
              </w:rPr>
              <w:t>垃圾</w:t>
            </w:r>
            <w:r>
              <w:rPr>
                <w:rFonts w:hint="default" w:ascii="Times New Roman" w:hAnsi="Times New Roman" w:eastAsia="宋体" w:cs="Times New Roman"/>
                <w:b w:val="0"/>
                <w:bCs w:val="0"/>
                <w:color w:val="auto"/>
                <w:sz w:val="24"/>
                <w:szCs w:val="24"/>
                <w:highlight w:val="none"/>
                <w:lang w:val="en-US" w:eastAsia="zh-CN"/>
              </w:rPr>
              <w:t>S</w:t>
            </w:r>
            <w:r>
              <w:rPr>
                <w:rFonts w:hint="eastAsia" w:cs="Times New Roman"/>
                <w:b w:val="0"/>
                <w:bCs w:val="0"/>
                <w:color w:val="auto"/>
                <w:sz w:val="24"/>
                <w:szCs w:val="24"/>
                <w:highlight w:val="none"/>
                <w:lang w:val="en-US" w:eastAsia="zh-CN"/>
              </w:rPr>
              <w:t>13、研发实验过程使用一次性手套、称量纸、移液枪等会产生废一次性实验耗材（废一次性手套、称量纸、移液枪头等）</w:t>
            </w:r>
            <w:r>
              <w:rPr>
                <w:rFonts w:hint="default" w:ascii="Times New Roman" w:hAnsi="Times New Roman" w:eastAsia="宋体" w:cs="Times New Roman"/>
                <w:b w:val="0"/>
                <w:bCs w:val="0"/>
                <w:color w:val="auto"/>
                <w:sz w:val="24"/>
                <w:szCs w:val="24"/>
                <w:highlight w:val="none"/>
              </w:rPr>
              <w:t>。</w:t>
            </w:r>
          </w:p>
          <w:p w14:paraId="1B554284">
            <w:pPr>
              <w:adjustRightInd w:val="0"/>
              <w:spacing w:line="360" w:lineRule="auto"/>
              <w:ind w:firstLine="480" w:firstLineChars="200"/>
              <w:rPr>
                <w:rFonts w:hint="default" w:ascii="Times New Roman" w:hAnsi="Times New Roman" w:eastAsia="宋体" w:cs="Times New Roman"/>
                <w:color w:val="auto"/>
                <w:sz w:val="24"/>
                <w:highlight w:val="none"/>
                <w:lang w:val="zh-CN"/>
              </w:rPr>
            </w:pPr>
            <w:r>
              <w:rPr>
                <w:rFonts w:hint="default" w:ascii="Times New Roman" w:hAnsi="Times New Roman" w:eastAsia="宋体" w:cs="Times New Roman"/>
                <w:color w:val="auto"/>
                <w:sz w:val="24"/>
                <w:highlight w:val="none"/>
                <w:lang w:val="zh-CN"/>
              </w:rPr>
              <w:t>根据本项目的性质，运营期的主要污染源及污染因子识别见下表。</w:t>
            </w:r>
          </w:p>
          <w:p w14:paraId="615A0136">
            <w:pPr>
              <w:numPr>
                <w:ilvl w:val="0"/>
                <w:numId w:val="7"/>
              </w:numPr>
              <w:adjustRightInd w:val="0"/>
              <w:snapToGrid w:val="0"/>
              <w:spacing w:line="360" w:lineRule="auto"/>
              <w:jc w:val="center"/>
              <w:rPr>
                <w:rFonts w:hint="default" w:ascii="Times New Roman" w:hAnsi="Times New Roman" w:eastAsia="宋体" w:cs="Times New Roman"/>
                <w:b/>
                <w:color w:val="auto"/>
                <w:sz w:val="24"/>
                <w:highlight w:val="none"/>
                <w:lang w:val="zh-CN"/>
              </w:rPr>
            </w:pPr>
            <w:r>
              <w:rPr>
                <w:rFonts w:hint="default" w:ascii="Times New Roman" w:hAnsi="Times New Roman" w:eastAsia="宋体" w:cs="Times New Roman"/>
                <w:b/>
                <w:color w:val="auto"/>
                <w:sz w:val="24"/>
                <w:highlight w:val="none"/>
                <w:lang w:val="zh-CN"/>
              </w:rPr>
              <w:t>主要污染源及污染因子识别表</w:t>
            </w:r>
          </w:p>
          <w:tbl>
            <w:tblPr>
              <w:tblStyle w:val="23"/>
              <w:tblW w:w="7816" w:type="dxa"/>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134" w:type="dxa"/>
                <w:bottom w:w="0" w:type="dxa"/>
                <w:right w:w="1701" w:type="dxa"/>
              </w:tblCellMar>
            </w:tblPr>
            <w:tblGrid>
              <w:gridCol w:w="907"/>
              <w:gridCol w:w="1958"/>
              <w:gridCol w:w="2568"/>
              <w:gridCol w:w="2383"/>
            </w:tblGrid>
            <w:tr w14:paraId="614A2B82">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134" w:type="dxa"/>
                  <w:bottom w:w="0" w:type="dxa"/>
                  <w:right w:w="1701" w:type="dxa"/>
                </w:tblCellMar>
              </w:tblPrEx>
              <w:trPr>
                <w:trHeight w:val="406" w:hRule="atLeast"/>
                <w:jc w:val="center"/>
              </w:trPr>
              <w:tc>
                <w:tcPr>
                  <w:tcW w:w="907" w:type="dxa"/>
                  <w:tcBorders>
                    <w:tl2br w:val="nil"/>
                    <w:tr2bl w:val="nil"/>
                  </w:tcBorders>
                  <w:tcMar>
                    <w:top w:w="0" w:type="dxa"/>
                    <w:left w:w="113" w:type="dxa"/>
                    <w:bottom w:w="0" w:type="dxa"/>
                    <w:right w:w="113" w:type="dxa"/>
                  </w:tcMar>
                  <w:vAlign w:val="center"/>
                </w:tcPr>
                <w:p w14:paraId="61B0F0B0">
                  <w:pPr>
                    <w:adjustRightInd w:val="0"/>
                    <w:snapToGri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lang w:val="zh-CN"/>
                    </w:rPr>
                    <w:t>污染物类别</w:t>
                  </w:r>
                </w:p>
              </w:tc>
              <w:tc>
                <w:tcPr>
                  <w:tcW w:w="1958" w:type="dxa"/>
                  <w:tcBorders>
                    <w:tl2br w:val="nil"/>
                    <w:tr2bl w:val="nil"/>
                  </w:tcBorders>
                  <w:tcMar>
                    <w:top w:w="0" w:type="dxa"/>
                    <w:left w:w="113" w:type="dxa"/>
                    <w:bottom w:w="0" w:type="dxa"/>
                    <w:right w:w="113" w:type="dxa"/>
                  </w:tcMar>
                  <w:vAlign w:val="center"/>
                </w:tcPr>
                <w:p w14:paraId="5EC9A50F">
                  <w:pPr>
                    <w:adjustRightInd w:val="0"/>
                    <w:snapToGrid w:val="0"/>
                    <w:jc w:val="center"/>
                    <w:rPr>
                      <w:rFonts w:hint="default" w:ascii="Times New Roman" w:hAnsi="Times New Roman" w:eastAsia="宋体" w:cs="Times New Roman"/>
                      <w:b/>
                      <w:bCs/>
                      <w:color w:val="auto"/>
                      <w:szCs w:val="21"/>
                      <w:highlight w:val="none"/>
                      <w:lang w:eastAsia="zh-CN"/>
                    </w:rPr>
                  </w:pPr>
                  <w:r>
                    <w:rPr>
                      <w:rFonts w:hint="default" w:ascii="Times New Roman" w:hAnsi="Times New Roman" w:eastAsia="宋体" w:cs="Times New Roman"/>
                      <w:b/>
                      <w:bCs/>
                      <w:color w:val="auto"/>
                      <w:szCs w:val="21"/>
                      <w:highlight w:val="none"/>
                      <w:lang w:val="en-US" w:eastAsia="zh-CN"/>
                    </w:rPr>
                    <w:t>排污节点</w:t>
                  </w:r>
                </w:p>
              </w:tc>
              <w:tc>
                <w:tcPr>
                  <w:tcW w:w="2568" w:type="dxa"/>
                  <w:tcBorders>
                    <w:tl2br w:val="nil"/>
                    <w:tr2bl w:val="nil"/>
                  </w:tcBorders>
                  <w:tcMar>
                    <w:top w:w="0" w:type="dxa"/>
                    <w:left w:w="113" w:type="dxa"/>
                    <w:bottom w:w="0" w:type="dxa"/>
                    <w:right w:w="113" w:type="dxa"/>
                  </w:tcMar>
                  <w:vAlign w:val="center"/>
                </w:tcPr>
                <w:p w14:paraId="4D6C8F8B">
                  <w:pPr>
                    <w:adjustRightInd w:val="0"/>
                    <w:snapToGri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污染物</w:t>
                  </w:r>
                </w:p>
              </w:tc>
              <w:tc>
                <w:tcPr>
                  <w:tcW w:w="2383" w:type="dxa"/>
                  <w:tcBorders>
                    <w:tl2br w:val="nil"/>
                    <w:tr2bl w:val="nil"/>
                  </w:tcBorders>
                  <w:tcMar>
                    <w:top w:w="0" w:type="dxa"/>
                    <w:left w:w="113" w:type="dxa"/>
                    <w:bottom w:w="0" w:type="dxa"/>
                    <w:right w:w="113" w:type="dxa"/>
                  </w:tcMar>
                  <w:vAlign w:val="center"/>
                </w:tcPr>
                <w:p w14:paraId="08284C65">
                  <w:pPr>
                    <w:adjustRightInd w:val="0"/>
                    <w:snapToGrid w:val="0"/>
                    <w:jc w:val="center"/>
                    <w:rPr>
                      <w:rFonts w:hint="default" w:ascii="Times New Roman" w:hAnsi="Times New Roman" w:eastAsia="宋体" w:cs="Times New Roman"/>
                      <w:b/>
                      <w:bCs/>
                      <w:color w:val="auto"/>
                      <w:szCs w:val="21"/>
                      <w:highlight w:val="none"/>
                      <w:lang w:val="zh-CN" w:eastAsia="zh-CN"/>
                    </w:rPr>
                  </w:pPr>
                  <w:r>
                    <w:rPr>
                      <w:rFonts w:hint="default" w:ascii="Times New Roman" w:hAnsi="Times New Roman" w:eastAsia="宋体" w:cs="Times New Roman"/>
                      <w:b/>
                      <w:bCs/>
                      <w:color w:val="auto"/>
                      <w:szCs w:val="21"/>
                      <w:highlight w:val="none"/>
                      <w:lang w:val="en-US" w:eastAsia="zh-CN"/>
                    </w:rPr>
                    <w:t>治理措施</w:t>
                  </w:r>
                </w:p>
              </w:tc>
            </w:tr>
            <w:tr w14:paraId="63671643">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134" w:type="dxa"/>
                  <w:bottom w:w="0" w:type="dxa"/>
                  <w:right w:w="1701" w:type="dxa"/>
                </w:tblCellMar>
              </w:tblPrEx>
              <w:trPr>
                <w:trHeight w:val="90" w:hRule="atLeast"/>
                <w:jc w:val="center"/>
              </w:trPr>
              <w:tc>
                <w:tcPr>
                  <w:tcW w:w="907" w:type="dxa"/>
                  <w:vMerge w:val="restart"/>
                  <w:tcBorders>
                    <w:tl2br w:val="nil"/>
                    <w:tr2bl w:val="nil"/>
                  </w:tcBorders>
                  <w:tcMar>
                    <w:top w:w="0" w:type="dxa"/>
                    <w:left w:w="113" w:type="dxa"/>
                    <w:bottom w:w="0" w:type="dxa"/>
                    <w:right w:w="113" w:type="dxa"/>
                  </w:tcMar>
                  <w:vAlign w:val="center"/>
                </w:tcPr>
                <w:p w14:paraId="6AE9D6F7">
                  <w:pPr>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废气</w:t>
                  </w:r>
                </w:p>
              </w:tc>
              <w:tc>
                <w:tcPr>
                  <w:tcW w:w="1958" w:type="dxa"/>
                  <w:tcBorders>
                    <w:tl2br w:val="nil"/>
                    <w:tr2bl w:val="nil"/>
                  </w:tcBorders>
                  <w:tcMar>
                    <w:top w:w="0" w:type="dxa"/>
                    <w:left w:w="113" w:type="dxa"/>
                    <w:bottom w:w="0" w:type="dxa"/>
                    <w:right w:w="113" w:type="dxa"/>
                  </w:tcMar>
                  <w:vAlign w:val="center"/>
                </w:tcPr>
                <w:p w14:paraId="13F97BF7">
                  <w:pPr>
                    <w:keepNext w:val="0"/>
                    <w:keepLines w:val="0"/>
                    <w:widowControl/>
                    <w:suppressLineNumbers w:val="0"/>
                    <w:jc w:val="center"/>
                    <w:rPr>
                      <w:rFonts w:hint="default" w:ascii="Times New Roman" w:hAnsi="Times New Roman" w:eastAsia="宋体" w:cs="Times New Roman"/>
                      <w:color w:val="auto"/>
                      <w:kern w:val="0"/>
                      <w:sz w:val="21"/>
                      <w:szCs w:val="21"/>
                      <w:lang w:val="en-US" w:eastAsia="zh-CN" w:bidi="ar"/>
                    </w:rPr>
                  </w:pPr>
                  <w:r>
                    <w:rPr>
                      <w:rFonts w:hint="eastAsia" w:cs="Times New Roman"/>
                      <w:color w:val="auto"/>
                      <w:kern w:val="0"/>
                      <w:sz w:val="21"/>
                      <w:szCs w:val="21"/>
                      <w:lang w:val="en-US" w:eastAsia="zh-CN" w:bidi="ar"/>
                    </w:rPr>
                    <w:t>正负极浆料制浆、涂布干燥、</w:t>
                  </w:r>
                </w:p>
              </w:tc>
              <w:tc>
                <w:tcPr>
                  <w:tcW w:w="2568" w:type="dxa"/>
                  <w:tcBorders>
                    <w:tl2br w:val="nil"/>
                    <w:tr2bl w:val="nil"/>
                  </w:tcBorders>
                  <w:shd w:val="clear" w:color="auto" w:fill="auto"/>
                  <w:tcMar>
                    <w:top w:w="0" w:type="dxa"/>
                    <w:left w:w="113" w:type="dxa"/>
                    <w:bottom w:w="0" w:type="dxa"/>
                    <w:right w:w="113" w:type="dxa"/>
                  </w:tcMar>
                  <w:vAlign w:val="center"/>
                </w:tcPr>
                <w:p w14:paraId="223D9BD7">
                  <w:pPr>
                    <w:keepNext w:val="0"/>
                    <w:keepLines w:val="0"/>
                    <w:widowControl/>
                    <w:suppressLineNumbers w:val="0"/>
                    <w:jc w:val="center"/>
                    <w:rPr>
                      <w:rFonts w:hint="default" w:ascii="Times New Roman" w:hAnsi="Times New Roman" w:eastAsia="宋体" w:cs="Times New Roman"/>
                      <w:color w:val="auto"/>
                      <w:kern w:val="0"/>
                      <w:sz w:val="21"/>
                      <w:szCs w:val="21"/>
                      <w:lang w:val="en-US" w:eastAsia="zh-CN" w:bidi="ar"/>
                    </w:rPr>
                  </w:pPr>
                  <w:r>
                    <w:rPr>
                      <w:rFonts w:hint="eastAsia" w:cs="Times New Roman"/>
                      <w:color w:val="auto"/>
                      <w:kern w:val="0"/>
                      <w:sz w:val="21"/>
                      <w:szCs w:val="21"/>
                      <w:highlight w:val="none"/>
                      <w:vertAlign w:val="baseline"/>
                      <w:lang w:val="en-US" w:eastAsia="zh-CN"/>
                    </w:rPr>
                    <w:t>非甲烷总烃</w:t>
                  </w:r>
                </w:p>
              </w:tc>
              <w:tc>
                <w:tcPr>
                  <w:tcW w:w="2383" w:type="dxa"/>
                  <w:tcBorders>
                    <w:tl2br w:val="nil"/>
                    <w:tr2bl w:val="nil"/>
                  </w:tcBorders>
                  <w:shd w:val="clear" w:color="auto" w:fill="auto"/>
                  <w:tcMar>
                    <w:top w:w="0" w:type="dxa"/>
                    <w:left w:w="113" w:type="dxa"/>
                    <w:bottom w:w="0" w:type="dxa"/>
                    <w:right w:w="113" w:type="dxa"/>
                  </w:tcMar>
                  <w:vAlign w:val="center"/>
                </w:tcPr>
                <w:p w14:paraId="73E098A3">
                  <w:pPr>
                    <w:keepNext w:val="0"/>
                    <w:keepLines w:val="0"/>
                    <w:widowControl/>
                    <w:suppressLineNumbers w:val="0"/>
                    <w:jc w:val="center"/>
                    <w:rPr>
                      <w:rFonts w:hint="default" w:ascii="Times New Roman" w:hAnsi="Times New Roman" w:eastAsia="宋体" w:cs="Times New Roman"/>
                      <w:color w:val="auto"/>
                      <w:kern w:val="0"/>
                      <w:sz w:val="21"/>
                      <w:szCs w:val="21"/>
                      <w:lang w:val="en-US" w:eastAsia="zh-CN" w:bidi="ar"/>
                    </w:rPr>
                  </w:pPr>
                  <w:r>
                    <w:rPr>
                      <w:rFonts w:hint="eastAsia" w:cs="Times New Roman"/>
                      <w:color w:val="auto"/>
                      <w:kern w:val="0"/>
                      <w:sz w:val="21"/>
                      <w:szCs w:val="21"/>
                      <w:lang w:val="en-US" w:eastAsia="zh-CN" w:bidi="ar"/>
                    </w:rPr>
                    <w:t>转轮式NMP回收装置</w:t>
                  </w:r>
                </w:p>
              </w:tc>
            </w:tr>
            <w:tr w14:paraId="5D436AB8">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134" w:type="dxa"/>
                  <w:bottom w:w="0" w:type="dxa"/>
                  <w:right w:w="1701" w:type="dxa"/>
                </w:tblCellMar>
              </w:tblPrEx>
              <w:trPr>
                <w:trHeight w:val="90" w:hRule="atLeast"/>
                <w:jc w:val="center"/>
              </w:trPr>
              <w:tc>
                <w:tcPr>
                  <w:tcW w:w="907" w:type="dxa"/>
                  <w:vMerge w:val="continue"/>
                  <w:tcBorders>
                    <w:tl2br w:val="nil"/>
                    <w:tr2bl w:val="nil"/>
                  </w:tcBorders>
                  <w:tcMar>
                    <w:top w:w="0" w:type="dxa"/>
                    <w:left w:w="113" w:type="dxa"/>
                    <w:bottom w:w="0" w:type="dxa"/>
                    <w:right w:w="113" w:type="dxa"/>
                  </w:tcMar>
                  <w:vAlign w:val="center"/>
                </w:tcPr>
                <w:p w14:paraId="1E9E64FB">
                  <w:pPr>
                    <w:adjustRightInd w:val="0"/>
                    <w:snapToGrid w:val="0"/>
                    <w:jc w:val="center"/>
                    <w:rPr>
                      <w:rFonts w:hint="eastAsia" w:cs="Times New Roman"/>
                      <w:color w:val="auto"/>
                      <w:szCs w:val="21"/>
                      <w:highlight w:val="none"/>
                      <w:lang w:val="en-US" w:eastAsia="zh-CN"/>
                    </w:rPr>
                  </w:pPr>
                </w:p>
              </w:tc>
              <w:tc>
                <w:tcPr>
                  <w:tcW w:w="1958" w:type="dxa"/>
                  <w:tcBorders>
                    <w:tl2br w:val="nil"/>
                    <w:tr2bl w:val="nil"/>
                  </w:tcBorders>
                  <w:tcMar>
                    <w:top w:w="0" w:type="dxa"/>
                    <w:left w:w="113" w:type="dxa"/>
                    <w:bottom w:w="0" w:type="dxa"/>
                    <w:right w:w="113" w:type="dxa"/>
                  </w:tcMar>
                  <w:vAlign w:val="center"/>
                </w:tcPr>
                <w:p w14:paraId="6B773677">
                  <w:pPr>
                    <w:keepNext w:val="0"/>
                    <w:keepLines w:val="0"/>
                    <w:widowControl/>
                    <w:suppressLineNumbers w:val="0"/>
                    <w:jc w:val="center"/>
                    <w:rPr>
                      <w:rFonts w:hint="default" w:cs="Times New Roman"/>
                      <w:color w:val="auto"/>
                      <w:kern w:val="0"/>
                      <w:sz w:val="21"/>
                      <w:szCs w:val="21"/>
                      <w:lang w:val="en-US" w:eastAsia="zh-CN" w:bidi="ar"/>
                    </w:rPr>
                  </w:pPr>
                  <w:r>
                    <w:rPr>
                      <w:rFonts w:hint="eastAsia" w:cs="Times New Roman"/>
                      <w:color w:val="auto"/>
                      <w:kern w:val="0"/>
                      <w:sz w:val="21"/>
                      <w:szCs w:val="21"/>
                      <w:lang w:val="en-US" w:eastAsia="zh-CN" w:bidi="ar"/>
                    </w:rPr>
                    <w:t>注液</w:t>
                  </w:r>
                </w:p>
              </w:tc>
              <w:tc>
                <w:tcPr>
                  <w:tcW w:w="2568" w:type="dxa"/>
                  <w:tcBorders>
                    <w:tl2br w:val="nil"/>
                    <w:tr2bl w:val="nil"/>
                  </w:tcBorders>
                  <w:shd w:val="clear" w:color="auto" w:fill="auto"/>
                  <w:tcMar>
                    <w:top w:w="0" w:type="dxa"/>
                    <w:left w:w="113" w:type="dxa"/>
                    <w:bottom w:w="0" w:type="dxa"/>
                    <w:right w:w="113" w:type="dxa"/>
                  </w:tcMar>
                  <w:vAlign w:val="center"/>
                </w:tcPr>
                <w:p w14:paraId="086CA80B">
                  <w:pPr>
                    <w:keepNext w:val="0"/>
                    <w:keepLines w:val="0"/>
                    <w:widowControl/>
                    <w:suppressLineNumbers w:val="0"/>
                    <w:jc w:val="center"/>
                    <w:rPr>
                      <w:rFonts w:hint="eastAsia" w:cs="Times New Roman"/>
                      <w:color w:val="auto"/>
                      <w:kern w:val="0"/>
                      <w:sz w:val="21"/>
                      <w:szCs w:val="21"/>
                      <w:highlight w:val="none"/>
                      <w:vertAlign w:val="baseline"/>
                      <w:lang w:val="en-US" w:eastAsia="zh-CN"/>
                    </w:rPr>
                  </w:pPr>
                  <w:r>
                    <w:rPr>
                      <w:rFonts w:hint="eastAsia" w:cs="Times New Roman"/>
                      <w:color w:val="auto"/>
                      <w:kern w:val="0"/>
                      <w:sz w:val="21"/>
                      <w:szCs w:val="21"/>
                      <w:highlight w:val="none"/>
                      <w:vertAlign w:val="baseline"/>
                      <w:lang w:val="en-US" w:eastAsia="zh-CN"/>
                    </w:rPr>
                    <w:t>非甲烷总烃</w:t>
                  </w:r>
                </w:p>
              </w:tc>
              <w:tc>
                <w:tcPr>
                  <w:tcW w:w="2383" w:type="dxa"/>
                  <w:tcBorders>
                    <w:tl2br w:val="nil"/>
                    <w:tr2bl w:val="nil"/>
                  </w:tcBorders>
                  <w:shd w:val="clear" w:color="auto" w:fill="auto"/>
                  <w:tcMar>
                    <w:top w:w="0" w:type="dxa"/>
                    <w:left w:w="113" w:type="dxa"/>
                    <w:bottom w:w="0" w:type="dxa"/>
                    <w:right w:w="113" w:type="dxa"/>
                  </w:tcMar>
                  <w:vAlign w:val="center"/>
                </w:tcPr>
                <w:p w14:paraId="76315CFE">
                  <w:pPr>
                    <w:keepNext w:val="0"/>
                    <w:keepLines w:val="0"/>
                    <w:widowControl/>
                    <w:suppressLineNumbers w:val="0"/>
                    <w:jc w:val="center"/>
                    <w:rPr>
                      <w:rFonts w:hint="default" w:cs="Times New Roman"/>
                      <w:color w:val="auto"/>
                      <w:kern w:val="0"/>
                      <w:sz w:val="21"/>
                      <w:szCs w:val="21"/>
                      <w:lang w:val="en-US" w:eastAsia="zh-CN" w:bidi="ar"/>
                    </w:rPr>
                  </w:pPr>
                  <w:r>
                    <w:rPr>
                      <w:rFonts w:hint="eastAsia" w:cs="Times New Roman"/>
                      <w:color w:val="auto"/>
                      <w:kern w:val="0"/>
                      <w:sz w:val="21"/>
                      <w:szCs w:val="21"/>
                      <w:lang w:val="en-US" w:eastAsia="zh-CN" w:bidi="ar"/>
                    </w:rPr>
                    <w:t>密闭手套箱、活性炭吸附</w:t>
                  </w:r>
                </w:p>
              </w:tc>
            </w:tr>
            <w:tr w14:paraId="22AD2182">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134" w:type="dxa"/>
                  <w:bottom w:w="0" w:type="dxa"/>
                  <w:right w:w="1701" w:type="dxa"/>
                </w:tblCellMar>
              </w:tblPrEx>
              <w:trPr>
                <w:trHeight w:val="90" w:hRule="atLeast"/>
                <w:jc w:val="center"/>
              </w:trPr>
              <w:tc>
                <w:tcPr>
                  <w:tcW w:w="907" w:type="dxa"/>
                  <w:vMerge w:val="continue"/>
                  <w:tcBorders>
                    <w:tl2br w:val="nil"/>
                    <w:tr2bl w:val="nil"/>
                  </w:tcBorders>
                  <w:tcMar>
                    <w:top w:w="0" w:type="dxa"/>
                    <w:left w:w="113" w:type="dxa"/>
                    <w:bottom w:w="0" w:type="dxa"/>
                    <w:right w:w="113" w:type="dxa"/>
                  </w:tcMar>
                  <w:vAlign w:val="center"/>
                </w:tcPr>
                <w:p w14:paraId="270619DE">
                  <w:pPr>
                    <w:adjustRightInd w:val="0"/>
                    <w:snapToGrid w:val="0"/>
                    <w:jc w:val="center"/>
                    <w:rPr>
                      <w:rFonts w:hint="eastAsia" w:cs="Times New Roman"/>
                      <w:color w:val="auto"/>
                      <w:szCs w:val="21"/>
                      <w:highlight w:val="none"/>
                      <w:lang w:val="en-US" w:eastAsia="zh-CN"/>
                    </w:rPr>
                  </w:pPr>
                </w:p>
              </w:tc>
              <w:tc>
                <w:tcPr>
                  <w:tcW w:w="1958" w:type="dxa"/>
                  <w:tcBorders>
                    <w:tl2br w:val="nil"/>
                    <w:tr2bl w:val="nil"/>
                  </w:tcBorders>
                  <w:tcMar>
                    <w:top w:w="0" w:type="dxa"/>
                    <w:left w:w="113" w:type="dxa"/>
                    <w:bottom w:w="0" w:type="dxa"/>
                    <w:right w:w="113" w:type="dxa"/>
                  </w:tcMar>
                  <w:vAlign w:val="center"/>
                </w:tcPr>
                <w:p w14:paraId="427A28FC">
                  <w:pPr>
                    <w:keepNext w:val="0"/>
                    <w:keepLines w:val="0"/>
                    <w:widowControl/>
                    <w:suppressLineNumbers w:val="0"/>
                    <w:jc w:val="center"/>
                    <w:rPr>
                      <w:rFonts w:hint="eastAsia" w:cs="Times New Roman"/>
                      <w:color w:val="auto"/>
                      <w:kern w:val="0"/>
                      <w:sz w:val="21"/>
                      <w:szCs w:val="21"/>
                      <w:lang w:val="en-US" w:eastAsia="zh-CN" w:bidi="ar"/>
                    </w:rPr>
                  </w:pPr>
                  <w:r>
                    <w:rPr>
                      <w:rFonts w:hint="eastAsia" w:cs="Times New Roman"/>
                      <w:color w:val="auto"/>
                      <w:kern w:val="0"/>
                      <w:sz w:val="21"/>
                      <w:szCs w:val="21"/>
                      <w:lang w:val="en-US" w:eastAsia="zh-CN" w:bidi="ar"/>
                    </w:rPr>
                    <w:t>设备擦洗</w:t>
                  </w:r>
                </w:p>
              </w:tc>
              <w:tc>
                <w:tcPr>
                  <w:tcW w:w="2568" w:type="dxa"/>
                  <w:tcBorders>
                    <w:tl2br w:val="nil"/>
                    <w:tr2bl w:val="nil"/>
                  </w:tcBorders>
                  <w:shd w:val="clear" w:color="auto" w:fill="auto"/>
                  <w:tcMar>
                    <w:top w:w="0" w:type="dxa"/>
                    <w:left w:w="113" w:type="dxa"/>
                    <w:bottom w:w="0" w:type="dxa"/>
                    <w:right w:w="113" w:type="dxa"/>
                  </w:tcMar>
                  <w:vAlign w:val="center"/>
                </w:tcPr>
                <w:p w14:paraId="76532BAB">
                  <w:pPr>
                    <w:keepNext w:val="0"/>
                    <w:keepLines w:val="0"/>
                    <w:widowControl/>
                    <w:suppressLineNumbers w:val="0"/>
                    <w:jc w:val="center"/>
                    <w:rPr>
                      <w:rFonts w:hint="eastAsia" w:cs="Times New Roman"/>
                      <w:color w:val="auto"/>
                      <w:kern w:val="0"/>
                      <w:sz w:val="21"/>
                      <w:szCs w:val="21"/>
                      <w:highlight w:val="none"/>
                      <w:vertAlign w:val="baseline"/>
                      <w:lang w:val="en-US" w:eastAsia="zh-CN"/>
                    </w:rPr>
                  </w:pPr>
                  <w:r>
                    <w:rPr>
                      <w:rFonts w:hint="eastAsia" w:cs="Times New Roman"/>
                      <w:color w:val="auto"/>
                      <w:kern w:val="0"/>
                      <w:sz w:val="21"/>
                      <w:szCs w:val="21"/>
                      <w:highlight w:val="none"/>
                      <w:vertAlign w:val="baseline"/>
                      <w:lang w:val="en-US" w:eastAsia="zh-CN"/>
                    </w:rPr>
                    <w:t>非甲烷总烃</w:t>
                  </w:r>
                </w:p>
              </w:tc>
              <w:tc>
                <w:tcPr>
                  <w:tcW w:w="2383" w:type="dxa"/>
                  <w:tcBorders>
                    <w:tl2br w:val="nil"/>
                    <w:tr2bl w:val="nil"/>
                  </w:tcBorders>
                  <w:shd w:val="clear" w:color="auto" w:fill="auto"/>
                  <w:tcMar>
                    <w:top w:w="0" w:type="dxa"/>
                    <w:left w:w="113" w:type="dxa"/>
                    <w:bottom w:w="0" w:type="dxa"/>
                    <w:right w:w="113" w:type="dxa"/>
                  </w:tcMar>
                  <w:vAlign w:val="center"/>
                </w:tcPr>
                <w:p w14:paraId="49709A67">
                  <w:pPr>
                    <w:keepNext w:val="0"/>
                    <w:keepLines w:val="0"/>
                    <w:widowControl/>
                    <w:suppressLineNumbers w:val="0"/>
                    <w:jc w:val="center"/>
                    <w:rPr>
                      <w:rFonts w:hint="default" w:ascii="Times New Roman" w:hAnsi="Times New Roman" w:eastAsia="宋体" w:cs="Times New Roman"/>
                      <w:color w:val="auto"/>
                      <w:kern w:val="0"/>
                      <w:sz w:val="21"/>
                      <w:szCs w:val="21"/>
                      <w:lang w:val="en-US" w:eastAsia="zh-CN" w:bidi="ar"/>
                    </w:rPr>
                  </w:pPr>
                  <w:r>
                    <w:rPr>
                      <w:rFonts w:hint="eastAsia" w:cs="Times New Roman"/>
                      <w:color w:val="auto"/>
                      <w:kern w:val="0"/>
                      <w:sz w:val="21"/>
                      <w:szCs w:val="21"/>
                      <w:lang w:val="en-US" w:eastAsia="zh-CN" w:bidi="ar"/>
                    </w:rPr>
                    <w:t>无组织排放</w:t>
                  </w:r>
                </w:p>
              </w:tc>
            </w:tr>
            <w:tr w14:paraId="208A825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134" w:type="dxa"/>
                  <w:bottom w:w="0" w:type="dxa"/>
                  <w:right w:w="1701" w:type="dxa"/>
                </w:tblCellMar>
              </w:tblPrEx>
              <w:trPr>
                <w:trHeight w:val="619" w:hRule="atLeast"/>
                <w:jc w:val="center"/>
              </w:trPr>
              <w:tc>
                <w:tcPr>
                  <w:tcW w:w="907" w:type="dxa"/>
                  <w:vMerge w:val="continue"/>
                  <w:tcBorders>
                    <w:tl2br w:val="nil"/>
                    <w:tr2bl w:val="nil"/>
                  </w:tcBorders>
                  <w:tcMar>
                    <w:top w:w="0" w:type="dxa"/>
                    <w:left w:w="113" w:type="dxa"/>
                    <w:bottom w:w="0" w:type="dxa"/>
                    <w:right w:w="113" w:type="dxa"/>
                  </w:tcMar>
                  <w:vAlign w:val="center"/>
                </w:tcPr>
                <w:p w14:paraId="20F55435">
                  <w:pPr>
                    <w:adjustRightInd w:val="0"/>
                    <w:snapToGrid w:val="0"/>
                    <w:jc w:val="center"/>
                    <w:rPr>
                      <w:rFonts w:hint="eastAsia" w:cs="Times New Roman"/>
                      <w:color w:val="auto"/>
                      <w:szCs w:val="21"/>
                      <w:highlight w:val="none"/>
                      <w:lang w:val="en-US" w:eastAsia="zh-CN"/>
                    </w:rPr>
                  </w:pPr>
                </w:p>
              </w:tc>
              <w:tc>
                <w:tcPr>
                  <w:tcW w:w="1958" w:type="dxa"/>
                  <w:tcBorders>
                    <w:tl2br w:val="nil"/>
                    <w:tr2bl w:val="nil"/>
                  </w:tcBorders>
                  <w:tcMar>
                    <w:top w:w="0" w:type="dxa"/>
                    <w:left w:w="113" w:type="dxa"/>
                    <w:bottom w:w="0" w:type="dxa"/>
                    <w:right w:w="113" w:type="dxa"/>
                  </w:tcMar>
                  <w:vAlign w:val="center"/>
                </w:tcPr>
                <w:p w14:paraId="34AE344F">
                  <w:pPr>
                    <w:keepNext w:val="0"/>
                    <w:keepLines w:val="0"/>
                    <w:widowControl/>
                    <w:suppressLineNumbers w:val="0"/>
                    <w:jc w:val="center"/>
                    <w:rPr>
                      <w:rFonts w:hint="default" w:cs="Times New Roman"/>
                      <w:color w:val="auto"/>
                      <w:kern w:val="0"/>
                      <w:sz w:val="21"/>
                      <w:szCs w:val="21"/>
                      <w:lang w:val="en-US" w:eastAsia="zh-CN" w:bidi="ar"/>
                    </w:rPr>
                  </w:pPr>
                  <w:r>
                    <w:rPr>
                      <w:rFonts w:hint="eastAsia" w:cs="Times New Roman"/>
                      <w:color w:val="auto"/>
                      <w:kern w:val="0"/>
                      <w:sz w:val="21"/>
                      <w:szCs w:val="21"/>
                      <w:lang w:val="en-US" w:eastAsia="zh-CN" w:bidi="ar"/>
                    </w:rPr>
                    <w:t>喷雾干燥、粉碎、筛分</w:t>
                  </w:r>
                </w:p>
              </w:tc>
              <w:tc>
                <w:tcPr>
                  <w:tcW w:w="2568" w:type="dxa"/>
                  <w:tcBorders>
                    <w:tl2br w:val="nil"/>
                    <w:tr2bl w:val="nil"/>
                  </w:tcBorders>
                  <w:shd w:val="clear" w:color="auto" w:fill="auto"/>
                  <w:tcMar>
                    <w:top w:w="0" w:type="dxa"/>
                    <w:left w:w="113" w:type="dxa"/>
                    <w:bottom w:w="0" w:type="dxa"/>
                    <w:right w:w="113" w:type="dxa"/>
                  </w:tcMar>
                  <w:vAlign w:val="center"/>
                </w:tcPr>
                <w:p w14:paraId="777704B6">
                  <w:pPr>
                    <w:keepNext w:val="0"/>
                    <w:keepLines w:val="0"/>
                    <w:widowControl/>
                    <w:suppressLineNumbers w:val="0"/>
                    <w:jc w:val="center"/>
                    <w:rPr>
                      <w:rFonts w:hint="default" w:cs="Times New Roman"/>
                      <w:color w:val="auto"/>
                      <w:kern w:val="0"/>
                      <w:sz w:val="21"/>
                      <w:szCs w:val="21"/>
                      <w:highlight w:val="none"/>
                      <w:vertAlign w:val="baseline"/>
                      <w:lang w:val="en-US" w:eastAsia="zh-CN"/>
                    </w:rPr>
                  </w:pPr>
                  <w:r>
                    <w:rPr>
                      <w:rFonts w:hint="eastAsia" w:cs="Times New Roman"/>
                      <w:color w:val="auto"/>
                      <w:kern w:val="0"/>
                      <w:sz w:val="21"/>
                      <w:szCs w:val="21"/>
                      <w:highlight w:val="none"/>
                      <w:vertAlign w:val="baseline"/>
                      <w:lang w:val="en-US" w:eastAsia="zh-CN"/>
                    </w:rPr>
                    <w:t>颗粒物</w:t>
                  </w:r>
                </w:p>
              </w:tc>
              <w:tc>
                <w:tcPr>
                  <w:tcW w:w="2383" w:type="dxa"/>
                  <w:tcBorders>
                    <w:tl2br w:val="nil"/>
                    <w:tr2bl w:val="nil"/>
                  </w:tcBorders>
                  <w:shd w:val="clear" w:color="auto" w:fill="auto"/>
                  <w:tcMar>
                    <w:top w:w="0" w:type="dxa"/>
                    <w:left w:w="113" w:type="dxa"/>
                    <w:bottom w:w="0" w:type="dxa"/>
                    <w:right w:w="113" w:type="dxa"/>
                  </w:tcMar>
                  <w:vAlign w:val="center"/>
                </w:tcPr>
                <w:p w14:paraId="0584D25E">
                  <w:pPr>
                    <w:keepNext w:val="0"/>
                    <w:keepLines w:val="0"/>
                    <w:widowControl/>
                    <w:suppressLineNumbers w:val="0"/>
                    <w:jc w:val="center"/>
                    <w:rPr>
                      <w:rFonts w:hint="default" w:cs="Times New Roman"/>
                      <w:color w:val="auto"/>
                      <w:kern w:val="0"/>
                      <w:sz w:val="21"/>
                      <w:szCs w:val="21"/>
                      <w:lang w:val="en-US" w:eastAsia="zh-CN" w:bidi="ar"/>
                    </w:rPr>
                  </w:pPr>
                  <w:r>
                    <w:rPr>
                      <w:rFonts w:hint="eastAsia" w:cs="Times New Roman"/>
                      <w:color w:val="auto"/>
                      <w:kern w:val="0"/>
                      <w:sz w:val="21"/>
                      <w:szCs w:val="21"/>
                      <w:lang w:val="en-US" w:eastAsia="zh-CN" w:bidi="ar"/>
                    </w:rPr>
                    <w:t>密闭设备、密闭房间</w:t>
                  </w:r>
                </w:p>
              </w:tc>
            </w:tr>
            <w:tr w14:paraId="5CFAFF0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134" w:type="dxa"/>
                  <w:bottom w:w="0" w:type="dxa"/>
                  <w:right w:w="1701" w:type="dxa"/>
                </w:tblCellMar>
              </w:tblPrEx>
              <w:trPr>
                <w:trHeight w:val="519" w:hRule="atLeast"/>
                <w:jc w:val="center"/>
              </w:trPr>
              <w:tc>
                <w:tcPr>
                  <w:tcW w:w="907" w:type="dxa"/>
                  <w:vMerge w:val="restart"/>
                  <w:tcBorders>
                    <w:tl2br w:val="nil"/>
                    <w:tr2bl w:val="nil"/>
                  </w:tcBorders>
                  <w:tcMar>
                    <w:top w:w="0" w:type="dxa"/>
                    <w:left w:w="113" w:type="dxa"/>
                    <w:bottom w:w="0" w:type="dxa"/>
                    <w:right w:w="113" w:type="dxa"/>
                  </w:tcMar>
                  <w:vAlign w:val="center"/>
                </w:tcPr>
                <w:p w14:paraId="0843FE7F">
                  <w:pPr>
                    <w:adjustRightInd w:val="0"/>
                    <w:snapToGrid w:val="0"/>
                    <w:jc w:val="center"/>
                    <w:rPr>
                      <w:rFonts w:hint="default" w:ascii="Times New Roman" w:hAnsi="Times New Roman" w:eastAsia="宋体" w:cs="Times New Roman"/>
                      <w:color w:val="auto"/>
                      <w:szCs w:val="21"/>
                      <w:highlight w:val="none"/>
                      <w:lang w:val="zh-CN" w:eastAsia="zh-CN"/>
                    </w:rPr>
                  </w:pPr>
                  <w:r>
                    <w:rPr>
                      <w:rFonts w:hint="default" w:ascii="Times New Roman" w:hAnsi="Times New Roman" w:eastAsia="宋体" w:cs="Times New Roman"/>
                      <w:color w:val="auto"/>
                      <w:szCs w:val="21"/>
                      <w:highlight w:val="none"/>
                      <w:lang w:val="en-US" w:eastAsia="zh-CN"/>
                    </w:rPr>
                    <w:t>废水</w:t>
                  </w:r>
                </w:p>
              </w:tc>
              <w:tc>
                <w:tcPr>
                  <w:tcW w:w="1958" w:type="dxa"/>
                  <w:tcBorders>
                    <w:tl2br w:val="nil"/>
                    <w:tr2bl w:val="nil"/>
                  </w:tcBorders>
                  <w:tcMar>
                    <w:top w:w="0" w:type="dxa"/>
                    <w:left w:w="113" w:type="dxa"/>
                    <w:bottom w:w="0" w:type="dxa"/>
                    <w:right w:w="113" w:type="dxa"/>
                  </w:tcMar>
                  <w:vAlign w:val="center"/>
                </w:tcPr>
                <w:p w14:paraId="5E5EEAC6">
                  <w:pPr>
                    <w:adjustRightInd w:val="0"/>
                    <w:snapToGrid w:val="0"/>
                    <w:jc w:val="center"/>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生活污水</w:t>
                  </w:r>
                </w:p>
              </w:tc>
              <w:tc>
                <w:tcPr>
                  <w:tcW w:w="2568" w:type="dxa"/>
                  <w:tcBorders>
                    <w:tl2br w:val="nil"/>
                    <w:tr2bl w:val="nil"/>
                  </w:tcBorders>
                  <w:tcMar>
                    <w:top w:w="0" w:type="dxa"/>
                    <w:left w:w="113" w:type="dxa"/>
                    <w:bottom w:w="0" w:type="dxa"/>
                    <w:right w:w="113" w:type="dxa"/>
                  </w:tcMar>
                  <w:vAlign w:val="center"/>
                </w:tcPr>
                <w:p w14:paraId="0A552B5A">
                  <w:pPr>
                    <w:keepNext w:val="0"/>
                    <w:keepLines w:val="0"/>
                    <w:widowControl/>
                    <w:suppressLineNumbers w:val="0"/>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pH、COD</w:t>
                  </w:r>
                  <w:r>
                    <w:rPr>
                      <w:rFonts w:hint="default" w:ascii="Times New Roman" w:hAnsi="Times New Roman" w:eastAsia="宋体" w:cs="Times New Roman"/>
                      <w:color w:val="auto"/>
                      <w:kern w:val="0"/>
                      <w:sz w:val="21"/>
                      <w:szCs w:val="21"/>
                      <w:vertAlign w:val="subscript"/>
                      <w:lang w:val="en-US" w:eastAsia="zh-CN" w:bidi="ar"/>
                    </w:rPr>
                    <w:t>Cr</w:t>
                  </w:r>
                  <w:r>
                    <w:rPr>
                      <w:rFonts w:hint="default" w:ascii="Times New Roman" w:hAnsi="Times New Roman" w:eastAsia="宋体" w:cs="Times New Roman"/>
                      <w:color w:val="auto"/>
                      <w:kern w:val="0"/>
                      <w:sz w:val="21"/>
                      <w:szCs w:val="21"/>
                      <w:lang w:val="zh-CN" w:eastAsia="zh-CN" w:bidi="ar"/>
                    </w:rPr>
                    <w:t>、</w:t>
                  </w:r>
                  <w:r>
                    <w:rPr>
                      <w:rFonts w:hint="default" w:ascii="Times New Roman" w:hAnsi="Times New Roman" w:eastAsia="宋体" w:cs="Times New Roman"/>
                      <w:color w:val="auto"/>
                      <w:kern w:val="0"/>
                      <w:sz w:val="21"/>
                      <w:szCs w:val="21"/>
                      <w:lang w:val="en-US" w:eastAsia="zh-CN" w:bidi="ar"/>
                    </w:rPr>
                    <w:t>BOD</w:t>
                  </w:r>
                  <w:r>
                    <w:rPr>
                      <w:rFonts w:hint="default" w:ascii="Times New Roman" w:hAnsi="Times New Roman" w:eastAsia="宋体" w:cs="Times New Roman"/>
                      <w:color w:val="auto"/>
                      <w:kern w:val="0"/>
                      <w:sz w:val="21"/>
                      <w:szCs w:val="21"/>
                      <w:vertAlign w:val="subscript"/>
                      <w:lang w:val="en-US" w:eastAsia="zh-CN" w:bidi="ar"/>
                    </w:rPr>
                    <w:t>5</w:t>
                  </w:r>
                  <w:r>
                    <w:rPr>
                      <w:rFonts w:hint="default" w:ascii="Times New Roman" w:hAnsi="Times New Roman" w:eastAsia="宋体" w:cs="Times New Roman"/>
                      <w:color w:val="auto"/>
                      <w:kern w:val="0"/>
                      <w:sz w:val="21"/>
                      <w:szCs w:val="21"/>
                      <w:lang w:val="zh-CN" w:eastAsia="zh-CN" w:bidi="ar"/>
                    </w:rPr>
                    <w:t>、</w:t>
                  </w:r>
                  <w:r>
                    <w:rPr>
                      <w:rFonts w:hint="default" w:ascii="Times New Roman" w:hAnsi="Times New Roman" w:eastAsia="宋体" w:cs="Times New Roman"/>
                      <w:color w:val="auto"/>
                      <w:kern w:val="0"/>
                      <w:sz w:val="21"/>
                      <w:szCs w:val="21"/>
                      <w:lang w:val="en-US" w:eastAsia="zh-CN" w:bidi="ar"/>
                    </w:rPr>
                    <w:t>SS、氨氮</w:t>
                  </w:r>
                </w:p>
              </w:tc>
              <w:tc>
                <w:tcPr>
                  <w:tcW w:w="2383" w:type="dxa"/>
                  <w:vMerge w:val="restart"/>
                  <w:tcBorders>
                    <w:tl2br w:val="nil"/>
                    <w:tr2bl w:val="nil"/>
                  </w:tcBorders>
                  <w:tcMar>
                    <w:top w:w="0" w:type="dxa"/>
                    <w:left w:w="113" w:type="dxa"/>
                    <w:bottom w:w="0" w:type="dxa"/>
                    <w:right w:w="113" w:type="dxa"/>
                  </w:tcMar>
                  <w:vAlign w:val="center"/>
                </w:tcPr>
                <w:p w14:paraId="65961B36">
                  <w:pPr>
                    <w:keepNext w:val="0"/>
                    <w:keepLines w:val="0"/>
                    <w:widowControl/>
                    <w:suppressLineNumbers w:val="0"/>
                    <w:jc w:val="center"/>
                    <w:rPr>
                      <w:rFonts w:hint="default" w:ascii="Times New Roman" w:hAnsi="Times New Roman" w:eastAsia="宋体" w:cs="Times New Roman"/>
                      <w:color w:val="auto"/>
                      <w:kern w:val="0"/>
                      <w:sz w:val="21"/>
                      <w:szCs w:val="21"/>
                      <w:lang w:val="en-US" w:eastAsia="zh-CN" w:bidi="ar"/>
                    </w:rPr>
                  </w:pPr>
                  <w:r>
                    <w:rPr>
                      <w:rFonts w:hint="eastAsia" w:cs="Times New Roman"/>
                      <w:color w:val="auto"/>
                      <w:kern w:val="0"/>
                      <w:sz w:val="21"/>
                      <w:szCs w:val="21"/>
                      <w:lang w:val="en-US" w:eastAsia="zh-CN" w:bidi="ar"/>
                    </w:rPr>
                    <w:t>设备容器第二次清洗废水、纯水制备废水、</w:t>
                  </w:r>
                  <w:r>
                    <w:rPr>
                      <w:rFonts w:hint="eastAsia" w:ascii="Times New Roman" w:hAnsi="Times New Roman" w:eastAsia="宋体" w:cs="Times New Roman"/>
                      <w:color w:val="auto"/>
                      <w:kern w:val="0"/>
                      <w:sz w:val="21"/>
                      <w:szCs w:val="21"/>
                      <w:lang w:val="en-US" w:eastAsia="zh-CN" w:bidi="ar"/>
                    </w:rPr>
                    <w:t>生活污水一起进</w:t>
                  </w:r>
                  <w:r>
                    <w:rPr>
                      <w:rFonts w:hint="eastAsia" w:cs="Times New Roman"/>
                      <w:color w:val="auto"/>
                      <w:kern w:val="0"/>
                      <w:sz w:val="21"/>
                      <w:szCs w:val="21"/>
                      <w:lang w:val="en-US" w:eastAsia="zh-CN" w:bidi="ar"/>
                    </w:rPr>
                    <w:t>化粪池</w:t>
                  </w:r>
                  <w:r>
                    <w:rPr>
                      <w:rFonts w:hint="eastAsia" w:ascii="Times New Roman" w:hAnsi="Times New Roman" w:eastAsia="宋体" w:cs="Times New Roman"/>
                      <w:color w:val="auto"/>
                      <w:kern w:val="0"/>
                      <w:sz w:val="21"/>
                      <w:szCs w:val="21"/>
                      <w:lang w:val="en-US" w:eastAsia="zh-CN" w:bidi="ar"/>
                    </w:rPr>
                    <w:t>处理，最后经市政管网排入</w:t>
                  </w:r>
                  <w:r>
                    <w:rPr>
                      <w:rFonts w:hint="eastAsia" w:cs="Times New Roman"/>
                      <w:color w:val="auto"/>
                      <w:kern w:val="0"/>
                      <w:sz w:val="21"/>
                      <w:szCs w:val="21"/>
                      <w:lang w:val="en-US" w:eastAsia="zh-CN" w:bidi="ar"/>
                    </w:rPr>
                    <w:t>高碑店再生水厂</w:t>
                  </w:r>
                </w:p>
              </w:tc>
            </w:tr>
            <w:tr w14:paraId="0A94A2A5">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134" w:type="dxa"/>
                  <w:bottom w:w="0" w:type="dxa"/>
                  <w:right w:w="1701" w:type="dxa"/>
                </w:tblCellMar>
              </w:tblPrEx>
              <w:trPr>
                <w:trHeight w:val="519" w:hRule="atLeast"/>
                <w:jc w:val="center"/>
              </w:trPr>
              <w:tc>
                <w:tcPr>
                  <w:tcW w:w="907" w:type="dxa"/>
                  <w:vMerge w:val="continue"/>
                  <w:tcBorders>
                    <w:tl2br w:val="nil"/>
                    <w:tr2bl w:val="nil"/>
                  </w:tcBorders>
                  <w:tcMar>
                    <w:top w:w="0" w:type="dxa"/>
                    <w:left w:w="113" w:type="dxa"/>
                    <w:bottom w:w="0" w:type="dxa"/>
                    <w:right w:w="113" w:type="dxa"/>
                  </w:tcMar>
                  <w:vAlign w:val="center"/>
                </w:tcPr>
                <w:p w14:paraId="49A92012">
                  <w:pPr>
                    <w:adjustRightInd w:val="0"/>
                    <w:snapToGrid w:val="0"/>
                    <w:jc w:val="center"/>
                    <w:rPr>
                      <w:rFonts w:hint="default" w:ascii="Times New Roman" w:hAnsi="Times New Roman" w:eastAsia="宋体" w:cs="Times New Roman"/>
                      <w:color w:val="auto"/>
                      <w:szCs w:val="21"/>
                      <w:highlight w:val="none"/>
                      <w:lang w:val="zh-CN"/>
                    </w:rPr>
                  </w:pPr>
                </w:p>
              </w:tc>
              <w:tc>
                <w:tcPr>
                  <w:tcW w:w="1958" w:type="dxa"/>
                  <w:tcBorders>
                    <w:tl2br w:val="nil"/>
                    <w:tr2bl w:val="nil"/>
                  </w:tcBorders>
                  <w:shd w:val="clear" w:color="auto" w:fill="auto"/>
                  <w:tcMar>
                    <w:top w:w="0" w:type="dxa"/>
                    <w:left w:w="113" w:type="dxa"/>
                    <w:bottom w:w="0" w:type="dxa"/>
                    <w:right w:w="113" w:type="dxa"/>
                  </w:tcMar>
                  <w:vAlign w:val="center"/>
                </w:tcPr>
                <w:p w14:paraId="4B37BF16">
                  <w:pPr>
                    <w:keepNext w:val="0"/>
                    <w:keepLines w:val="0"/>
                    <w:widowControl/>
                    <w:suppressLineNumbers w:val="0"/>
                    <w:ind w:firstLine="210" w:firstLineChars="100"/>
                    <w:jc w:val="center"/>
                    <w:rPr>
                      <w:rFonts w:hint="default" w:ascii="Times New Roman" w:hAnsi="Times New Roman" w:eastAsia="宋体" w:cs="Times New Roman"/>
                      <w:color w:val="auto"/>
                      <w:kern w:val="2"/>
                      <w:sz w:val="21"/>
                      <w:szCs w:val="21"/>
                      <w:highlight w:val="none"/>
                      <w:lang w:val="zh-CN" w:eastAsia="zh-CN" w:bidi="ar-SA"/>
                    </w:rPr>
                  </w:pPr>
                  <w:r>
                    <w:rPr>
                      <w:rFonts w:hint="eastAsia" w:cs="Times New Roman"/>
                      <w:color w:val="auto"/>
                      <w:kern w:val="0"/>
                      <w:sz w:val="21"/>
                      <w:szCs w:val="21"/>
                      <w:lang w:val="en-US" w:eastAsia="zh-CN" w:bidi="ar"/>
                    </w:rPr>
                    <w:t>容器第二次</w:t>
                  </w:r>
                  <w:r>
                    <w:rPr>
                      <w:rFonts w:hint="default" w:ascii="Times New Roman" w:hAnsi="Times New Roman" w:eastAsia="宋体" w:cs="Times New Roman"/>
                      <w:color w:val="auto"/>
                      <w:kern w:val="0"/>
                      <w:sz w:val="21"/>
                      <w:szCs w:val="21"/>
                      <w:lang w:val="en-US" w:eastAsia="zh-CN" w:bidi="ar"/>
                    </w:rPr>
                    <w:t>清洗废水</w:t>
                  </w:r>
                </w:p>
              </w:tc>
              <w:tc>
                <w:tcPr>
                  <w:tcW w:w="2568" w:type="dxa"/>
                  <w:tcBorders>
                    <w:tl2br w:val="nil"/>
                    <w:tr2bl w:val="nil"/>
                  </w:tcBorders>
                  <w:shd w:val="clear" w:color="auto" w:fill="auto"/>
                  <w:tcMar>
                    <w:top w:w="0" w:type="dxa"/>
                    <w:left w:w="113" w:type="dxa"/>
                    <w:bottom w:w="0" w:type="dxa"/>
                    <w:right w:w="113" w:type="dxa"/>
                  </w:tcMar>
                  <w:vAlign w:val="center"/>
                </w:tcPr>
                <w:p w14:paraId="60E973AF">
                  <w:pPr>
                    <w:keepNext w:val="0"/>
                    <w:keepLines w:val="0"/>
                    <w:widowControl/>
                    <w:suppressLineNumbers w:val="0"/>
                    <w:jc w:val="center"/>
                    <w:rPr>
                      <w:rFonts w:hint="default" w:ascii="Times New Roman" w:hAnsi="Times New Roman" w:eastAsia="宋体" w:cs="Times New Roman"/>
                      <w:color w:val="auto"/>
                      <w:kern w:val="0"/>
                      <w:sz w:val="21"/>
                      <w:szCs w:val="21"/>
                      <w:lang w:val="zh-CN" w:eastAsia="zh-CN" w:bidi="ar"/>
                    </w:rPr>
                  </w:pPr>
                  <w:r>
                    <w:rPr>
                      <w:rFonts w:hint="default" w:ascii="Times New Roman" w:hAnsi="Times New Roman" w:eastAsia="宋体" w:cs="Times New Roman"/>
                      <w:color w:val="auto"/>
                      <w:kern w:val="0"/>
                      <w:sz w:val="21"/>
                      <w:szCs w:val="21"/>
                      <w:lang w:val="en-US" w:eastAsia="zh-CN" w:bidi="ar"/>
                    </w:rPr>
                    <w:t>pH、COD</w:t>
                  </w:r>
                  <w:r>
                    <w:rPr>
                      <w:rFonts w:hint="default" w:ascii="Times New Roman" w:hAnsi="Times New Roman" w:eastAsia="宋体" w:cs="Times New Roman"/>
                      <w:color w:val="auto"/>
                      <w:kern w:val="0"/>
                      <w:sz w:val="21"/>
                      <w:szCs w:val="21"/>
                      <w:vertAlign w:val="subscript"/>
                      <w:lang w:val="en-US" w:eastAsia="zh-CN" w:bidi="ar"/>
                    </w:rPr>
                    <w:t>Cr</w:t>
                  </w:r>
                  <w:r>
                    <w:rPr>
                      <w:rFonts w:hint="default" w:ascii="Times New Roman" w:hAnsi="Times New Roman" w:eastAsia="宋体" w:cs="Times New Roman"/>
                      <w:color w:val="auto"/>
                      <w:kern w:val="0"/>
                      <w:sz w:val="21"/>
                      <w:szCs w:val="21"/>
                      <w:lang w:val="zh-CN" w:eastAsia="zh-CN" w:bidi="ar"/>
                    </w:rPr>
                    <w:t>、</w:t>
                  </w:r>
                  <w:r>
                    <w:rPr>
                      <w:rFonts w:hint="default" w:ascii="Times New Roman" w:hAnsi="Times New Roman" w:eastAsia="宋体" w:cs="Times New Roman"/>
                      <w:color w:val="auto"/>
                      <w:kern w:val="0"/>
                      <w:sz w:val="21"/>
                      <w:szCs w:val="21"/>
                      <w:lang w:val="en-US" w:eastAsia="zh-CN" w:bidi="ar"/>
                    </w:rPr>
                    <w:t>BOD</w:t>
                  </w:r>
                  <w:r>
                    <w:rPr>
                      <w:rFonts w:hint="default" w:ascii="Times New Roman" w:hAnsi="Times New Roman" w:eastAsia="宋体" w:cs="Times New Roman"/>
                      <w:color w:val="auto"/>
                      <w:kern w:val="0"/>
                      <w:sz w:val="21"/>
                      <w:szCs w:val="21"/>
                      <w:vertAlign w:val="subscript"/>
                      <w:lang w:val="en-US" w:eastAsia="zh-CN" w:bidi="ar"/>
                    </w:rPr>
                    <w:t>5</w:t>
                  </w:r>
                  <w:r>
                    <w:rPr>
                      <w:rFonts w:hint="default" w:ascii="Times New Roman" w:hAnsi="Times New Roman" w:eastAsia="宋体" w:cs="Times New Roman"/>
                      <w:color w:val="auto"/>
                      <w:kern w:val="0"/>
                      <w:sz w:val="21"/>
                      <w:szCs w:val="21"/>
                      <w:lang w:val="zh-CN" w:eastAsia="zh-CN" w:bidi="ar"/>
                    </w:rPr>
                    <w:t>、</w:t>
                  </w:r>
                  <w:r>
                    <w:rPr>
                      <w:rFonts w:hint="default" w:ascii="Times New Roman" w:hAnsi="Times New Roman" w:eastAsia="宋体" w:cs="Times New Roman"/>
                      <w:color w:val="auto"/>
                      <w:kern w:val="0"/>
                      <w:sz w:val="21"/>
                      <w:szCs w:val="21"/>
                      <w:lang w:val="en-US" w:eastAsia="zh-CN" w:bidi="ar"/>
                    </w:rPr>
                    <w:t>SS</w:t>
                  </w:r>
                </w:p>
              </w:tc>
              <w:tc>
                <w:tcPr>
                  <w:tcW w:w="2383" w:type="dxa"/>
                  <w:vMerge w:val="continue"/>
                  <w:tcBorders>
                    <w:tl2br w:val="nil"/>
                    <w:tr2bl w:val="nil"/>
                  </w:tcBorders>
                  <w:shd w:val="clear" w:color="auto" w:fill="auto"/>
                  <w:tcMar>
                    <w:top w:w="0" w:type="dxa"/>
                    <w:left w:w="113" w:type="dxa"/>
                    <w:bottom w:w="0" w:type="dxa"/>
                    <w:right w:w="113" w:type="dxa"/>
                  </w:tcMar>
                  <w:vAlign w:val="center"/>
                </w:tcPr>
                <w:p w14:paraId="63C767B4">
                  <w:pPr>
                    <w:keepNext w:val="0"/>
                    <w:keepLines w:val="0"/>
                    <w:widowControl/>
                    <w:suppressLineNumbers w:val="0"/>
                    <w:jc w:val="center"/>
                    <w:rPr>
                      <w:rFonts w:hint="default" w:ascii="Times New Roman" w:hAnsi="Times New Roman" w:eastAsia="宋体" w:cs="Times New Roman"/>
                      <w:color w:val="auto"/>
                      <w:kern w:val="0"/>
                      <w:sz w:val="21"/>
                      <w:szCs w:val="21"/>
                      <w:lang w:val="zh-CN" w:eastAsia="zh-CN" w:bidi="ar"/>
                    </w:rPr>
                  </w:pPr>
                </w:p>
              </w:tc>
            </w:tr>
            <w:tr w14:paraId="240E35BF">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134" w:type="dxa"/>
                  <w:bottom w:w="0" w:type="dxa"/>
                  <w:right w:w="1701" w:type="dxa"/>
                </w:tblCellMar>
              </w:tblPrEx>
              <w:trPr>
                <w:trHeight w:val="519" w:hRule="atLeast"/>
                <w:jc w:val="center"/>
              </w:trPr>
              <w:tc>
                <w:tcPr>
                  <w:tcW w:w="907" w:type="dxa"/>
                  <w:vMerge w:val="continue"/>
                  <w:tcBorders>
                    <w:tl2br w:val="nil"/>
                    <w:tr2bl w:val="nil"/>
                  </w:tcBorders>
                  <w:tcMar>
                    <w:top w:w="0" w:type="dxa"/>
                    <w:left w:w="113" w:type="dxa"/>
                    <w:bottom w:w="0" w:type="dxa"/>
                    <w:right w:w="113" w:type="dxa"/>
                  </w:tcMar>
                  <w:vAlign w:val="center"/>
                </w:tcPr>
                <w:p w14:paraId="16B56E77">
                  <w:pPr>
                    <w:adjustRightInd w:val="0"/>
                    <w:snapToGrid w:val="0"/>
                    <w:jc w:val="center"/>
                    <w:rPr>
                      <w:rFonts w:hint="default" w:ascii="Times New Roman" w:hAnsi="Times New Roman" w:eastAsia="宋体" w:cs="Times New Roman"/>
                      <w:color w:val="auto"/>
                      <w:szCs w:val="21"/>
                      <w:highlight w:val="none"/>
                      <w:lang w:val="zh-CN"/>
                    </w:rPr>
                  </w:pPr>
                </w:p>
              </w:tc>
              <w:tc>
                <w:tcPr>
                  <w:tcW w:w="1958" w:type="dxa"/>
                  <w:tcBorders>
                    <w:tl2br w:val="nil"/>
                    <w:tr2bl w:val="nil"/>
                  </w:tcBorders>
                  <w:shd w:val="clear" w:color="auto" w:fill="auto"/>
                  <w:tcMar>
                    <w:top w:w="0" w:type="dxa"/>
                    <w:left w:w="113" w:type="dxa"/>
                    <w:bottom w:w="0" w:type="dxa"/>
                    <w:right w:w="113" w:type="dxa"/>
                  </w:tcMar>
                  <w:vAlign w:val="center"/>
                </w:tcPr>
                <w:p w14:paraId="5EB22197">
                  <w:pPr>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纯水制备废水</w:t>
                  </w:r>
                </w:p>
              </w:tc>
              <w:tc>
                <w:tcPr>
                  <w:tcW w:w="2568" w:type="dxa"/>
                  <w:tcBorders>
                    <w:tl2br w:val="nil"/>
                    <w:tr2bl w:val="nil"/>
                  </w:tcBorders>
                  <w:shd w:val="clear" w:color="auto" w:fill="auto"/>
                  <w:tcMar>
                    <w:top w:w="0" w:type="dxa"/>
                    <w:left w:w="113" w:type="dxa"/>
                    <w:bottom w:w="0" w:type="dxa"/>
                    <w:right w:w="113" w:type="dxa"/>
                  </w:tcMar>
                  <w:vAlign w:val="center"/>
                </w:tcPr>
                <w:p w14:paraId="67EF0A1E">
                  <w:pPr>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pH、SS、</w:t>
                  </w:r>
                  <w:r>
                    <w:rPr>
                      <w:rFonts w:hint="eastAsia" w:ascii="Times New Roman" w:hAnsi="Times New Roman" w:cs="Times New Roman"/>
                      <w:color w:val="auto"/>
                      <w:szCs w:val="21"/>
                      <w:highlight w:val="none"/>
                      <w:lang w:val="en-US" w:eastAsia="zh-CN"/>
                    </w:rPr>
                    <w:t>可溶性固体总量</w:t>
                  </w:r>
                </w:p>
              </w:tc>
              <w:tc>
                <w:tcPr>
                  <w:tcW w:w="2383" w:type="dxa"/>
                  <w:vMerge w:val="continue"/>
                  <w:tcBorders>
                    <w:tl2br w:val="nil"/>
                    <w:tr2bl w:val="nil"/>
                  </w:tcBorders>
                  <w:shd w:val="clear" w:color="auto" w:fill="auto"/>
                  <w:tcMar>
                    <w:top w:w="0" w:type="dxa"/>
                    <w:left w:w="113" w:type="dxa"/>
                    <w:bottom w:w="0" w:type="dxa"/>
                    <w:right w:w="113" w:type="dxa"/>
                  </w:tcMar>
                  <w:vAlign w:val="center"/>
                </w:tcPr>
                <w:p w14:paraId="3AC78F16">
                  <w:pPr>
                    <w:keepNext w:val="0"/>
                    <w:keepLines w:val="0"/>
                    <w:widowControl/>
                    <w:suppressLineNumbers w:val="0"/>
                    <w:jc w:val="center"/>
                    <w:rPr>
                      <w:rFonts w:hint="default" w:ascii="Times New Roman" w:hAnsi="Times New Roman" w:eastAsia="宋体" w:cs="Times New Roman"/>
                      <w:color w:val="auto"/>
                      <w:kern w:val="0"/>
                      <w:sz w:val="21"/>
                      <w:szCs w:val="21"/>
                      <w:lang w:val="zh-CN" w:eastAsia="zh-CN" w:bidi="ar"/>
                    </w:rPr>
                  </w:pPr>
                </w:p>
              </w:tc>
            </w:tr>
            <w:tr w14:paraId="6D70F663">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134" w:type="dxa"/>
                  <w:bottom w:w="0" w:type="dxa"/>
                  <w:right w:w="1701" w:type="dxa"/>
                </w:tblCellMar>
              </w:tblPrEx>
              <w:trPr>
                <w:trHeight w:val="519" w:hRule="atLeast"/>
                <w:jc w:val="center"/>
              </w:trPr>
              <w:tc>
                <w:tcPr>
                  <w:tcW w:w="907" w:type="dxa"/>
                  <w:tcBorders>
                    <w:tl2br w:val="nil"/>
                    <w:tr2bl w:val="nil"/>
                  </w:tcBorders>
                  <w:tcMar>
                    <w:top w:w="0" w:type="dxa"/>
                    <w:left w:w="113" w:type="dxa"/>
                    <w:bottom w:w="0" w:type="dxa"/>
                    <w:right w:w="113" w:type="dxa"/>
                  </w:tcMar>
                  <w:vAlign w:val="center"/>
                </w:tcPr>
                <w:p w14:paraId="31331001">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zh-CN"/>
                    </w:rPr>
                    <w:t>噪声</w:t>
                  </w:r>
                </w:p>
              </w:tc>
              <w:tc>
                <w:tcPr>
                  <w:tcW w:w="1958" w:type="dxa"/>
                  <w:tcBorders>
                    <w:tl2br w:val="nil"/>
                    <w:tr2bl w:val="nil"/>
                  </w:tcBorders>
                  <w:tcMar>
                    <w:top w:w="0" w:type="dxa"/>
                    <w:left w:w="113" w:type="dxa"/>
                    <w:bottom w:w="0" w:type="dxa"/>
                    <w:right w:w="113" w:type="dxa"/>
                  </w:tcMar>
                  <w:vAlign w:val="center"/>
                </w:tcPr>
                <w:p w14:paraId="7F66156C">
                  <w:pPr>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实验</w:t>
                  </w:r>
                  <w:r>
                    <w:rPr>
                      <w:rFonts w:hint="eastAsia" w:ascii="Times New Roman" w:hAnsi="Times New Roman" w:eastAsia="宋体" w:cs="Times New Roman"/>
                      <w:color w:val="auto"/>
                      <w:szCs w:val="21"/>
                      <w:highlight w:val="none"/>
                      <w:lang w:val="en-US" w:eastAsia="zh-CN"/>
                    </w:rPr>
                    <w:t>设备</w:t>
                  </w:r>
                  <w:r>
                    <w:rPr>
                      <w:rFonts w:hint="default" w:ascii="Times New Roman" w:hAnsi="Times New Roman" w:eastAsia="宋体" w:cs="Times New Roman"/>
                      <w:color w:val="auto"/>
                      <w:szCs w:val="21"/>
                      <w:highlight w:val="none"/>
                      <w:lang w:val="en-US" w:eastAsia="zh-CN"/>
                    </w:rPr>
                    <w:t>、公用工程、环保设施运行</w:t>
                  </w:r>
                </w:p>
              </w:tc>
              <w:tc>
                <w:tcPr>
                  <w:tcW w:w="2568" w:type="dxa"/>
                  <w:tcBorders>
                    <w:tl2br w:val="nil"/>
                    <w:tr2bl w:val="nil"/>
                  </w:tcBorders>
                  <w:tcMar>
                    <w:top w:w="0" w:type="dxa"/>
                    <w:left w:w="113" w:type="dxa"/>
                    <w:bottom w:w="0" w:type="dxa"/>
                    <w:right w:w="113" w:type="dxa"/>
                  </w:tcMar>
                  <w:vAlign w:val="center"/>
                </w:tcPr>
                <w:p w14:paraId="759F3306">
                  <w:pPr>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等效连续A声级</w:t>
                  </w:r>
                </w:p>
              </w:tc>
              <w:tc>
                <w:tcPr>
                  <w:tcW w:w="2383" w:type="dxa"/>
                  <w:tcBorders>
                    <w:tl2br w:val="nil"/>
                    <w:tr2bl w:val="nil"/>
                  </w:tcBorders>
                  <w:tcMar>
                    <w:top w:w="0" w:type="dxa"/>
                    <w:left w:w="113" w:type="dxa"/>
                    <w:bottom w:w="0" w:type="dxa"/>
                    <w:right w:w="113" w:type="dxa"/>
                  </w:tcMar>
                  <w:vAlign w:val="center"/>
                </w:tcPr>
                <w:p w14:paraId="259FF395">
                  <w:pPr>
                    <w:keepNext w:val="0"/>
                    <w:keepLines w:val="0"/>
                    <w:widowControl/>
                    <w:suppressLineNumbers w:val="0"/>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选用低噪声设备、厂房隔声、设置隔声罩、减振垫等措施。</w:t>
                  </w:r>
                </w:p>
              </w:tc>
            </w:tr>
            <w:tr w14:paraId="51075614">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134" w:type="dxa"/>
                  <w:bottom w:w="0" w:type="dxa"/>
                  <w:right w:w="1701" w:type="dxa"/>
                </w:tblCellMar>
              </w:tblPrEx>
              <w:trPr>
                <w:trHeight w:val="519" w:hRule="atLeast"/>
                <w:jc w:val="center"/>
              </w:trPr>
              <w:tc>
                <w:tcPr>
                  <w:tcW w:w="907" w:type="dxa"/>
                  <w:vMerge w:val="restart"/>
                  <w:tcBorders>
                    <w:tl2br w:val="nil"/>
                    <w:tr2bl w:val="nil"/>
                  </w:tcBorders>
                  <w:tcMar>
                    <w:top w:w="0" w:type="dxa"/>
                    <w:left w:w="113" w:type="dxa"/>
                    <w:bottom w:w="0" w:type="dxa"/>
                    <w:right w:w="113" w:type="dxa"/>
                  </w:tcMar>
                  <w:vAlign w:val="center"/>
                </w:tcPr>
                <w:p w14:paraId="527979BD">
                  <w:pPr>
                    <w:adjustRightInd w:val="0"/>
                    <w:snapToGrid w:val="0"/>
                    <w:jc w:val="center"/>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固体废物</w:t>
                  </w:r>
                </w:p>
              </w:tc>
              <w:tc>
                <w:tcPr>
                  <w:tcW w:w="1958" w:type="dxa"/>
                  <w:tcBorders>
                    <w:tl2br w:val="nil"/>
                    <w:tr2bl w:val="nil"/>
                  </w:tcBorders>
                  <w:tcMar>
                    <w:top w:w="0" w:type="dxa"/>
                    <w:left w:w="113" w:type="dxa"/>
                    <w:bottom w:w="0" w:type="dxa"/>
                    <w:right w:w="113" w:type="dxa"/>
                  </w:tcMar>
                  <w:vAlign w:val="center"/>
                </w:tcPr>
                <w:p w14:paraId="263DAD44">
                  <w:pPr>
                    <w:adjustRightInd w:val="0"/>
                    <w:snapToGrid w:val="0"/>
                    <w:jc w:val="center"/>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员工生活</w:t>
                  </w:r>
                </w:p>
              </w:tc>
              <w:tc>
                <w:tcPr>
                  <w:tcW w:w="2568" w:type="dxa"/>
                  <w:tcBorders>
                    <w:tl2br w:val="nil"/>
                    <w:tr2bl w:val="nil"/>
                  </w:tcBorders>
                  <w:shd w:val="clear" w:color="auto" w:fill="auto"/>
                  <w:tcMar>
                    <w:top w:w="0" w:type="dxa"/>
                    <w:left w:w="113" w:type="dxa"/>
                    <w:bottom w:w="0" w:type="dxa"/>
                    <w:right w:w="113" w:type="dxa"/>
                  </w:tcMar>
                  <w:vAlign w:val="center"/>
                </w:tcPr>
                <w:p w14:paraId="2F2BF4B3">
                  <w:pPr>
                    <w:adjustRightInd w:val="0"/>
                    <w:snapToGrid w:val="0"/>
                    <w:jc w:val="center"/>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生活垃圾</w:t>
                  </w:r>
                </w:p>
              </w:tc>
              <w:tc>
                <w:tcPr>
                  <w:tcW w:w="2383" w:type="dxa"/>
                  <w:tcBorders>
                    <w:tl2br w:val="nil"/>
                    <w:tr2bl w:val="nil"/>
                  </w:tcBorders>
                  <w:shd w:val="clear" w:color="auto" w:fill="auto"/>
                  <w:tcMar>
                    <w:top w:w="0" w:type="dxa"/>
                    <w:left w:w="113" w:type="dxa"/>
                    <w:bottom w:w="0" w:type="dxa"/>
                    <w:right w:w="113" w:type="dxa"/>
                  </w:tcMar>
                  <w:vAlign w:val="center"/>
                </w:tcPr>
                <w:p w14:paraId="5450C917">
                  <w:pPr>
                    <w:keepNext w:val="0"/>
                    <w:keepLines w:val="0"/>
                    <w:widowControl/>
                    <w:suppressLineNumbers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kern w:val="0"/>
                      <w:sz w:val="21"/>
                      <w:szCs w:val="21"/>
                      <w:lang w:val="en-US" w:eastAsia="zh-CN" w:bidi="ar"/>
                    </w:rPr>
                    <w:t>分类收集后由当地环卫部门清运</w:t>
                  </w:r>
                </w:p>
              </w:tc>
            </w:tr>
            <w:tr w14:paraId="388C9A6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134" w:type="dxa"/>
                  <w:bottom w:w="0" w:type="dxa"/>
                  <w:right w:w="1701" w:type="dxa"/>
                </w:tblCellMar>
              </w:tblPrEx>
              <w:trPr>
                <w:trHeight w:val="264" w:hRule="atLeast"/>
                <w:jc w:val="center"/>
              </w:trPr>
              <w:tc>
                <w:tcPr>
                  <w:tcW w:w="907" w:type="dxa"/>
                  <w:vMerge w:val="continue"/>
                  <w:tcBorders>
                    <w:tl2br w:val="nil"/>
                    <w:tr2bl w:val="nil"/>
                  </w:tcBorders>
                  <w:tcMar>
                    <w:top w:w="0" w:type="dxa"/>
                    <w:left w:w="113" w:type="dxa"/>
                    <w:bottom w:w="0" w:type="dxa"/>
                    <w:right w:w="113" w:type="dxa"/>
                  </w:tcMar>
                  <w:vAlign w:val="center"/>
                </w:tcPr>
                <w:p w14:paraId="082CDA05">
                  <w:pPr>
                    <w:adjustRightInd w:val="0"/>
                    <w:snapToGrid w:val="0"/>
                    <w:jc w:val="center"/>
                    <w:rPr>
                      <w:rFonts w:hint="default" w:ascii="Times New Roman" w:hAnsi="Times New Roman" w:eastAsia="宋体" w:cs="Times New Roman"/>
                      <w:color w:val="auto"/>
                      <w:szCs w:val="21"/>
                      <w:highlight w:val="none"/>
                      <w:lang w:val="zh-CN"/>
                    </w:rPr>
                  </w:pPr>
                </w:p>
              </w:tc>
              <w:tc>
                <w:tcPr>
                  <w:tcW w:w="1958" w:type="dxa"/>
                  <w:vMerge w:val="restart"/>
                  <w:tcBorders>
                    <w:tl2br w:val="nil"/>
                    <w:tr2bl w:val="nil"/>
                  </w:tcBorders>
                  <w:shd w:val="clear" w:color="auto" w:fill="auto"/>
                  <w:tcMar>
                    <w:top w:w="0" w:type="dxa"/>
                    <w:left w:w="113" w:type="dxa"/>
                    <w:bottom w:w="0" w:type="dxa"/>
                    <w:right w:w="113" w:type="dxa"/>
                  </w:tcMar>
                  <w:vAlign w:val="center"/>
                </w:tcPr>
                <w:p w14:paraId="70CC0C09">
                  <w:pPr>
                    <w:adjustRightInd w:val="0"/>
                    <w:snapToGrid w:val="0"/>
                    <w:jc w:val="center"/>
                    <w:rPr>
                      <w:rFonts w:hint="default" w:ascii="Times New Roman" w:hAnsi="Times New Roman" w:eastAsia="宋体" w:cs="Times New Roman"/>
                      <w:color w:val="auto"/>
                      <w:szCs w:val="21"/>
                      <w:highlight w:val="none"/>
                      <w:lang w:val="zh-CN" w:eastAsia="zh-CN"/>
                    </w:rPr>
                  </w:pPr>
                  <w:r>
                    <w:rPr>
                      <w:rFonts w:hint="default" w:ascii="Times New Roman" w:hAnsi="Times New Roman" w:eastAsia="宋体" w:cs="Times New Roman"/>
                      <w:color w:val="auto"/>
                      <w:szCs w:val="21"/>
                      <w:highlight w:val="none"/>
                      <w:lang w:val="en-US" w:eastAsia="zh-CN"/>
                    </w:rPr>
                    <w:t>一般</w:t>
                  </w:r>
                  <w:r>
                    <w:rPr>
                      <w:rFonts w:hint="eastAsia" w:ascii="Times New Roman" w:hAnsi="Times New Roman" w:eastAsia="宋体" w:cs="Times New Roman"/>
                      <w:color w:val="auto"/>
                      <w:szCs w:val="21"/>
                      <w:highlight w:val="none"/>
                      <w:lang w:val="en-US" w:eastAsia="zh-CN"/>
                    </w:rPr>
                    <w:t>工业</w:t>
                  </w:r>
                  <w:r>
                    <w:rPr>
                      <w:rFonts w:hint="default" w:ascii="Times New Roman" w:hAnsi="Times New Roman" w:eastAsia="宋体" w:cs="Times New Roman"/>
                      <w:color w:val="auto"/>
                      <w:szCs w:val="21"/>
                      <w:highlight w:val="none"/>
                      <w:lang w:val="en-US" w:eastAsia="zh-CN"/>
                    </w:rPr>
                    <w:t>固体废物</w:t>
                  </w:r>
                </w:p>
              </w:tc>
              <w:tc>
                <w:tcPr>
                  <w:tcW w:w="2568" w:type="dxa"/>
                  <w:tcBorders>
                    <w:tl2br w:val="nil"/>
                    <w:tr2bl w:val="nil"/>
                  </w:tcBorders>
                  <w:shd w:val="clear" w:color="auto" w:fill="auto"/>
                  <w:tcMar>
                    <w:top w:w="0" w:type="dxa"/>
                    <w:left w:w="113" w:type="dxa"/>
                    <w:bottom w:w="0" w:type="dxa"/>
                    <w:right w:w="113" w:type="dxa"/>
                  </w:tcMar>
                  <w:vAlign w:val="center"/>
                </w:tcPr>
                <w:p w14:paraId="48F76392">
                  <w:pPr>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不沾染化学试剂的</w:t>
                  </w:r>
                </w:p>
                <w:p w14:paraId="20714A2A">
                  <w:pPr>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废包装物</w:t>
                  </w:r>
                </w:p>
              </w:tc>
              <w:tc>
                <w:tcPr>
                  <w:tcW w:w="2383" w:type="dxa"/>
                  <w:tcBorders>
                    <w:tl2br w:val="nil"/>
                    <w:tr2bl w:val="nil"/>
                  </w:tcBorders>
                  <w:shd w:val="clear" w:color="auto" w:fill="auto"/>
                  <w:tcMar>
                    <w:top w:w="0" w:type="dxa"/>
                    <w:left w:w="113" w:type="dxa"/>
                    <w:bottom w:w="0" w:type="dxa"/>
                    <w:right w:w="113" w:type="dxa"/>
                  </w:tcMar>
                  <w:vAlign w:val="center"/>
                </w:tcPr>
                <w:p w14:paraId="784A7C00">
                  <w:pPr>
                    <w:keepNext w:val="0"/>
                    <w:keepLines w:val="0"/>
                    <w:widowControl/>
                    <w:suppressLineNumbers w:val="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物资部门回收</w:t>
                  </w:r>
                </w:p>
              </w:tc>
            </w:tr>
            <w:tr w14:paraId="7D70CF1B">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134" w:type="dxa"/>
                  <w:bottom w:w="0" w:type="dxa"/>
                  <w:right w:w="1701" w:type="dxa"/>
                </w:tblCellMar>
              </w:tblPrEx>
              <w:trPr>
                <w:trHeight w:val="264" w:hRule="atLeast"/>
                <w:jc w:val="center"/>
              </w:trPr>
              <w:tc>
                <w:tcPr>
                  <w:tcW w:w="907" w:type="dxa"/>
                  <w:vMerge w:val="continue"/>
                  <w:tcBorders>
                    <w:tl2br w:val="nil"/>
                    <w:tr2bl w:val="nil"/>
                  </w:tcBorders>
                  <w:tcMar>
                    <w:top w:w="0" w:type="dxa"/>
                    <w:left w:w="113" w:type="dxa"/>
                    <w:bottom w:w="0" w:type="dxa"/>
                    <w:right w:w="113" w:type="dxa"/>
                  </w:tcMar>
                  <w:vAlign w:val="center"/>
                </w:tcPr>
                <w:p w14:paraId="3ECAE9FE">
                  <w:pPr>
                    <w:adjustRightInd w:val="0"/>
                    <w:snapToGrid w:val="0"/>
                    <w:jc w:val="center"/>
                    <w:rPr>
                      <w:rFonts w:hint="default" w:ascii="Times New Roman" w:hAnsi="Times New Roman" w:eastAsia="宋体" w:cs="Times New Roman"/>
                      <w:color w:val="auto"/>
                      <w:szCs w:val="21"/>
                      <w:highlight w:val="none"/>
                      <w:lang w:val="zh-CN"/>
                    </w:rPr>
                  </w:pPr>
                </w:p>
              </w:tc>
              <w:tc>
                <w:tcPr>
                  <w:tcW w:w="1958" w:type="dxa"/>
                  <w:vMerge w:val="continue"/>
                  <w:tcBorders>
                    <w:tl2br w:val="nil"/>
                    <w:tr2bl w:val="nil"/>
                  </w:tcBorders>
                  <w:shd w:val="clear" w:color="auto" w:fill="auto"/>
                  <w:tcMar>
                    <w:top w:w="0" w:type="dxa"/>
                    <w:left w:w="113" w:type="dxa"/>
                    <w:bottom w:w="0" w:type="dxa"/>
                    <w:right w:w="113" w:type="dxa"/>
                  </w:tcMar>
                  <w:vAlign w:val="center"/>
                </w:tcPr>
                <w:p w14:paraId="21FAE237">
                  <w:pPr>
                    <w:adjustRightInd w:val="0"/>
                    <w:snapToGrid w:val="0"/>
                    <w:jc w:val="center"/>
                    <w:rPr>
                      <w:rFonts w:hint="default" w:ascii="Times New Roman" w:hAnsi="Times New Roman" w:eastAsia="宋体" w:cs="Times New Roman"/>
                      <w:color w:val="auto"/>
                      <w:szCs w:val="21"/>
                      <w:highlight w:val="none"/>
                      <w:lang w:val="en-US" w:eastAsia="zh-CN"/>
                    </w:rPr>
                  </w:pPr>
                </w:p>
              </w:tc>
              <w:tc>
                <w:tcPr>
                  <w:tcW w:w="2568" w:type="dxa"/>
                  <w:tcBorders>
                    <w:tl2br w:val="nil"/>
                    <w:tr2bl w:val="nil"/>
                  </w:tcBorders>
                  <w:shd w:val="clear" w:color="auto" w:fill="auto"/>
                  <w:tcMar>
                    <w:top w:w="0" w:type="dxa"/>
                    <w:left w:w="113" w:type="dxa"/>
                    <w:bottom w:w="0" w:type="dxa"/>
                    <w:right w:w="113" w:type="dxa"/>
                  </w:tcMar>
                  <w:vAlign w:val="center"/>
                </w:tcPr>
                <w:p w14:paraId="15988612">
                  <w:pPr>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纯水制备废滤芯</w:t>
                  </w:r>
                </w:p>
              </w:tc>
              <w:tc>
                <w:tcPr>
                  <w:tcW w:w="2383" w:type="dxa"/>
                  <w:tcBorders>
                    <w:tl2br w:val="nil"/>
                    <w:tr2bl w:val="nil"/>
                  </w:tcBorders>
                  <w:shd w:val="clear" w:color="auto" w:fill="auto"/>
                  <w:tcMar>
                    <w:top w:w="0" w:type="dxa"/>
                    <w:left w:w="113" w:type="dxa"/>
                    <w:bottom w:w="0" w:type="dxa"/>
                    <w:right w:w="113" w:type="dxa"/>
                  </w:tcMar>
                  <w:vAlign w:val="center"/>
                </w:tcPr>
                <w:p w14:paraId="4E53D3BA">
                  <w:pPr>
                    <w:keepNext w:val="0"/>
                    <w:keepLines w:val="0"/>
                    <w:widowControl/>
                    <w:suppressLineNumbers w:val="0"/>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厂家回收</w:t>
                  </w:r>
                </w:p>
              </w:tc>
            </w:tr>
            <w:tr w14:paraId="03E36199">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134" w:type="dxa"/>
                  <w:bottom w:w="0" w:type="dxa"/>
                  <w:right w:w="1701" w:type="dxa"/>
                </w:tblCellMar>
              </w:tblPrEx>
              <w:trPr>
                <w:trHeight w:val="264" w:hRule="atLeast"/>
                <w:jc w:val="center"/>
              </w:trPr>
              <w:tc>
                <w:tcPr>
                  <w:tcW w:w="907" w:type="dxa"/>
                  <w:vMerge w:val="continue"/>
                  <w:tcBorders>
                    <w:tl2br w:val="nil"/>
                    <w:tr2bl w:val="nil"/>
                  </w:tcBorders>
                  <w:tcMar>
                    <w:top w:w="0" w:type="dxa"/>
                    <w:left w:w="113" w:type="dxa"/>
                    <w:bottom w:w="0" w:type="dxa"/>
                    <w:right w:w="113" w:type="dxa"/>
                  </w:tcMar>
                  <w:vAlign w:val="center"/>
                </w:tcPr>
                <w:p w14:paraId="0346CD65">
                  <w:pPr>
                    <w:adjustRightInd w:val="0"/>
                    <w:snapToGrid w:val="0"/>
                    <w:jc w:val="center"/>
                    <w:rPr>
                      <w:rFonts w:hint="default" w:ascii="Times New Roman" w:hAnsi="Times New Roman" w:eastAsia="宋体" w:cs="Times New Roman"/>
                      <w:color w:val="auto"/>
                      <w:szCs w:val="21"/>
                      <w:highlight w:val="none"/>
                      <w:lang w:val="zh-CN"/>
                    </w:rPr>
                  </w:pPr>
                </w:p>
              </w:tc>
              <w:tc>
                <w:tcPr>
                  <w:tcW w:w="1958" w:type="dxa"/>
                  <w:vMerge w:val="continue"/>
                  <w:tcBorders>
                    <w:tl2br w:val="nil"/>
                    <w:tr2bl w:val="nil"/>
                  </w:tcBorders>
                  <w:shd w:val="clear" w:color="auto" w:fill="auto"/>
                  <w:tcMar>
                    <w:top w:w="0" w:type="dxa"/>
                    <w:left w:w="113" w:type="dxa"/>
                    <w:bottom w:w="0" w:type="dxa"/>
                    <w:right w:w="113" w:type="dxa"/>
                  </w:tcMar>
                  <w:vAlign w:val="center"/>
                </w:tcPr>
                <w:p w14:paraId="7DF1FC84">
                  <w:pPr>
                    <w:adjustRightInd w:val="0"/>
                    <w:snapToGrid w:val="0"/>
                    <w:jc w:val="center"/>
                    <w:rPr>
                      <w:rFonts w:hint="default" w:ascii="Times New Roman" w:hAnsi="Times New Roman" w:eastAsia="宋体" w:cs="Times New Roman"/>
                      <w:color w:val="auto"/>
                      <w:szCs w:val="21"/>
                      <w:highlight w:val="none"/>
                      <w:lang w:val="en-US" w:eastAsia="zh-CN"/>
                    </w:rPr>
                  </w:pPr>
                </w:p>
              </w:tc>
              <w:tc>
                <w:tcPr>
                  <w:tcW w:w="2568" w:type="dxa"/>
                  <w:tcBorders>
                    <w:tl2br w:val="nil"/>
                    <w:tr2bl w:val="nil"/>
                  </w:tcBorders>
                  <w:shd w:val="clear" w:color="auto" w:fill="auto"/>
                  <w:tcMar>
                    <w:top w:w="0" w:type="dxa"/>
                    <w:left w:w="113" w:type="dxa"/>
                    <w:bottom w:w="0" w:type="dxa"/>
                    <w:right w:w="113" w:type="dxa"/>
                  </w:tcMar>
                  <w:vAlign w:val="center"/>
                </w:tcPr>
                <w:p w14:paraId="0D882917">
                  <w:pPr>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废电池、废边角料、废布袋</w:t>
                  </w:r>
                </w:p>
              </w:tc>
              <w:tc>
                <w:tcPr>
                  <w:tcW w:w="2383" w:type="dxa"/>
                  <w:tcBorders>
                    <w:tl2br w:val="nil"/>
                    <w:tr2bl w:val="nil"/>
                  </w:tcBorders>
                  <w:shd w:val="clear" w:color="auto" w:fill="auto"/>
                  <w:tcMar>
                    <w:top w:w="0" w:type="dxa"/>
                    <w:left w:w="113" w:type="dxa"/>
                    <w:bottom w:w="0" w:type="dxa"/>
                    <w:right w:w="113" w:type="dxa"/>
                  </w:tcMar>
                  <w:vAlign w:val="center"/>
                </w:tcPr>
                <w:p w14:paraId="04C3251C">
                  <w:pPr>
                    <w:keepNext w:val="0"/>
                    <w:keepLines w:val="0"/>
                    <w:widowControl/>
                    <w:suppressLineNumbers w:val="0"/>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资质单位回收</w:t>
                  </w:r>
                </w:p>
              </w:tc>
            </w:tr>
            <w:tr w14:paraId="1DF0E35A">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134" w:type="dxa"/>
                  <w:bottom w:w="0" w:type="dxa"/>
                  <w:right w:w="1701" w:type="dxa"/>
                </w:tblCellMar>
              </w:tblPrEx>
              <w:trPr>
                <w:trHeight w:val="397" w:hRule="atLeast"/>
                <w:jc w:val="center"/>
              </w:trPr>
              <w:tc>
                <w:tcPr>
                  <w:tcW w:w="907" w:type="dxa"/>
                  <w:vMerge w:val="continue"/>
                  <w:tcBorders>
                    <w:tl2br w:val="nil"/>
                    <w:tr2bl w:val="nil"/>
                  </w:tcBorders>
                  <w:tcMar>
                    <w:top w:w="0" w:type="dxa"/>
                    <w:left w:w="0" w:type="dxa"/>
                    <w:bottom w:w="0" w:type="dxa"/>
                    <w:right w:w="0" w:type="dxa"/>
                  </w:tcMar>
                  <w:vAlign w:val="center"/>
                </w:tcPr>
                <w:p w14:paraId="72512368">
                  <w:pPr>
                    <w:adjustRightInd w:val="0"/>
                    <w:snapToGrid w:val="0"/>
                    <w:jc w:val="center"/>
                    <w:rPr>
                      <w:rFonts w:hint="default" w:ascii="Times New Roman" w:hAnsi="Times New Roman" w:eastAsia="宋体" w:cs="Times New Roman"/>
                      <w:color w:val="auto"/>
                      <w:szCs w:val="21"/>
                      <w:highlight w:val="none"/>
                      <w:lang w:val="zh-CN"/>
                    </w:rPr>
                  </w:pPr>
                </w:p>
              </w:tc>
              <w:tc>
                <w:tcPr>
                  <w:tcW w:w="1958" w:type="dxa"/>
                  <w:tcBorders>
                    <w:tl2br w:val="nil"/>
                    <w:tr2bl w:val="nil"/>
                  </w:tcBorders>
                  <w:tcMar>
                    <w:top w:w="0" w:type="dxa"/>
                    <w:left w:w="0" w:type="dxa"/>
                    <w:bottom w:w="0" w:type="dxa"/>
                    <w:right w:w="0" w:type="dxa"/>
                  </w:tcMar>
                  <w:vAlign w:val="center"/>
                </w:tcPr>
                <w:p w14:paraId="6DF31D39">
                  <w:pPr>
                    <w:adjustRightInd w:val="0"/>
                    <w:snapToGrid w:val="0"/>
                    <w:jc w:val="center"/>
                    <w:rPr>
                      <w:rFonts w:hint="default" w:ascii="Times New Roman" w:hAnsi="Times New Roman" w:eastAsia="宋体" w:cs="Times New Roman"/>
                      <w:color w:val="auto"/>
                      <w:szCs w:val="21"/>
                      <w:highlight w:val="none"/>
                      <w:lang w:val="zh-CN"/>
                    </w:rPr>
                  </w:pPr>
                  <w:r>
                    <w:rPr>
                      <w:rFonts w:hint="default" w:ascii="Times New Roman" w:hAnsi="Times New Roman" w:eastAsia="宋体" w:cs="Times New Roman"/>
                      <w:color w:val="auto"/>
                      <w:szCs w:val="21"/>
                      <w:highlight w:val="none"/>
                      <w:lang w:val="zh-CN"/>
                    </w:rPr>
                    <w:t>危险废物</w:t>
                  </w:r>
                </w:p>
              </w:tc>
              <w:tc>
                <w:tcPr>
                  <w:tcW w:w="2568" w:type="dxa"/>
                  <w:tcBorders>
                    <w:tl2br w:val="nil"/>
                    <w:tr2bl w:val="nil"/>
                  </w:tcBorders>
                  <w:shd w:val="clear" w:color="auto" w:fill="auto"/>
                  <w:tcMar>
                    <w:top w:w="0" w:type="dxa"/>
                    <w:left w:w="0" w:type="dxa"/>
                    <w:bottom w:w="0" w:type="dxa"/>
                    <w:right w:w="0" w:type="dxa"/>
                  </w:tcMar>
                  <w:vAlign w:val="center"/>
                </w:tcPr>
                <w:p w14:paraId="5E8FCFCC">
                  <w:pPr>
                    <w:jc w:val="center"/>
                    <w:rPr>
                      <w:rFonts w:hint="default" w:ascii="Times New Roman" w:hAnsi="Times New Roman" w:eastAsia="宋体" w:cs="Times New Roman"/>
                      <w:color w:val="auto"/>
                      <w:szCs w:val="21"/>
                      <w:highlight w:val="none"/>
                      <w:lang w:val="en-US" w:eastAsia="zh-CN"/>
                    </w:rPr>
                  </w:pPr>
                  <w:r>
                    <w:rPr>
                      <w:rFonts w:hint="eastAsia" w:cs="Times New Roman"/>
                      <w:color w:val="auto"/>
                      <w:sz w:val="21"/>
                      <w:szCs w:val="21"/>
                      <w:highlight w:val="none"/>
                      <w:lang w:val="en-US" w:eastAsia="zh-CN"/>
                    </w:rPr>
                    <w:t>废试剂瓶、N-甲基吡咯烷酮废液、清洗废液、</w:t>
                  </w:r>
                  <w:r>
                    <w:rPr>
                      <w:rFonts w:hint="eastAsia" w:eastAsia="宋体" w:cs="Times New Roman"/>
                      <w:color w:val="auto"/>
                      <w:sz w:val="21"/>
                      <w:szCs w:val="21"/>
                      <w:highlight w:val="none"/>
                      <w:lang w:val="en-US" w:eastAsia="zh-CN"/>
                    </w:rPr>
                    <w:t>废活性炭</w:t>
                  </w:r>
                  <w:r>
                    <w:rPr>
                      <w:rFonts w:hint="eastAsia" w:cs="Times New Roman"/>
                      <w:color w:val="auto"/>
                      <w:sz w:val="21"/>
                      <w:szCs w:val="21"/>
                      <w:highlight w:val="none"/>
                      <w:lang w:val="en-US" w:eastAsia="zh-CN"/>
                    </w:rPr>
                    <w:t>、废吸附剂、废润滑油、废油桶、废一次性实验耗材</w:t>
                  </w:r>
                </w:p>
              </w:tc>
              <w:tc>
                <w:tcPr>
                  <w:tcW w:w="2383" w:type="dxa"/>
                  <w:tcBorders>
                    <w:tl2br w:val="nil"/>
                    <w:tr2bl w:val="nil"/>
                  </w:tcBorders>
                  <w:tcMar>
                    <w:top w:w="0" w:type="dxa"/>
                    <w:left w:w="0" w:type="dxa"/>
                    <w:bottom w:w="0" w:type="dxa"/>
                    <w:right w:w="0" w:type="dxa"/>
                  </w:tcMar>
                  <w:vAlign w:val="center"/>
                </w:tcPr>
                <w:p w14:paraId="3BDC398F">
                  <w:pPr>
                    <w:keepNext w:val="0"/>
                    <w:keepLines w:val="0"/>
                    <w:widowControl/>
                    <w:suppressLineNumbers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kern w:val="0"/>
                      <w:sz w:val="21"/>
                      <w:szCs w:val="21"/>
                      <w:lang w:val="en-US" w:eastAsia="zh-CN" w:bidi="ar"/>
                    </w:rPr>
                    <w:t>暂</w:t>
                  </w:r>
                  <w:r>
                    <w:rPr>
                      <w:rFonts w:hint="default" w:cs="Times New Roman"/>
                      <w:color w:val="auto"/>
                      <w:sz w:val="21"/>
                      <w:szCs w:val="21"/>
                      <w:highlight w:val="none"/>
                      <w:lang w:val="en-US" w:eastAsia="zh-CN"/>
                    </w:rPr>
                    <w:t>存</w:t>
                  </w:r>
                  <w:r>
                    <w:rPr>
                      <w:rFonts w:hint="eastAsia" w:cs="Times New Roman"/>
                      <w:color w:val="auto"/>
                      <w:sz w:val="21"/>
                      <w:szCs w:val="21"/>
                      <w:highlight w:val="none"/>
                      <w:lang w:val="en-US" w:eastAsia="zh-CN"/>
                    </w:rPr>
                    <w:t>危险废物</w:t>
                  </w:r>
                  <w:r>
                    <w:rPr>
                      <w:rFonts w:hint="default" w:cs="Times New Roman"/>
                      <w:color w:val="auto"/>
                      <w:sz w:val="21"/>
                      <w:szCs w:val="21"/>
                      <w:highlight w:val="none"/>
                      <w:lang w:val="en-US" w:eastAsia="zh-CN"/>
                    </w:rPr>
                    <w:t>暂存间，定期交</w:t>
                  </w:r>
                  <w:r>
                    <w:rPr>
                      <w:rFonts w:hint="eastAsia" w:cs="Times New Roman"/>
                      <w:color w:val="auto"/>
                      <w:sz w:val="21"/>
                      <w:szCs w:val="21"/>
                      <w:highlight w:val="none"/>
                      <w:lang w:val="en-US" w:eastAsia="zh-CN"/>
                    </w:rPr>
                    <w:t>资质单位</w:t>
                  </w:r>
                  <w:r>
                    <w:rPr>
                      <w:rFonts w:hint="default" w:cs="Times New Roman"/>
                      <w:color w:val="auto"/>
                      <w:sz w:val="21"/>
                      <w:szCs w:val="21"/>
                      <w:highlight w:val="none"/>
                      <w:lang w:val="en-US" w:eastAsia="zh-CN"/>
                    </w:rPr>
                    <w:t>处置</w:t>
                  </w:r>
                </w:p>
              </w:tc>
            </w:tr>
          </w:tbl>
          <w:p w14:paraId="1B4F77AD">
            <w:pPr>
              <w:numPr>
                <w:ilvl w:val="0"/>
                <w:numId w:val="0"/>
              </w:numPr>
              <w:adjustRightInd w:val="0"/>
              <w:spacing w:line="360" w:lineRule="auto"/>
              <w:jc w:val="both"/>
              <w:rPr>
                <w:rFonts w:hint="default" w:ascii="Times New Roman" w:hAnsi="Times New Roman" w:eastAsia="宋体" w:cs="Times New Roman"/>
                <w:color w:val="auto"/>
                <w:sz w:val="24"/>
                <w:highlight w:val="none"/>
              </w:rPr>
            </w:pPr>
          </w:p>
        </w:tc>
      </w:tr>
      <w:tr w14:paraId="1FF35D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8" w:type="dxa"/>
            <w:vAlign w:val="center"/>
          </w:tcPr>
          <w:p w14:paraId="3D991629">
            <w:pPr>
              <w:pStyle w:val="20"/>
              <w:adjustRightInd w:val="0"/>
              <w:snapToGrid w:val="0"/>
              <w:spacing w:before="0" w:beforeAutospacing="0" w:after="0" w:afterAutospacing="0"/>
              <w:jc w:val="center"/>
              <w:rPr>
                <w:rFonts w:hint="default" w:ascii="Times New Roman" w:hAnsi="Times New Roman" w:eastAsia="宋体" w:cs="Times New Roman"/>
                <w:color w:val="auto"/>
                <w:szCs w:val="24"/>
                <w:highlight w:val="none"/>
              </w:rPr>
            </w:pPr>
            <w:r>
              <w:rPr>
                <w:rFonts w:hint="default" w:ascii="Times New Roman" w:hAnsi="Times New Roman" w:eastAsia="宋体" w:cs="Times New Roman"/>
                <w:bCs/>
                <w:color w:val="auto"/>
                <w:kern w:val="2"/>
                <w:szCs w:val="24"/>
                <w:highlight w:val="none"/>
              </w:rPr>
              <w:t>与项目有关的原有环境污染问题</w:t>
            </w:r>
          </w:p>
        </w:tc>
        <w:tc>
          <w:tcPr>
            <w:tcW w:w="8189" w:type="dxa"/>
            <w:vAlign w:val="center"/>
          </w:tcPr>
          <w:p w14:paraId="380156CD">
            <w:pPr>
              <w:spacing w:line="360" w:lineRule="auto"/>
              <w:ind w:firstLine="480" w:firstLineChars="200"/>
              <w:jc w:val="left"/>
              <w:rPr>
                <w:rFonts w:hint="default"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本项目为新建项目，租用现有闲置房屋建设，不存在</w:t>
            </w:r>
            <w:r>
              <w:rPr>
                <w:rFonts w:hint="default" w:ascii="Times New Roman" w:hAnsi="Times New Roman" w:eastAsia="宋体" w:cs="Times New Roman"/>
                <w:color w:val="auto"/>
                <w:sz w:val="24"/>
                <w:highlight w:val="none"/>
                <w:lang w:val="en-US" w:eastAsia="zh-CN"/>
              </w:rPr>
              <w:t>与项目有关的原有环境污染问题</w:t>
            </w:r>
            <w:r>
              <w:rPr>
                <w:rFonts w:hint="eastAsia" w:cs="Times New Roman"/>
                <w:color w:val="auto"/>
                <w:sz w:val="24"/>
                <w:highlight w:val="none"/>
                <w:lang w:val="en-US" w:eastAsia="zh-CN"/>
              </w:rPr>
              <w:t>。</w:t>
            </w:r>
          </w:p>
        </w:tc>
      </w:tr>
    </w:tbl>
    <w:p w14:paraId="56BD53D3">
      <w:pPr>
        <w:rPr>
          <w:rFonts w:hint="default" w:ascii="Times New Roman" w:hAnsi="Times New Roman" w:eastAsia="宋体" w:cs="Times New Roman"/>
          <w:color w:val="auto"/>
          <w:highlight w:val="none"/>
        </w:rPr>
        <w:sectPr>
          <w:pgSz w:w="11906" w:h="16838"/>
          <w:pgMar w:top="1701" w:right="1531" w:bottom="1860"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42AD430B">
      <w:pPr>
        <w:pStyle w:val="2"/>
        <w:jc w:val="center"/>
        <w:rPr>
          <w:rFonts w:hint="default" w:ascii="Times New Roman" w:hAnsi="Times New Roman" w:eastAsia="宋体" w:cs="Times New Roman"/>
          <w:color w:val="auto"/>
          <w:sz w:val="36"/>
          <w:szCs w:val="36"/>
          <w:highlight w:val="none"/>
        </w:rPr>
      </w:pPr>
      <w:r>
        <w:rPr>
          <w:rFonts w:hint="default" w:ascii="Times New Roman" w:hAnsi="Times New Roman" w:eastAsia="宋体" w:cs="Times New Roman"/>
          <w:b w:val="0"/>
          <w:bCs w:val="0"/>
          <w:color w:val="auto"/>
          <w:sz w:val="36"/>
          <w:szCs w:val="36"/>
          <w:highlight w:val="none"/>
        </w:rPr>
        <w:t>三、区域环境质量现状、环境保护目标及评价标准</w:t>
      </w:r>
    </w:p>
    <w:tbl>
      <w:tblPr>
        <w:tblStyle w:val="23"/>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00"/>
        <w:gridCol w:w="8147"/>
      </w:tblGrid>
      <w:tr w14:paraId="2429DC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800" w:type="dxa"/>
            <w:vAlign w:val="center"/>
          </w:tcPr>
          <w:p w14:paraId="0BF1D33E">
            <w:pPr>
              <w:adjustRightInd w:val="0"/>
              <w:snapToGrid w:val="0"/>
              <w:jc w:val="center"/>
              <w:rPr>
                <w:rFonts w:hint="default" w:ascii="Times New Roman" w:hAnsi="Times New Roman" w:eastAsia="宋体" w:cs="Times New Roman"/>
                <w:color w:val="auto"/>
                <w:kern w:val="0"/>
                <w:sz w:val="24"/>
                <w:highlight w:val="none"/>
              </w:rPr>
            </w:pPr>
            <w:r>
              <w:rPr>
                <w:rFonts w:hint="default" w:ascii="Times New Roman" w:hAnsi="Times New Roman" w:eastAsia="宋体" w:cs="Times New Roman"/>
                <w:color w:val="auto"/>
                <w:kern w:val="0"/>
                <w:sz w:val="24"/>
                <w:highlight w:val="none"/>
              </w:rPr>
              <w:t>区域环境质量现状</w:t>
            </w:r>
          </w:p>
        </w:tc>
        <w:tc>
          <w:tcPr>
            <w:tcW w:w="8147" w:type="dxa"/>
            <w:vAlign w:val="center"/>
          </w:tcPr>
          <w:p w14:paraId="5741A79F">
            <w:pPr>
              <w:pStyle w:val="20"/>
              <w:numPr>
                <w:ilvl w:val="0"/>
                <w:numId w:val="0"/>
              </w:numPr>
              <w:adjustRightInd w:val="0"/>
              <w:snapToGrid w:val="0"/>
              <w:spacing w:before="0" w:beforeAutospacing="0" w:after="0" w:afterAutospacing="0" w:line="360" w:lineRule="auto"/>
              <w:jc w:val="both"/>
              <w:rPr>
                <w:rFonts w:hint="default" w:ascii="Times New Roman" w:hAnsi="Times New Roman" w:eastAsia="宋体" w:cs="Times New Roman"/>
                <w:b/>
                <w:bCs/>
                <w:color w:val="auto"/>
                <w:szCs w:val="24"/>
                <w:highlight w:val="none"/>
              </w:rPr>
            </w:pPr>
            <w:r>
              <w:rPr>
                <w:rFonts w:hint="eastAsia" w:ascii="Times New Roman" w:hAnsi="Times New Roman" w:cs="Times New Roman"/>
                <w:b/>
                <w:bCs/>
                <w:color w:val="auto"/>
                <w:szCs w:val="24"/>
                <w:highlight w:val="none"/>
                <w:lang w:val="en-US" w:eastAsia="zh-CN"/>
              </w:rPr>
              <w:t>一、</w:t>
            </w:r>
            <w:r>
              <w:rPr>
                <w:rFonts w:hint="default" w:ascii="Times New Roman" w:hAnsi="Times New Roman" w:eastAsia="宋体" w:cs="Times New Roman"/>
                <w:b/>
                <w:bCs/>
                <w:color w:val="auto"/>
                <w:szCs w:val="24"/>
                <w:highlight w:val="none"/>
              </w:rPr>
              <w:t>大气环境</w:t>
            </w:r>
          </w:p>
          <w:p w14:paraId="0CC85E26">
            <w:pPr>
              <w:spacing w:line="360" w:lineRule="auto"/>
              <w:ind w:firstLine="480" w:firstLineChars="200"/>
              <w:rPr>
                <w:rFonts w:hint="default" w:ascii="Times New Roman" w:hAnsi="Times New Roman" w:eastAsia="宋体" w:cs="Times New Roman"/>
                <w:color w:val="auto"/>
                <w:sz w:val="24"/>
                <w:szCs w:val="32"/>
                <w:highlight w:val="none"/>
              </w:rPr>
            </w:pPr>
            <w:r>
              <w:rPr>
                <w:rFonts w:hint="default" w:ascii="Times New Roman" w:hAnsi="Times New Roman" w:eastAsia="宋体" w:cs="Times New Roman"/>
                <w:color w:val="auto"/>
                <w:sz w:val="24"/>
                <w:highlight w:val="none"/>
              </w:rPr>
              <w:t>本项目所在区域为二类环境空气功能区，环境空气质量执行《环境空气质量标准》（GB3095-2012）及其修改单中的二级浓度限值。</w:t>
            </w:r>
          </w:p>
          <w:p w14:paraId="7DD0940B">
            <w:pPr>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根据北京202</w:t>
            </w:r>
            <w:r>
              <w:rPr>
                <w:rFonts w:hint="default" w:ascii="Times New Roman" w:hAnsi="Times New Roman" w:eastAsia="宋体" w:cs="Times New Roman"/>
                <w:color w:val="auto"/>
                <w:sz w:val="24"/>
                <w:highlight w:val="none"/>
                <w:lang w:val="en-US" w:eastAsia="zh-CN"/>
              </w:rPr>
              <w:t>5</w:t>
            </w:r>
            <w:r>
              <w:rPr>
                <w:rFonts w:hint="default" w:ascii="Times New Roman" w:hAnsi="Times New Roman" w:eastAsia="宋体" w:cs="Times New Roman"/>
                <w:color w:val="auto"/>
                <w:sz w:val="24"/>
                <w:highlight w:val="none"/>
              </w:rPr>
              <w:t>年5月北京市生态环境局发布的《202</w:t>
            </w:r>
            <w:r>
              <w:rPr>
                <w:rFonts w:hint="default" w:ascii="Times New Roman" w:hAnsi="Times New Roman" w:eastAsia="宋体" w:cs="Times New Roman"/>
                <w:color w:val="auto"/>
                <w:sz w:val="24"/>
                <w:highlight w:val="none"/>
                <w:lang w:val="en-US" w:eastAsia="zh-CN"/>
              </w:rPr>
              <w:t>4</w:t>
            </w:r>
            <w:r>
              <w:rPr>
                <w:rFonts w:hint="default" w:ascii="Times New Roman" w:hAnsi="Times New Roman" w:eastAsia="宋体" w:cs="Times New Roman"/>
                <w:color w:val="auto"/>
                <w:sz w:val="24"/>
                <w:highlight w:val="none"/>
              </w:rPr>
              <w:t>年北京市生态环境状况公报》中的空气质量数据，对项目所在区域</w:t>
            </w:r>
            <w:r>
              <w:rPr>
                <w:rFonts w:hint="default" w:ascii="Times New Roman" w:hAnsi="Times New Roman" w:eastAsia="宋体" w:cs="Times New Roman"/>
                <w:color w:val="auto"/>
                <w:sz w:val="24"/>
                <w:highlight w:val="none"/>
                <w:lang w:val="en-US" w:eastAsia="zh-CN"/>
              </w:rPr>
              <w:t>及北京市</w:t>
            </w:r>
            <w:r>
              <w:rPr>
                <w:rFonts w:hint="default" w:ascii="Times New Roman" w:hAnsi="Times New Roman" w:eastAsia="宋体" w:cs="Times New Roman"/>
                <w:color w:val="auto"/>
                <w:sz w:val="24"/>
                <w:highlight w:val="none"/>
              </w:rPr>
              <w:t>空气质量进行评价，统计数据见下表。</w:t>
            </w:r>
          </w:p>
          <w:p w14:paraId="364B4A5E">
            <w:pPr>
              <w:numPr>
                <w:ilvl w:val="0"/>
                <w:numId w:val="14"/>
              </w:numPr>
              <w:spacing w:line="360" w:lineRule="auto"/>
              <w:jc w:val="center"/>
              <w:rPr>
                <w:rFonts w:hint="default" w:ascii="Times New Roman" w:hAnsi="Times New Roman" w:eastAsia="宋体" w:cs="Times New Roman"/>
                <w:b/>
                <w:bCs/>
                <w:color w:val="auto"/>
                <w:sz w:val="24"/>
                <w:highlight w:val="none"/>
              </w:rPr>
            </w:pPr>
            <w:r>
              <w:rPr>
                <w:rFonts w:hint="eastAsia" w:cs="Times New Roman"/>
                <w:b/>
                <w:bCs/>
                <w:color w:val="auto"/>
                <w:sz w:val="24"/>
                <w:highlight w:val="none"/>
                <w:lang w:val="en-US" w:eastAsia="zh-CN"/>
              </w:rPr>
              <w:t>朝阳区</w:t>
            </w:r>
            <w:r>
              <w:rPr>
                <w:rFonts w:hint="default" w:ascii="Times New Roman" w:hAnsi="Times New Roman" w:eastAsia="宋体" w:cs="Times New Roman"/>
                <w:b/>
                <w:bCs/>
                <w:color w:val="auto"/>
                <w:sz w:val="24"/>
                <w:highlight w:val="none"/>
              </w:rPr>
              <w:t>202</w:t>
            </w:r>
            <w:r>
              <w:rPr>
                <w:rFonts w:hint="default" w:ascii="Times New Roman" w:hAnsi="Times New Roman" w:eastAsia="宋体" w:cs="Times New Roman"/>
                <w:b/>
                <w:bCs/>
                <w:color w:val="auto"/>
                <w:sz w:val="24"/>
                <w:highlight w:val="none"/>
                <w:lang w:val="en-US" w:eastAsia="zh-CN"/>
              </w:rPr>
              <w:t>4</w:t>
            </w:r>
            <w:r>
              <w:rPr>
                <w:rFonts w:hint="default" w:ascii="Times New Roman" w:hAnsi="Times New Roman" w:eastAsia="宋体" w:cs="Times New Roman"/>
                <w:b/>
                <w:bCs/>
                <w:color w:val="auto"/>
                <w:sz w:val="24"/>
                <w:highlight w:val="none"/>
              </w:rPr>
              <w:t>年环境空气质量数据</w:t>
            </w:r>
          </w:p>
          <w:tbl>
            <w:tblPr>
              <w:tblStyle w:val="50"/>
              <w:tblW w:w="4900" w:type="pct"/>
              <w:jc w:val="center"/>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1553"/>
              <w:gridCol w:w="1554"/>
              <w:gridCol w:w="1554"/>
              <w:gridCol w:w="1554"/>
              <w:gridCol w:w="1557"/>
            </w:tblGrid>
            <w:tr w14:paraId="22DDF1F0">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83" w:hRule="atLeast"/>
                <w:jc w:val="center"/>
              </w:trPr>
              <w:tc>
                <w:tcPr>
                  <w:tcW w:w="1611" w:type="dxa"/>
                  <w:tcBorders>
                    <w:tl2br w:val="nil"/>
                    <w:tr2bl w:val="nil"/>
                  </w:tcBorders>
                  <w:vAlign w:val="center"/>
                </w:tcPr>
                <w:p w14:paraId="1172D559">
                  <w:pPr>
                    <w:pStyle w:val="49"/>
                    <w:spacing w:before="37" w:line="215" w:lineRule="auto"/>
                    <w:jc w:val="center"/>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pacing w:val="2"/>
                      <w:sz w:val="21"/>
                      <w:szCs w:val="21"/>
                      <w:highlight w:val="none"/>
                      <w:lang w:eastAsia="zh-CN"/>
                    </w:rPr>
                    <w:t>项目</w:t>
                  </w:r>
                </w:p>
              </w:tc>
              <w:tc>
                <w:tcPr>
                  <w:tcW w:w="1611" w:type="dxa"/>
                  <w:tcBorders>
                    <w:tl2br w:val="nil"/>
                    <w:tr2bl w:val="nil"/>
                  </w:tcBorders>
                  <w:vAlign w:val="center"/>
                </w:tcPr>
                <w:p w14:paraId="7A725BAB">
                  <w:pPr>
                    <w:pStyle w:val="49"/>
                    <w:spacing w:before="37" w:line="215" w:lineRule="auto"/>
                    <w:ind w:left="113"/>
                    <w:jc w:val="center"/>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eastAsia="zh-CN"/>
                    </w:rPr>
                    <w:t>SO</w:t>
                  </w:r>
                  <w:r>
                    <w:rPr>
                      <w:rFonts w:hint="default" w:ascii="Times New Roman" w:hAnsi="Times New Roman" w:eastAsia="宋体" w:cs="Times New Roman"/>
                      <w:b/>
                      <w:bCs/>
                      <w:color w:val="auto"/>
                      <w:spacing w:val="6"/>
                      <w:position w:val="-1"/>
                      <w:sz w:val="21"/>
                      <w:szCs w:val="21"/>
                      <w:highlight w:val="none"/>
                      <w:vertAlign w:val="subscript"/>
                      <w:lang w:eastAsia="zh-CN"/>
                    </w:rPr>
                    <w:t>2</w:t>
                  </w:r>
                  <w:r>
                    <w:rPr>
                      <w:rFonts w:hint="default" w:ascii="Times New Roman" w:hAnsi="Times New Roman" w:eastAsia="宋体" w:cs="Times New Roman"/>
                      <w:b/>
                      <w:bCs/>
                      <w:color w:val="auto"/>
                      <w:spacing w:val="2"/>
                      <w:sz w:val="21"/>
                      <w:szCs w:val="21"/>
                      <w:highlight w:val="none"/>
                      <w:lang w:eastAsia="zh-CN"/>
                    </w:rPr>
                    <w:t>(</w:t>
                  </w:r>
                  <w:r>
                    <w:rPr>
                      <w:rFonts w:hint="default" w:ascii="Times New Roman" w:hAnsi="Times New Roman" w:eastAsia="宋体" w:cs="Times New Roman"/>
                      <w:b/>
                      <w:bCs/>
                      <w:color w:val="auto"/>
                      <w:spacing w:val="2"/>
                      <w:sz w:val="21"/>
                      <w:szCs w:val="21"/>
                      <w:highlight w:val="none"/>
                    </w:rPr>
                    <w:t>μ</w:t>
                  </w:r>
                  <w:r>
                    <w:rPr>
                      <w:rFonts w:hint="default" w:ascii="Times New Roman" w:hAnsi="Times New Roman" w:eastAsia="宋体" w:cs="Times New Roman"/>
                      <w:b/>
                      <w:bCs/>
                      <w:color w:val="auto"/>
                      <w:spacing w:val="2"/>
                      <w:sz w:val="21"/>
                      <w:szCs w:val="21"/>
                      <w:highlight w:val="none"/>
                      <w:lang w:eastAsia="zh-CN"/>
                    </w:rPr>
                    <w:t>g/m</w:t>
                  </w:r>
                  <w:r>
                    <w:rPr>
                      <w:rFonts w:hint="default" w:ascii="Times New Roman" w:hAnsi="Times New Roman" w:eastAsia="宋体" w:cs="Times New Roman"/>
                      <w:b/>
                      <w:bCs/>
                      <w:color w:val="auto"/>
                      <w:sz w:val="21"/>
                      <w:szCs w:val="21"/>
                      <w:highlight w:val="none"/>
                      <w:vertAlign w:val="superscript"/>
                      <w:lang w:eastAsia="zh-CN"/>
                    </w:rPr>
                    <w:t>3</w:t>
                  </w:r>
                  <w:r>
                    <w:rPr>
                      <w:rFonts w:hint="default" w:ascii="Times New Roman" w:hAnsi="Times New Roman" w:eastAsia="宋体" w:cs="Times New Roman"/>
                      <w:b/>
                      <w:bCs/>
                      <w:color w:val="auto"/>
                      <w:spacing w:val="2"/>
                      <w:sz w:val="21"/>
                      <w:szCs w:val="21"/>
                      <w:highlight w:val="none"/>
                      <w:lang w:eastAsia="zh-CN"/>
                    </w:rPr>
                    <w:t>）</w:t>
                  </w:r>
                </w:p>
              </w:tc>
              <w:tc>
                <w:tcPr>
                  <w:tcW w:w="1611" w:type="dxa"/>
                  <w:tcBorders>
                    <w:tl2br w:val="nil"/>
                    <w:tr2bl w:val="nil"/>
                  </w:tcBorders>
                  <w:vAlign w:val="center"/>
                </w:tcPr>
                <w:p w14:paraId="1DFE62F8">
                  <w:pPr>
                    <w:pStyle w:val="49"/>
                    <w:spacing w:before="37" w:line="215" w:lineRule="auto"/>
                    <w:ind w:left="84"/>
                    <w:jc w:val="center"/>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eastAsia="zh-CN"/>
                    </w:rPr>
                    <w:t>NO</w:t>
                  </w:r>
                  <w:r>
                    <w:rPr>
                      <w:rFonts w:hint="default" w:ascii="Times New Roman" w:hAnsi="Times New Roman" w:eastAsia="宋体" w:cs="Times New Roman"/>
                      <w:b/>
                      <w:bCs/>
                      <w:color w:val="auto"/>
                      <w:spacing w:val="14"/>
                      <w:position w:val="-1"/>
                      <w:sz w:val="21"/>
                      <w:szCs w:val="21"/>
                      <w:highlight w:val="none"/>
                      <w:vertAlign w:val="subscript"/>
                      <w:lang w:eastAsia="zh-CN"/>
                    </w:rPr>
                    <w:t>2</w:t>
                  </w:r>
                  <w:r>
                    <w:rPr>
                      <w:rFonts w:hint="default" w:ascii="Times New Roman" w:hAnsi="Times New Roman" w:eastAsia="宋体" w:cs="Times New Roman"/>
                      <w:b/>
                      <w:bCs/>
                      <w:color w:val="auto"/>
                      <w:spacing w:val="1"/>
                      <w:sz w:val="21"/>
                      <w:szCs w:val="21"/>
                      <w:highlight w:val="none"/>
                      <w:lang w:eastAsia="zh-CN"/>
                    </w:rPr>
                    <w:t>(</w:t>
                  </w:r>
                  <w:r>
                    <w:rPr>
                      <w:rFonts w:hint="default" w:ascii="Times New Roman" w:hAnsi="Times New Roman" w:eastAsia="宋体" w:cs="Times New Roman"/>
                      <w:b/>
                      <w:bCs/>
                      <w:color w:val="auto"/>
                      <w:spacing w:val="1"/>
                      <w:sz w:val="21"/>
                      <w:szCs w:val="21"/>
                      <w:highlight w:val="none"/>
                    </w:rPr>
                    <w:t>μ</w:t>
                  </w:r>
                  <w:r>
                    <w:rPr>
                      <w:rFonts w:hint="default" w:ascii="Times New Roman" w:hAnsi="Times New Roman" w:eastAsia="宋体" w:cs="Times New Roman"/>
                      <w:b/>
                      <w:bCs/>
                      <w:color w:val="auto"/>
                      <w:spacing w:val="1"/>
                      <w:sz w:val="21"/>
                      <w:szCs w:val="21"/>
                      <w:highlight w:val="none"/>
                      <w:lang w:eastAsia="zh-CN"/>
                    </w:rPr>
                    <w:t>g/m</w:t>
                  </w:r>
                  <w:r>
                    <w:rPr>
                      <w:rFonts w:hint="default" w:ascii="Times New Roman" w:hAnsi="Times New Roman" w:eastAsia="宋体" w:cs="Times New Roman"/>
                      <w:b/>
                      <w:bCs/>
                      <w:color w:val="auto"/>
                      <w:sz w:val="21"/>
                      <w:szCs w:val="21"/>
                      <w:highlight w:val="none"/>
                      <w:vertAlign w:val="superscript"/>
                      <w:lang w:eastAsia="zh-CN"/>
                    </w:rPr>
                    <w:t>3</w:t>
                  </w:r>
                  <w:r>
                    <w:rPr>
                      <w:rFonts w:hint="default" w:ascii="Times New Roman" w:hAnsi="Times New Roman" w:eastAsia="宋体" w:cs="Times New Roman"/>
                      <w:b/>
                      <w:bCs/>
                      <w:color w:val="auto"/>
                      <w:spacing w:val="1"/>
                      <w:sz w:val="21"/>
                      <w:szCs w:val="21"/>
                      <w:highlight w:val="none"/>
                      <w:lang w:eastAsia="zh-CN"/>
                    </w:rPr>
                    <w:t>）</w:t>
                  </w:r>
                </w:p>
              </w:tc>
              <w:tc>
                <w:tcPr>
                  <w:tcW w:w="1611" w:type="dxa"/>
                  <w:tcBorders>
                    <w:tl2br w:val="nil"/>
                    <w:tr2bl w:val="nil"/>
                  </w:tcBorders>
                  <w:vAlign w:val="center"/>
                </w:tcPr>
                <w:p w14:paraId="4FC1B28F">
                  <w:pPr>
                    <w:pStyle w:val="49"/>
                    <w:spacing w:before="37" w:line="215" w:lineRule="auto"/>
                    <w:ind w:left="105"/>
                    <w:jc w:val="center"/>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eastAsia="zh-CN"/>
                    </w:rPr>
                    <w:t>PM</w:t>
                  </w:r>
                  <w:r>
                    <w:rPr>
                      <w:rFonts w:hint="default" w:ascii="Times New Roman" w:hAnsi="Times New Roman" w:eastAsia="宋体" w:cs="Times New Roman"/>
                      <w:b/>
                      <w:bCs/>
                      <w:color w:val="auto"/>
                      <w:spacing w:val="3"/>
                      <w:position w:val="-1"/>
                      <w:sz w:val="21"/>
                      <w:szCs w:val="21"/>
                      <w:highlight w:val="none"/>
                      <w:vertAlign w:val="subscript"/>
                      <w:lang w:eastAsia="zh-CN"/>
                    </w:rPr>
                    <w:t>10</w:t>
                  </w:r>
                  <w:r>
                    <w:rPr>
                      <w:rFonts w:hint="default" w:ascii="Times New Roman" w:hAnsi="Times New Roman" w:eastAsia="宋体" w:cs="Times New Roman"/>
                      <w:b/>
                      <w:bCs/>
                      <w:color w:val="auto"/>
                      <w:spacing w:val="3"/>
                      <w:sz w:val="21"/>
                      <w:szCs w:val="21"/>
                      <w:highlight w:val="none"/>
                      <w:lang w:eastAsia="zh-CN"/>
                    </w:rPr>
                    <w:t>(</w:t>
                  </w:r>
                  <w:r>
                    <w:rPr>
                      <w:rFonts w:hint="default" w:ascii="Times New Roman" w:hAnsi="Times New Roman" w:eastAsia="宋体" w:cs="Times New Roman"/>
                      <w:b/>
                      <w:bCs/>
                      <w:color w:val="auto"/>
                      <w:spacing w:val="3"/>
                      <w:sz w:val="21"/>
                      <w:szCs w:val="21"/>
                      <w:highlight w:val="none"/>
                    </w:rPr>
                    <w:t>μ</w:t>
                  </w:r>
                  <w:r>
                    <w:rPr>
                      <w:rFonts w:hint="default" w:ascii="Times New Roman" w:hAnsi="Times New Roman" w:eastAsia="宋体" w:cs="Times New Roman"/>
                      <w:b/>
                      <w:bCs/>
                      <w:color w:val="auto"/>
                      <w:spacing w:val="3"/>
                      <w:sz w:val="21"/>
                      <w:szCs w:val="21"/>
                      <w:highlight w:val="none"/>
                      <w:lang w:eastAsia="zh-CN"/>
                    </w:rPr>
                    <w:t>g/m</w:t>
                  </w:r>
                  <w:r>
                    <w:rPr>
                      <w:rFonts w:hint="default" w:ascii="Times New Roman" w:hAnsi="Times New Roman" w:eastAsia="宋体" w:cs="Times New Roman"/>
                      <w:b/>
                      <w:bCs/>
                      <w:color w:val="auto"/>
                      <w:sz w:val="21"/>
                      <w:szCs w:val="21"/>
                      <w:highlight w:val="none"/>
                      <w:vertAlign w:val="superscript"/>
                      <w:lang w:eastAsia="zh-CN"/>
                    </w:rPr>
                    <w:t>3</w:t>
                  </w:r>
                  <w:r>
                    <w:rPr>
                      <w:rFonts w:hint="default" w:ascii="Times New Roman" w:hAnsi="Times New Roman" w:eastAsia="宋体" w:cs="Times New Roman"/>
                      <w:b/>
                      <w:bCs/>
                      <w:color w:val="auto"/>
                      <w:spacing w:val="3"/>
                      <w:sz w:val="21"/>
                      <w:szCs w:val="21"/>
                      <w:highlight w:val="none"/>
                      <w:lang w:eastAsia="zh-CN"/>
                    </w:rPr>
                    <w:t>）</w:t>
                  </w:r>
                </w:p>
              </w:tc>
              <w:tc>
                <w:tcPr>
                  <w:tcW w:w="1614" w:type="dxa"/>
                  <w:tcBorders>
                    <w:tl2br w:val="nil"/>
                    <w:tr2bl w:val="nil"/>
                  </w:tcBorders>
                  <w:vAlign w:val="center"/>
                </w:tcPr>
                <w:p w14:paraId="45B1C25A">
                  <w:pPr>
                    <w:pStyle w:val="49"/>
                    <w:spacing w:before="37" w:line="215" w:lineRule="auto"/>
                    <w:ind w:left="86"/>
                    <w:jc w:val="center"/>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eastAsia="zh-CN"/>
                    </w:rPr>
                    <w:t>PM</w:t>
                  </w:r>
                  <w:r>
                    <w:rPr>
                      <w:rFonts w:hint="default" w:ascii="Times New Roman" w:hAnsi="Times New Roman" w:eastAsia="宋体" w:cs="Times New Roman"/>
                      <w:b/>
                      <w:bCs/>
                      <w:color w:val="auto"/>
                      <w:spacing w:val="3"/>
                      <w:position w:val="-1"/>
                      <w:sz w:val="21"/>
                      <w:szCs w:val="21"/>
                      <w:highlight w:val="none"/>
                      <w:vertAlign w:val="subscript"/>
                      <w:lang w:eastAsia="zh-CN"/>
                    </w:rPr>
                    <w:t>2.5</w:t>
                  </w:r>
                  <w:r>
                    <w:rPr>
                      <w:rFonts w:hint="default" w:ascii="Times New Roman" w:hAnsi="Times New Roman" w:eastAsia="宋体" w:cs="Times New Roman"/>
                      <w:b/>
                      <w:bCs/>
                      <w:color w:val="auto"/>
                      <w:spacing w:val="3"/>
                      <w:sz w:val="21"/>
                      <w:szCs w:val="21"/>
                      <w:highlight w:val="none"/>
                      <w:lang w:eastAsia="zh-CN"/>
                    </w:rPr>
                    <w:t>(</w:t>
                  </w:r>
                  <w:r>
                    <w:rPr>
                      <w:rFonts w:hint="default" w:ascii="Times New Roman" w:hAnsi="Times New Roman" w:eastAsia="宋体" w:cs="Times New Roman"/>
                      <w:b/>
                      <w:bCs/>
                      <w:color w:val="auto"/>
                      <w:spacing w:val="3"/>
                      <w:sz w:val="21"/>
                      <w:szCs w:val="21"/>
                      <w:highlight w:val="none"/>
                    </w:rPr>
                    <w:t>μ</w:t>
                  </w:r>
                  <w:r>
                    <w:rPr>
                      <w:rFonts w:hint="default" w:ascii="Times New Roman" w:hAnsi="Times New Roman" w:eastAsia="宋体" w:cs="Times New Roman"/>
                      <w:b/>
                      <w:bCs/>
                      <w:color w:val="auto"/>
                      <w:spacing w:val="3"/>
                      <w:sz w:val="21"/>
                      <w:szCs w:val="21"/>
                      <w:highlight w:val="none"/>
                      <w:lang w:eastAsia="zh-CN"/>
                    </w:rPr>
                    <w:t>g/m</w:t>
                  </w:r>
                  <w:r>
                    <w:rPr>
                      <w:rFonts w:hint="default" w:ascii="Times New Roman" w:hAnsi="Times New Roman" w:eastAsia="宋体" w:cs="Times New Roman"/>
                      <w:b/>
                      <w:bCs/>
                      <w:color w:val="auto"/>
                      <w:sz w:val="21"/>
                      <w:szCs w:val="21"/>
                      <w:highlight w:val="none"/>
                      <w:vertAlign w:val="superscript"/>
                      <w:lang w:eastAsia="zh-CN"/>
                    </w:rPr>
                    <w:t>3</w:t>
                  </w:r>
                  <w:r>
                    <w:rPr>
                      <w:rFonts w:hint="default" w:ascii="Times New Roman" w:hAnsi="Times New Roman" w:eastAsia="宋体" w:cs="Times New Roman"/>
                      <w:b/>
                      <w:bCs/>
                      <w:color w:val="auto"/>
                      <w:spacing w:val="3"/>
                      <w:sz w:val="21"/>
                      <w:szCs w:val="21"/>
                      <w:highlight w:val="none"/>
                      <w:lang w:eastAsia="zh-CN"/>
                    </w:rPr>
                    <w:t>）</w:t>
                  </w:r>
                </w:p>
              </w:tc>
            </w:tr>
            <w:tr w14:paraId="27AAE8D7">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611" w:type="dxa"/>
                  <w:tcBorders>
                    <w:tl2br w:val="nil"/>
                    <w:tr2bl w:val="nil"/>
                  </w:tcBorders>
                  <w:vAlign w:val="center"/>
                </w:tcPr>
                <w:p w14:paraId="37EB2CE6">
                  <w:pPr>
                    <w:pStyle w:val="49"/>
                    <w:spacing w:before="33" w:line="216" w:lineRule="auto"/>
                    <w:jc w:val="center"/>
                    <w:rPr>
                      <w:rFonts w:hint="default" w:ascii="Times New Roman" w:hAnsi="Times New Roman" w:eastAsia="宋体" w:cs="Times New Roman"/>
                      <w:b w:val="0"/>
                      <w:bCs w:val="0"/>
                      <w:color w:val="auto"/>
                      <w:sz w:val="21"/>
                      <w:szCs w:val="21"/>
                      <w:highlight w:val="none"/>
                      <w:lang w:eastAsia="zh-CN"/>
                    </w:rPr>
                  </w:pPr>
                  <w:r>
                    <w:rPr>
                      <w:rFonts w:hint="default" w:ascii="Times New Roman" w:hAnsi="Times New Roman" w:eastAsia="宋体" w:cs="Times New Roman"/>
                      <w:b w:val="0"/>
                      <w:bCs w:val="0"/>
                      <w:color w:val="auto"/>
                      <w:spacing w:val="6"/>
                      <w:sz w:val="21"/>
                      <w:szCs w:val="21"/>
                      <w:highlight w:val="none"/>
                      <w:lang w:val="en-US" w:eastAsia="zh-CN"/>
                    </w:rPr>
                    <w:t>现状</w:t>
                  </w:r>
                  <w:r>
                    <w:rPr>
                      <w:rFonts w:hint="default" w:ascii="Times New Roman" w:hAnsi="Times New Roman" w:eastAsia="宋体" w:cs="Times New Roman"/>
                      <w:b w:val="0"/>
                      <w:bCs w:val="0"/>
                      <w:color w:val="auto"/>
                      <w:spacing w:val="6"/>
                      <w:sz w:val="21"/>
                      <w:szCs w:val="21"/>
                      <w:highlight w:val="none"/>
                      <w:lang w:eastAsia="zh-CN"/>
                    </w:rPr>
                    <w:t>浓度</w:t>
                  </w:r>
                </w:p>
              </w:tc>
              <w:tc>
                <w:tcPr>
                  <w:tcW w:w="1611" w:type="dxa"/>
                  <w:tcBorders>
                    <w:tl2br w:val="nil"/>
                    <w:tr2bl w:val="nil"/>
                  </w:tcBorders>
                  <w:vAlign w:val="center"/>
                </w:tcPr>
                <w:p w14:paraId="6B544503">
                  <w:pPr>
                    <w:spacing w:before="68" w:line="195" w:lineRule="auto"/>
                    <w:jc w:val="center"/>
                    <w:rPr>
                      <w:rFonts w:hint="default" w:ascii="Times New Roman" w:hAnsi="Times New Roman" w:eastAsia="宋体" w:cs="Times New Roman"/>
                      <w:b w:val="0"/>
                      <w:bCs w:val="0"/>
                      <w:color w:val="auto"/>
                      <w:szCs w:val="21"/>
                      <w:highlight w:val="none"/>
                      <w:lang w:eastAsia="zh-CN"/>
                    </w:rPr>
                  </w:pPr>
                  <w:r>
                    <w:rPr>
                      <w:rFonts w:hint="eastAsia" w:cs="Times New Roman"/>
                      <w:b w:val="0"/>
                      <w:bCs w:val="0"/>
                      <w:color w:val="auto"/>
                      <w:szCs w:val="21"/>
                      <w:highlight w:val="none"/>
                      <w:lang w:val="en-US" w:eastAsia="zh-CN"/>
                    </w:rPr>
                    <w:t>3</w:t>
                  </w:r>
                </w:p>
              </w:tc>
              <w:tc>
                <w:tcPr>
                  <w:tcW w:w="1611" w:type="dxa"/>
                  <w:tcBorders>
                    <w:tl2br w:val="nil"/>
                    <w:tr2bl w:val="nil"/>
                  </w:tcBorders>
                  <w:vAlign w:val="center"/>
                </w:tcPr>
                <w:p w14:paraId="6A4EA0E2">
                  <w:pPr>
                    <w:spacing w:before="68" w:line="195" w:lineRule="auto"/>
                    <w:jc w:val="center"/>
                    <w:rPr>
                      <w:rFonts w:hint="default" w:ascii="Times New Roman" w:hAnsi="Times New Roman" w:eastAsia="宋体"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32</w:t>
                  </w:r>
                </w:p>
              </w:tc>
              <w:tc>
                <w:tcPr>
                  <w:tcW w:w="1611" w:type="dxa"/>
                  <w:tcBorders>
                    <w:tl2br w:val="nil"/>
                    <w:tr2bl w:val="nil"/>
                  </w:tcBorders>
                  <w:vAlign w:val="center"/>
                </w:tcPr>
                <w:p w14:paraId="6D6459C7">
                  <w:pPr>
                    <w:spacing w:before="68" w:line="195" w:lineRule="auto"/>
                    <w:jc w:val="center"/>
                    <w:rPr>
                      <w:rFonts w:hint="default" w:ascii="Times New Roman" w:hAnsi="Times New Roman" w:eastAsia="宋体"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56</w:t>
                  </w:r>
                </w:p>
              </w:tc>
              <w:tc>
                <w:tcPr>
                  <w:tcW w:w="1614" w:type="dxa"/>
                  <w:tcBorders>
                    <w:tl2br w:val="nil"/>
                    <w:tr2bl w:val="nil"/>
                  </w:tcBorders>
                  <w:vAlign w:val="center"/>
                </w:tcPr>
                <w:p w14:paraId="4A64486D">
                  <w:pPr>
                    <w:spacing w:before="68" w:line="195" w:lineRule="auto"/>
                    <w:jc w:val="center"/>
                    <w:rPr>
                      <w:rFonts w:hint="default" w:ascii="Times New Roman" w:hAnsi="Times New Roman" w:eastAsia="宋体"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31.8</w:t>
                  </w:r>
                </w:p>
              </w:tc>
            </w:tr>
            <w:tr w14:paraId="6242348D">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80" w:hRule="atLeast"/>
                <w:jc w:val="center"/>
              </w:trPr>
              <w:tc>
                <w:tcPr>
                  <w:tcW w:w="1611" w:type="dxa"/>
                  <w:tcBorders>
                    <w:tl2br w:val="nil"/>
                    <w:tr2bl w:val="nil"/>
                  </w:tcBorders>
                  <w:vAlign w:val="center"/>
                </w:tcPr>
                <w:p w14:paraId="0944C9BD">
                  <w:pPr>
                    <w:pStyle w:val="49"/>
                    <w:spacing w:before="33" w:line="216" w:lineRule="auto"/>
                    <w:jc w:val="center"/>
                    <w:rPr>
                      <w:rFonts w:hint="default" w:ascii="Times New Roman" w:hAnsi="Times New Roman" w:eastAsia="宋体" w:cs="Times New Roman"/>
                      <w:b w:val="0"/>
                      <w:bCs w:val="0"/>
                      <w:color w:val="auto"/>
                      <w:spacing w:val="6"/>
                      <w:sz w:val="21"/>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平均时间</w:t>
                  </w:r>
                </w:p>
              </w:tc>
              <w:tc>
                <w:tcPr>
                  <w:tcW w:w="1611" w:type="dxa"/>
                  <w:tcBorders>
                    <w:tl2br w:val="nil"/>
                    <w:tr2bl w:val="nil"/>
                  </w:tcBorders>
                  <w:vAlign w:val="center"/>
                </w:tcPr>
                <w:p w14:paraId="000ABF8D">
                  <w:pPr>
                    <w:spacing w:before="68" w:line="195" w:lineRule="auto"/>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rPr>
                    <w:t>年均值</w:t>
                  </w:r>
                </w:p>
              </w:tc>
              <w:tc>
                <w:tcPr>
                  <w:tcW w:w="1611" w:type="dxa"/>
                  <w:tcBorders>
                    <w:tl2br w:val="nil"/>
                    <w:tr2bl w:val="nil"/>
                  </w:tcBorders>
                  <w:vAlign w:val="center"/>
                </w:tcPr>
                <w:p w14:paraId="756468AB">
                  <w:pPr>
                    <w:spacing w:before="68" w:line="195" w:lineRule="auto"/>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rPr>
                    <w:t>年均值</w:t>
                  </w:r>
                </w:p>
              </w:tc>
              <w:tc>
                <w:tcPr>
                  <w:tcW w:w="1611" w:type="dxa"/>
                  <w:tcBorders>
                    <w:tl2br w:val="nil"/>
                    <w:tr2bl w:val="nil"/>
                  </w:tcBorders>
                  <w:vAlign w:val="center"/>
                </w:tcPr>
                <w:p w14:paraId="46919B0B">
                  <w:pPr>
                    <w:spacing w:before="68" w:line="195" w:lineRule="auto"/>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pacing w:val="2"/>
                      <w:szCs w:val="21"/>
                      <w:highlight w:val="none"/>
                      <w:lang w:val="en-US" w:eastAsia="zh-CN"/>
                    </w:rPr>
                    <w:t>24小时平均</w:t>
                  </w:r>
                </w:p>
              </w:tc>
              <w:tc>
                <w:tcPr>
                  <w:tcW w:w="1614" w:type="dxa"/>
                  <w:tcBorders>
                    <w:tl2br w:val="nil"/>
                    <w:tr2bl w:val="nil"/>
                  </w:tcBorders>
                  <w:vAlign w:val="center"/>
                </w:tcPr>
                <w:p w14:paraId="0B9E428A">
                  <w:pPr>
                    <w:spacing w:before="68" w:line="195" w:lineRule="auto"/>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pacing w:val="2"/>
                      <w:szCs w:val="21"/>
                      <w:highlight w:val="none"/>
                      <w:lang w:val="en-US" w:eastAsia="zh-CN"/>
                    </w:rPr>
                    <w:t>24小时平均</w:t>
                  </w:r>
                </w:p>
              </w:tc>
            </w:tr>
            <w:tr w14:paraId="4777F29F">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79" w:hRule="atLeast"/>
                <w:jc w:val="center"/>
              </w:trPr>
              <w:tc>
                <w:tcPr>
                  <w:tcW w:w="1611" w:type="dxa"/>
                  <w:tcBorders>
                    <w:tl2br w:val="nil"/>
                    <w:tr2bl w:val="nil"/>
                  </w:tcBorders>
                  <w:vAlign w:val="center"/>
                </w:tcPr>
                <w:p w14:paraId="2948021E">
                  <w:pPr>
                    <w:pStyle w:val="49"/>
                    <w:spacing w:before="34" w:line="214" w:lineRule="auto"/>
                    <w:jc w:val="center"/>
                    <w:rPr>
                      <w:rFonts w:hint="default" w:ascii="Times New Roman" w:hAnsi="Times New Roman" w:eastAsia="宋体" w:cs="Times New Roman"/>
                      <w:b w:val="0"/>
                      <w:bCs w:val="0"/>
                      <w:color w:val="auto"/>
                      <w:sz w:val="21"/>
                      <w:szCs w:val="21"/>
                      <w:highlight w:val="none"/>
                      <w:lang w:eastAsia="zh-CN"/>
                    </w:rPr>
                  </w:pPr>
                  <w:r>
                    <w:rPr>
                      <w:rFonts w:hint="default" w:ascii="Times New Roman" w:hAnsi="Times New Roman" w:eastAsia="宋体" w:cs="Times New Roman"/>
                      <w:b w:val="0"/>
                      <w:bCs w:val="0"/>
                      <w:color w:val="auto"/>
                      <w:spacing w:val="6"/>
                      <w:sz w:val="21"/>
                      <w:szCs w:val="21"/>
                      <w:highlight w:val="none"/>
                      <w:lang w:eastAsia="zh-CN"/>
                    </w:rPr>
                    <w:t>标准值</w:t>
                  </w:r>
                </w:p>
              </w:tc>
              <w:tc>
                <w:tcPr>
                  <w:tcW w:w="1611" w:type="dxa"/>
                  <w:tcBorders>
                    <w:tl2br w:val="nil"/>
                    <w:tr2bl w:val="nil"/>
                  </w:tcBorders>
                  <w:vAlign w:val="center"/>
                </w:tcPr>
                <w:p w14:paraId="4400BC4D">
                  <w:pPr>
                    <w:spacing w:before="70" w:line="195" w:lineRule="auto"/>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60</w:t>
                  </w:r>
                </w:p>
              </w:tc>
              <w:tc>
                <w:tcPr>
                  <w:tcW w:w="1611" w:type="dxa"/>
                  <w:tcBorders>
                    <w:tl2br w:val="nil"/>
                    <w:tr2bl w:val="nil"/>
                  </w:tcBorders>
                  <w:vAlign w:val="center"/>
                </w:tcPr>
                <w:p w14:paraId="5D89B6AC">
                  <w:pPr>
                    <w:spacing w:before="70" w:line="195" w:lineRule="auto"/>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pacing w:val="3"/>
                      <w:szCs w:val="21"/>
                      <w:highlight w:val="none"/>
                    </w:rPr>
                    <w:t>40</w:t>
                  </w:r>
                </w:p>
              </w:tc>
              <w:tc>
                <w:tcPr>
                  <w:tcW w:w="1611" w:type="dxa"/>
                  <w:tcBorders>
                    <w:tl2br w:val="nil"/>
                    <w:tr2bl w:val="nil"/>
                  </w:tcBorders>
                  <w:vAlign w:val="center"/>
                </w:tcPr>
                <w:p w14:paraId="443C8AD5">
                  <w:pPr>
                    <w:spacing w:before="70" w:line="195" w:lineRule="auto"/>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pacing w:val="1"/>
                      <w:szCs w:val="21"/>
                      <w:highlight w:val="none"/>
                    </w:rPr>
                    <w:t>70</w:t>
                  </w:r>
                </w:p>
              </w:tc>
              <w:tc>
                <w:tcPr>
                  <w:tcW w:w="1614" w:type="dxa"/>
                  <w:tcBorders>
                    <w:tl2br w:val="nil"/>
                    <w:tr2bl w:val="nil"/>
                  </w:tcBorders>
                  <w:vAlign w:val="center"/>
                </w:tcPr>
                <w:p w14:paraId="49689C3B">
                  <w:pPr>
                    <w:spacing w:before="70" w:line="195" w:lineRule="auto"/>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35</w:t>
                  </w:r>
                </w:p>
              </w:tc>
            </w:tr>
            <w:tr w14:paraId="7087835C">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611" w:type="dxa"/>
                  <w:tcBorders>
                    <w:tl2br w:val="nil"/>
                    <w:tr2bl w:val="nil"/>
                  </w:tcBorders>
                  <w:vAlign w:val="center"/>
                </w:tcPr>
                <w:p w14:paraId="44D061EA">
                  <w:pPr>
                    <w:pStyle w:val="49"/>
                    <w:spacing w:before="36" w:line="216" w:lineRule="auto"/>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pacing w:val="7"/>
                      <w:sz w:val="21"/>
                      <w:szCs w:val="21"/>
                      <w:highlight w:val="none"/>
                      <w:lang w:val="en-US" w:eastAsia="zh-CN"/>
                    </w:rPr>
                    <w:t>达标情况</w:t>
                  </w:r>
                </w:p>
              </w:tc>
              <w:tc>
                <w:tcPr>
                  <w:tcW w:w="1611" w:type="dxa"/>
                  <w:tcBorders>
                    <w:tl2br w:val="nil"/>
                    <w:tr2bl w:val="nil"/>
                  </w:tcBorders>
                  <w:vAlign w:val="center"/>
                </w:tcPr>
                <w:p w14:paraId="2C76A57D">
                  <w:pPr>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lang w:val="en-US" w:eastAsia="zh-CN"/>
                    </w:rPr>
                    <w:t>达标</w:t>
                  </w:r>
                </w:p>
              </w:tc>
              <w:tc>
                <w:tcPr>
                  <w:tcW w:w="1611" w:type="dxa"/>
                  <w:tcBorders>
                    <w:tl2br w:val="nil"/>
                    <w:tr2bl w:val="nil"/>
                  </w:tcBorders>
                  <w:vAlign w:val="center"/>
                </w:tcPr>
                <w:p w14:paraId="5C043DE4">
                  <w:pPr>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lang w:val="en-US" w:eastAsia="zh-CN"/>
                    </w:rPr>
                    <w:t>达标</w:t>
                  </w:r>
                </w:p>
              </w:tc>
              <w:tc>
                <w:tcPr>
                  <w:tcW w:w="1611" w:type="dxa"/>
                  <w:tcBorders>
                    <w:tl2br w:val="nil"/>
                    <w:tr2bl w:val="nil"/>
                  </w:tcBorders>
                  <w:vAlign w:val="center"/>
                </w:tcPr>
                <w:p w14:paraId="16C9DA67">
                  <w:pPr>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lang w:val="en-US" w:eastAsia="zh-CN"/>
                    </w:rPr>
                    <w:t>达标</w:t>
                  </w:r>
                </w:p>
              </w:tc>
              <w:tc>
                <w:tcPr>
                  <w:tcW w:w="1614" w:type="dxa"/>
                  <w:tcBorders>
                    <w:tl2br w:val="nil"/>
                    <w:tr2bl w:val="nil"/>
                  </w:tcBorders>
                  <w:vAlign w:val="center"/>
                </w:tcPr>
                <w:p w14:paraId="0A242263">
                  <w:pPr>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lang w:val="en-US" w:eastAsia="zh-CN"/>
                    </w:rPr>
                    <w:t>达标</w:t>
                  </w:r>
                </w:p>
              </w:tc>
            </w:tr>
          </w:tbl>
          <w:p w14:paraId="757675FB">
            <w:pPr>
              <w:numPr>
                <w:ilvl w:val="0"/>
                <w:numId w:val="0"/>
              </w:numPr>
              <w:ind w:leftChars="0"/>
              <w:jc w:val="both"/>
              <w:rPr>
                <w:rFonts w:hint="default" w:ascii="Times New Roman" w:hAnsi="Times New Roman" w:eastAsia="宋体" w:cs="Times New Roman"/>
                <w:b/>
                <w:bCs/>
                <w:color w:val="auto"/>
                <w:sz w:val="24"/>
                <w:highlight w:val="none"/>
              </w:rPr>
            </w:pPr>
          </w:p>
          <w:p w14:paraId="45CC6BB2">
            <w:pPr>
              <w:numPr>
                <w:ilvl w:val="0"/>
                <w:numId w:val="14"/>
              </w:numPr>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北京市202</w:t>
            </w:r>
            <w:r>
              <w:rPr>
                <w:rFonts w:hint="default" w:ascii="Times New Roman" w:hAnsi="Times New Roman" w:eastAsia="宋体" w:cs="Times New Roman"/>
                <w:b/>
                <w:bCs/>
                <w:color w:val="auto"/>
                <w:sz w:val="24"/>
                <w:highlight w:val="none"/>
                <w:lang w:val="en-US" w:eastAsia="zh-CN"/>
              </w:rPr>
              <w:t>4</w:t>
            </w:r>
            <w:r>
              <w:rPr>
                <w:rFonts w:hint="default" w:ascii="Times New Roman" w:hAnsi="Times New Roman" w:eastAsia="宋体" w:cs="Times New Roman"/>
                <w:b/>
                <w:bCs/>
                <w:color w:val="auto"/>
                <w:sz w:val="24"/>
                <w:highlight w:val="none"/>
              </w:rPr>
              <w:t>年环境空气质量数据</w:t>
            </w:r>
          </w:p>
          <w:tbl>
            <w:tblPr>
              <w:tblStyle w:val="50"/>
              <w:tblW w:w="4899" w:type="pct"/>
              <w:tblInd w:w="6" w:type="dxa"/>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990"/>
              <w:gridCol w:w="921"/>
              <w:gridCol w:w="1048"/>
              <w:gridCol w:w="974"/>
              <w:gridCol w:w="1002"/>
              <w:gridCol w:w="1592"/>
              <w:gridCol w:w="1245"/>
            </w:tblGrid>
            <w:tr w14:paraId="6DFCBCDD">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79" w:hRule="atLeast"/>
              </w:trPr>
              <w:tc>
                <w:tcPr>
                  <w:tcW w:w="990" w:type="dxa"/>
                  <w:tcBorders>
                    <w:tl2br w:val="nil"/>
                    <w:tr2bl w:val="nil"/>
                  </w:tcBorders>
                  <w:vAlign w:val="center"/>
                </w:tcPr>
                <w:p w14:paraId="4E4C75B0">
                  <w:pPr>
                    <w:pStyle w:val="49"/>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pacing w:val="2"/>
                      <w:sz w:val="21"/>
                      <w:szCs w:val="21"/>
                      <w:highlight w:val="none"/>
                    </w:rPr>
                    <w:t>项目</w:t>
                  </w:r>
                </w:p>
              </w:tc>
              <w:tc>
                <w:tcPr>
                  <w:tcW w:w="921" w:type="dxa"/>
                  <w:tcBorders>
                    <w:tl2br w:val="nil"/>
                    <w:tr2bl w:val="nil"/>
                  </w:tcBorders>
                  <w:vAlign w:val="center"/>
                </w:tcPr>
                <w:p w14:paraId="664BBB99">
                  <w:pPr>
                    <w:jc w:val="center"/>
                    <w:rPr>
                      <w:rFonts w:hint="default" w:ascii="Times New Roman" w:hAnsi="Times New Roman" w:eastAsia="宋体" w:cs="Times New Roman"/>
                      <w:b/>
                      <w:bCs/>
                      <w:color w:val="auto"/>
                      <w:spacing w:val="6"/>
                      <w:position w:val="-1"/>
                      <w:szCs w:val="21"/>
                      <w:highlight w:val="none"/>
                    </w:rPr>
                  </w:pPr>
                  <w:r>
                    <w:rPr>
                      <w:rFonts w:hint="default" w:ascii="Times New Roman" w:hAnsi="Times New Roman" w:eastAsia="宋体" w:cs="Times New Roman"/>
                      <w:b/>
                      <w:bCs/>
                      <w:color w:val="auto"/>
                      <w:szCs w:val="21"/>
                      <w:highlight w:val="none"/>
                    </w:rPr>
                    <w:t>SO</w:t>
                  </w:r>
                  <w:r>
                    <w:rPr>
                      <w:rFonts w:hint="default" w:ascii="Times New Roman" w:hAnsi="Times New Roman" w:eastAsia="宋体" w:cs="Times New Roman"/>
                      <w:b/>
                      <w:bCs/>
                      <w:color w:val="auto"/>
                      <w:spacing w:val="6"/>
                      <w:position w:val="-1"/>
                      <w:szCs w:val="21"/>
                      <w:highlight w:val="none"/>
                      <w:vertAlign w:val="subscript"/>
                    </w:rPr>
                    <w:t>2</w:t>
                  </w:r>
                </w:p>
                <w:p w14:paraId="0268D48C">
                  <w:pPr>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pacing w:val="3"/>
                      <w:szCs w:val="21"/>
                      <w:highlight w:val="none"/>
                    </w:rPr>
                    <w:t>(μg/m</w:t>
                  </w:r>
                  <w:r>
                    <w:rPr>
                      <w:rFonts w:hint="default" w:ascii="Times New Roman" w:hAnsi="Times New Roman" w:eastAsia="宋体" w:cs="Times New Roman"/>
                      <w:b/>
                      <w:bCs/>
                      <w:color w:val="auto"/>
                      <w:szCs w:val="21"/>
                      <w:highlight w:val="none"/>
                      <w:vertAlign w:val="superscript"/>
                    </w:rPr>
                    <w:t>3</w:t>
                  </w:r>
                  <w:r>
                    <w:rPr>
                      <w:rFonts w:hint="default" w:ascii="Times New Roman" w:hAnsi="Times New Roman" w:eastAsia="宋体" w:cs="Times New Roman"/>
                      <w:b/>
                      <w:bCs/>
                      <w:color w:val="auto"/>
                      <w:spacing w:val="3"/>
                      <w:szCs w:val="21"/>
                      <w:highlight w:val="none"/>
                    </w:rPr>
                    <w:t>)</w:t>
                  </w:r>
                </w:p>
              </w:tc>
              <w:tc>
                <w:tcPr>
                  <w:tcW w:w="1048" w:type="dxa"/>
                  <w:tcBorders>
                    <w:tl2br w:val="nil"/>
                    <w:tr2bl w:val="nil"/>
                  </w:tcBorders>
                  <w:vAlign w:val="center"/>
                </w:tcPr>
                <w:p w14:paraId="0AAEAAEC">
                  <w:pPr>
                    <w:jc w:val="center"/>
                    <w:rPr>
                      <w:rFonts w:hint="default" w:ascii="Times New Roman" w:hAnsi="Times New Roman" w:eastAsia="宋体" w:cs="Times New Roman"/>
                      <w:b/>
                      <w:bCs/>
                      <w:color w:val="auto"/>
                      <w:spacing w:val="14"/>
                      <w:position w:val="-1"/>
                      <w:szCs w:val="21"/>
                      <w:highlight w:val="none"/>
                    </w:rPr>
                  </w:pPr>
                  <w:r>
                    <w:rPr>
                      <w:rFonts w:hint="default" w:ascii="Times New Roman" w:hAnsi="Times New Roman" w:eastAsia="宋体" w:cs="Times New Roman"/>
                      <w:b/>
                      <w:bCs/>
                      <w:color w:val="auto"/>
                      <w:szCs w:val="21"/>
                      <w:highlight w:val="none"/>
                    </w:rPr>
                    <w:t>NO</w:t>
                  </w:r>
                  <w:r>
                    <w:rPr>
                      <w:rFonts w:hint="default" w:ascii="Times New Roman" w:hAnsi="Times New Roman" w:eastAsia="宋体" w:cs="Times New Roman"/>
                      <w:b/>
                      <w:bCs/>
                      <w:color w:val="auto"/>
                      <w:spacing w:val="14"/>
                      <w:position w:val="-1"/>
                      <w:szCs w:val="21"/>
                      <w:highlight w:val="none"/>
                      <w:vertAlign w:val="subscript"/>
                    </w:rPr>
                    <w:t>2</w:t>
                  </w:r>
                </w:p>
                <w:p w14:paraId="69DFCBB8">
                  <w:pPr>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pacing w:val="2"/>
                      <w:szCs w:val="21"/>
                      <w:highlight w:val="none"/>
                    </w:rPr>
                    <w:t>(μg/m</w:t>
                  </w:r>
                  <w:r>
                    <w:rPr>
                      <w:rFonts w:hint="default" w:ascii="Times New Roman" w:hAnsi="Times New Roman" w:eastAsia="宋体" w:cs="Times New Roman"/>
                      <w:b/>
                      <w:bCs/>
                      <w:color w:val="auto"/>
                      <w:szCs w:val="21"/>
                      <w:highlight w:val="none"/>
                      <w:vertAlign w:val="superscript"/>
                    </w:rPr>
                    <w:t>3</w:t>
                  </w:r>
                  <w:r>
                    <w:rPr>
                      <w:rFonts w:hint="default" w:ascii="Times New Roman" w:hAnsi="Times New Roman" w:eastAsia="宋体" w:cs="Times New Roman"/>
                      <w:b/>
                      <w:bCs/>
                      <w:color w:val="auto"/>
                      <w:spacing w:val="2"/>
                      <w:szCs w:val="21"/>
                      <w:highlight w:val="none"/>
                    </w:rPr>
                    <w:t>)</w:t>
                  </w:r>
                </w:p>
              </w:tc>
              <w:tc>
                <w:tcPr>
                  <w:tcW w:w="974" w:type="dxa"/>
                  <w:tcBorders>
                    <w:tl2br w:val="nil"/>
                    <w:tr2bl w:val="nil"/>
                  </w:tcBorders>
                  <w:vAlign w:val="center"/>
                </w:tcPr>
                <w:p w14:paraId="49973437">
                  <w:pPr>
                    <w:pStyle w:val="49"/>
                    <w:jc w:val="center"/>
                    <w:rPr>
                      <w:rFonts w:hint="default" w:ascii="Times New Roman" w:hAnsi="Times New Roman" w:eastAsia="宋体" w:cs="Times New Roman"/>
                      <w:b/>
                      <w:bCs/>
                      <w:color w:val="auto"/>
                      <w:spacing w:val="9"/>
                      <w:position w:val="-1"/>
                      <w:sz w:val="21"/>
                      <w:szCs w:val="21"/>
                      <w:highlight w:val="none"/>
                    </w:rPr>
                  </w:pPr>
                  <w:r>
                    <w:rPr>
                      <w:rFonts w:hint="default" w:ascii="Times New Roman" w:hAnsi="Times New Roman" w:eastAsia="宋体" w:cs="Times New Roman"/>
                      <w:b/>
                      <w:bCs/>
                      <w:color w:val="auto"/>
                      <w:sz w:val="21"/>
                      <w:szCs w:val="21"/>
                      <w:highlight w:val="none"/>
                    </w:rPr>
                    <w:t>PM</w:t>
                  </w:r>
                  <w:r>
                    <w:rPr>
                      <w:rFonts w:hint="default" w:ascii="Times New Roman" w:hAnsi="Times New Roman" w:eastAsia="宋体" w:cs="Times New Roman"/>
                      <w:b/>
                      <w:bCs/>
                      <w:color w:val="auto"/>
                      <w:spacing w:val="9"/>
                      <w:position w:val="-1"/>
                      <w:sz w:val="21"/>
                      <w:szCs w:val="21"/>
                      <w:highlight w:val="none"/>
                      <w:vertAlign w:val="subscript"/>
                    </w:rPr>
                    <w:t>10</w:t>
                  </w:r>
                </w:p>
                <w:p w14:paraId="48BAFF7E">
                  <w:pPr>
                    <w:pStyle w:val="49"/>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(μg/m</w:t>
                  </w:r>
                  <w:r>
                    <w:rPr>
                      <w:rFonts w:hint="default" w:ascii="Times New Roman" w:hAnsi="Times New Roman" w:eastAsia="宋体" w:cs="Times New Roman"/>
                      <w:b/>
                      <w:bCs/>
                      <w:color w:val="auto"/>
                      <w:sz w:val="21"/>
                      <w:szCs w:val="21"/>
                      <w:highlight w:val="none"/>
                      <w:vertAlign w:val="superscript"/>
                      <w:lang w:eastAsia="zh-CN"/>
                    </w:rPr>
                    <w:t>3</w:t>
                  </w:r>
                  <w:r>
                    <w:rPr>
                      <w:rFonts w:hint="default" w:ascii="Times New Roman" w:hAnsi="Times New Roman" w:eastAsia="宋体" w:cs="Times New Roman"/>
                      <w:b/>
                      <w:bCs/>
                      <w:color w:val="auto"/>
                      <w:sz w:val="21"/>
                      <w:szCs w:val="21"/>
                      <w:highlight w:val="none"/>
                    </w:rPr>
                    <w:t>）</w:t>
                  </w:r>
                </w:p>
              </w:tc>
              <w:tc>
                <w:tcPr>
                  <w:tcW w:w="1002" w:type="dxa"/>
                  <w:tcBorders>
                    <w:tl2br w:val="nil"/>
                    <w:tr2bl w:val="nil"/>
                  </w:tcBorders>
                  <w:vAlign w:val="center"/>
                </w:tcPr>
                <w:p w14:paraId="48E852A0">
                  <w:pPr>
                    <w:pStyle w:val="49"/>
                    <w:jc w:val="center"/>
                    <w:rPr>
                      <w:rFonts w:hint="default" w:ascii="Times New Roman" w:hAnsi="Times New Roman" w:eastAsia="宋体" w:cs="Times New Roman"/>
                      <w:b/>
                      <w:bCs/>
                      <w:color w:val="auto"/>
                      <w:spacing w:val="6"/>
                      <w:position w:val="-1"/>
                      <w:sz w:val="21"/>
                      <w:szCs w:val="21"/>
                      <w:highlight w:val="none"/>
                    </w:rPr>
                  </w:pPr>
                  <w:r>
                    <w:rPr>
                      <w:rFonts w:hint="default" w:ascii="Times New Roman" w:hAnsi="Times New Roman" w:eastAsia="宋体" w:cs="Times New Roman"/>
                      <w:b/>
                      <w:bCs/>
                      <w:color w:val="auto"/>
                      <w:sz w:val="21"/>
                      <w:szCs w:val="21"/>
                      <w:highlight w:val="none"/>
                    </w:rPr>
                    <w:t>PM</w:t>
                  </w:r>
                  <w:r>
                    <w:rPr>
                      <w:rFonts w:hint="default" w:ascii="Times New Roman" w:hAnsi="Times New Roman" w:eastAsia="宋体" w:cs="Times New Roman"/>
                      <w:b/>
                      <w:bCs/>
                      <w:color w:val="auto"/>
                      <w:spacing w:val="6"/>
                      <w:position w:val="-1"/>
                      <w:sz w:val="21"/>
                      <w:szCs w:val="21"/>
                      <w:highlight w:val="none"/>
                      <w:vertAlign w:val="subscript"/>
                    </w:rPr>
                    <w:t>2.5</w:t>
                  </w:r>
                </w:p>
                <w:p w14:paraId="13B69367">
                  <w:pPr>
                    <w:pStyle w:val="49"/>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(μg/m</w:t>
                  </w:r>
                  <w:r>
                    <w:rPr>
                      <w:rFonts w:hint="default" w:ascii="Times New Roman" w:hAnsi="Times New Roman" w:eastAsia="宋体" w:cs="Times New Roman"/>
                      <w:b/>
                      <w:bCs/>
                      <w:color w:val="auto"/>
                      <w:sz w:val="21"/>
                      <w:szCs w:val="21"/>
                      <w:highlight w:val="none"/>
                      <w:vertAlign w:val="superscript"/>
                      <w:lang w:eastAsia="zh-CN"/>
                    </w:rPr>
                    <w:t>3</w:t>
                  </w:r>
                  <w:r>
                    <w:rPr>
                      <w:rFonts w:hint="default" w:ascii="Times New Roman" w:hAnsi="Times New Roman" w:eastAsia="宋体" w:cs="Times New Roman"/>
                      <w:b/>
                      <w:bCs/>
                      <w:color w:val="auto"/>
                      <w:sz w:val="21"/>
                      <w:szCs w:val="21"/>
                      <w:highlight w:val="none"/>
                    </w:rPr>
                    <w:t>）</w:t>
                  </w:r>
                </w:p>
              </w:tc>
              <w:tc>
                <w:tcPr>
                  <w:tcW w:w="1592" w:type="dxa"/>
                  <w:tcBorders>
                    <w:tl2br w:val="nil"/>
                    <w:tr2bl w:val="nil"/>
                  </w:tcBorders>
                  <w:vAlign w:val="center"/>
                </w:tcPr>
                <w:p w14:paraId="5E4190A3">
                  <w:pPr>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CO</w:t>
                  </w:r>
                  <w:r>
                    <w:rPr>
                      <w:rFonts w:hint="default" w:ascii="Times New Roman" w:hAnsi="Times New Roman" w:eastAsia="宋体" w:cs="Times New Roman"/>
                      <w:b/>
                      <w:bCs/>
                      <w:color w:val="auto"/>
                      <w:spacing w:val="7"/>
                      <w:szCs w:val="21"/>
                      <w:highlight w:val="none"/>
                    </w:rPr>
                    <w:t>-24h-95</w:t>
                  </w:r>
                  <w:r>
                    <w:rPr>
                      <w:rFonts w:hint="default" w:ascii="Times New Roman" w:hAnsi="Times New Roman" w:eastAsia="宋体" w:cs="Times New Roman"/>
                      <w:b/>
                      <w:bCs/>
                      <w:color w:val="auto"/>
                      <w:szCs w:val="21"/>
                      <w:highlight w:val="none"/>
                    </w:rPr>
                    <w:t>per</w:t>
                  </w:r>
                </w:p>
                <w:p w14:paraId="14569C3A">
                  <w:pPr>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pacing w:val="1"/>
                      <w:szCs w:val="21"/>
                      <w:highlight w:val="none"/>
                    </w:rPr>
                    <w:t>(μg/m</w:t>
                  </w:r>
                  <w:r>
                    <w:rPr>
                      <w:rFonts w:hint="default" w:ascii="Times New Roman" w:hAnsi="Times New Roman" w:eastAsia="宋体" w:cs="Times New Roman"/>
                      <w:b/>
                      <w:bCs/>
                      <w:color w:val="auto"/>
                      <w:szCs w:val="21"/>
                      <w:highlight w:val="none"/>
                      <w:vertAlign w:val="superscript"/>
                    </w:rPr>
                    <w:t>3</w:t>
                  </w:r>
                  <w:r>
                    <w:rPr>
                      <w:rFonts w:hint="default" w:ascii="Times New Roman" w:hAnsi="Times New Roman" w:eastAsia="宋体" w:cs="Times New Roman"/>
                      <w:b/>
                      <w:bCs/>
                      <w:color w:val="auto"/>
                      <w:spacing w:val="1"/>
                      <w:szCs w:val="21"/>
                      <w:highlight w:val="none"/>
                    </w:rPr>
                    <w:t>）</w:t>
                  </w:r>
                </w:p>
              </w:tc>
              <w:tc>
                <w:tcPr>
                  <w:tcW w:w="1245" w:type="dxa"/>
                  <w:tcBorders>
                    <w:tl2br w:val="nil"/>
                    <w:tr2bl w:val="nil"/>
                  </w:tcBorders>
                  <w:vAlign w:val="center"/>
                </w:tcPr>
                <w:p w14:paraId="59B41CD5">
                  <w:pPr>
                    <w:pStyle w:val="49"/>
                    <w:jc w:val="center"/>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pacing w:val="5"/>
                      <w:sz w:val="21"/>
                      <w:szCs w:val="21"/>
                      <w:highlight w:val="none"/>
                      <w:lang w:eastAsia="zh-CN"/>
                    </w:rPr>
                    <w:t>O</w:t>
                  </w:r>
                  <w:r>
                    <w:rPr>
                      <w:rFonts w:hint="default" w:ascii="Times New Roman" w:hAnsi="Times New Roman" w:eastAsia="宋体" w:cs="Times New Roman"/>
                      <w:b/>
                      <w:bCs/>
                      <w:color w:val="auto"/>
                      <w:spacing w:val="5"/>
                      <w:sz w:val="21"/>
                      <w:szCs w:val="21"/>
                      <w:highlight w:val="none"/>
                      <w:vertAlign w:val="subscript"/>
                      <w:lang w:eastAsia="zh-CN"/>
                    </w:rPr>
                    <w:t>3</w:t>
                  </w:r>
                  <w:r>
                    <w:rPr>
                      <w:rFonts w:hint="default" w:ascii="Times New Roman" w:hAnsi="Times New Roman" w:eastAsia="宋体" w:cs="Times New Roman"/>
                      <w:b/>
                      <w:bCs/>
                      <w:color w:val="auto"/>
                      <w:spacing w:val="5"/>
                      <w:sz w:val="21"/>
                      <w:szCs w:val="21"/>
                      <w:highlight w:val="none"/>
                      <w:lang w:eastAsia="zh-CN"/>
                    </w:rPr>
                    <w:t>-8h-90</w:t>
                  </w:r>
                  <w:r>
                    <w:rPr>
                      <w:rFonts w:hint="default" w:ascii="Times New Roman" w:hAnsi="Times New Roman" w:eastAsia="宋体" w:cs="Times New Roman"/>
                      <w:b/>
                      <w:bCs/>
                      <w:color w:val="auto"/>
                      <w:sz w:val="21"/>
                      <w:szCs w:val="21"/>
                      <w:highlight w:val="none"/>
                      <w:lang w:eastAsia="zh-CN"/>
                    </w:rPr>
                    <w:t>per</w:t>
                  </w:r>
                </w:p>
                <w:p w14:paraId="6DC30752">
                  <w:pPr>
                    <w:pStyle w:val="49"/>
                    <w:jc w:val="center"/>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pacing w:val="1"/>
                      <w:sz w:val="21"/>
                      <w:szCs w:val="21"/>
                      <w:highlight w:val="none"/>
                      <w:lang w:eastAsia="zh-CN"/>
                    </w:rPr>
                    <w:t>(</w:t>
                  </w:r>
                  <w:r>
                    <w:rPr>
                      <w:rFonts w:hint="default" w:ascii="Times New Roman" w:hAnsi="Times New Roman" w:eastAsia="宋体" w:cs="Times New Roman"/>
                      <w:b/>
                      <w:bCs/>
                      <w:color w:val="auto"/>
                      <w:spacing w:val="1"/>
                      <w:sz w:val="21"/>
                      <w:szCs w:val="21"/>
                      <w:highlight w:val="none"/>
                    </w:rPr>
                    <w:t>μ</w:t>
                  </w:r>
                  <w:r>
                    <w:rPr>
                      <w:rFonts w:hint="default" w:ascii="Times New Roman" w:hAnsi="Times New Roman" w:eastAsia="宋体" w:cs="Times New Roman"/>
                      <w:b/>
                      <w:bCs/>
                      <w:color w:val="auto"/>
                      <w:spacing w:val="1"/>
                      <w:sz w:val="21"/>
                      <w:szCs w:val="21"/>
                      <w:highlight w:val="none"/>
                      <w:lang w:eastAsia="zh-CN"/>
                    </w:rPr>
                    <w:t>g/m</w:t>
                  </w:r>
                  <w:r>
                    <w:rPr>
                      <w:rFonts w:hint="default" w:ascii="Times New Roman" w:hAnsi="Times New Roman" w:eastAsia="宋体" w:cs="Times New Roman"/>
                      <w:b/>
                      <w:bCs/>
                      <w:color w:val="auto"/>
                      <w:sz w:val="21"/>
                      <w:szCs w:val="21"/>
                      <w:highlight w:val="none"/>
                      <w:vertAlign w:val="superscript"/>
                      <w:lang w:eastAsia="zh-CN"/>
                    </w:rPr>
                    <w:t>3</w:t>
                  </w:r>
                  <w:r>
                    <w:rPr>
                      <w:rFonts w:hint="default" w:ascii="Times New Roman" w:hAnsi="Times New Roman" w:eastAsia="宋体" w:cs="Times New Roman"/>
                      <w:b/>
                      <w:bCs/>
                      <w:color w:val="auto"/>
                      <w:spacing w:val="1"/>
                      <w:sz w:val="21"/>
                      <w:szCs w:val="21"/>
                      <w:highlight w:val="none"/>
                      <w:lang w:eastAsia="zh-CN"/>
                    </w:rPr>
                    <w:t>）</w:t>
                  </w:r>
                </w:p>
              </w:tc>
            </w:tr>
            <w:tr w14:paraId="5D5C6A57">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990" w:type="dxa"/>
                  <w:tcBorders>
                    <w:tl2br w:val="nil"/>
                    <w:tr2bl w:val="nil"/>
                  </w:tcBorders>
                  <w:vAlign w:val="center"/>
                </w:tcPr>
                <w:p w14:paraId="13E64FAB">
                  <w:pPr>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现状浓度</w:t>
                  </w:r>
                </w:p>
              </w:tc>
              <w:tc>
                <w:tcPr>
                  <w:tcW w:w="921" w:type="dxa"/>
                  <w:tcBorders>
                    <w:tl2br w:val="nil"/>
                    <w:tr2bl w:val="nil"/>
                  </w:tcBorders>
                  <w:vAlign w:val="center"/>
                </w:tcPr>
                <w:p w14:paraId="058AFD76">
                  <w:pPr>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3</w:t>
                  </w:r>
                </w:p>
              </w:tc>
              <w:tc>
                <w:tcPr>
                  <w:tcW w:w="1048" w:type="dxa"/>
                  <w:tcBorders>
                    <w:tl2br w:val="nil"/>
                    <w:tr2bl w:val="nil"/>
                  </w:tcBorders>
                  <w:vAlign w:val="center"/>
                </w:tcPr>
                <w:p w14:paraId="402A3D08">
                  <w:pPr>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pacing w:val="2"/>
                      <w:szCs w:val="21"/>
                      <w:highlight w:val="none"/>
                    </w:rPr>
                    <w:t>2</w:t>
                  </w:r>
                  <w:r>
                    <w:rPr>
                      <w:rFonts w:hint="default" w:ascii="Times New Roman" w:hAnsi="Times New Roman" w:eastAsia="宋体" w:cs="Times New Roman"/>
                      <w:b w:val="0"/>
                      <w:bCs w:val="0"/>
                      <w:color w:val="auto"/>
                      <w:spacing w:val="2"/>
                      <w:szCs w:val="21"/>
                      <w:highlight w:val="none"/>
                      <w:lang w:val="en-US" w:eastAsia="zh-CN"/>
                    </w:rPr>
                    <w:t>4</w:t>
                  </w:r>
                </w:p>
              </w:tc>
              <w:tc>
                <w:tcPr>
                  <w:tcW w:w="974" w:type="dxa"/>
                  <w:tcBorders>
                    <w:tl2br w:val="nil"/>
                    <w:tr2bl w:val="nil"/>
                  </w:tcBorders>
                  <w:vAlign w:val="center"/>
                </w:tcPr>
                <w:p w14:paraId="2F743958">
                  <w:pPr>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54</w:t>
                  </w:r>
                </w:p>
              </w:tc>
              <w:tc>
                <w:tcPr>
                  <w:tcW w:w="1002" w:type="dxa"/>
                  <w:tcBorders>
                    <w:tl2br w:val="nil"/>
                    <w:tr2bl w:val="nil"/>
                  </w:tcBorders>
                  <w:vAlign w:val="center"/>
                </w:tcPr>
                <w:p w14:paraId="18C8ABDB">
                  <w:pPr>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rPr>
                    <w:t>3</w:t>
                  </w:r>
                  <w:r>
                    <w:rPr>
                      <w:rFonts w:hint="default" w:ascii="Times New Roman" w:hAnsi="Times New Roman" w:eastAsia="宋体" w:cs="Times New Roman"/>
                      <w:b w:val="0"/>
                      <w:bCs w:val="0"/>
                      <w:color w:val="auto"/>
                      <w:szCs w:val="21"/>
                      <w:highlight w:val="none"/>
                      <w:lang w:val="en-US" w:eastAsia="zh-CN"/>
                    </w:rPr>
                    <w:t>0.5</w:t>
                  </w:r>
                </w:p>
              </w:tc>
              <w:tc>
                <w:tcPr>
                  <w:tcW w:w="1592" w:type="dxa"/>
                  <w:tcBorders>
                    <w:tl2br w:val="nil"/>
                    <w:tr2bl w:val="nil"/>
                  </w:tcBorders>
                  <w:vAlign w:val="center"/>
                </w:tcPr>
                <w:p w14:paraId="65759D97">
                  <w:pPr>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pacing w:val="2"/>
                      <w:szCs w:val="21"/>
                      <w:highlight w:val="none"/>
                    </w:rPr>
                    <w:t>900</w:t>
                  </w:r>
                </w:p>
              </w:tc>
              <w:tc>
                <w:tcPr>
                  <w:tcW w:w="1245" w:type="dxa"/>
                  <w:tcBorders>
                    <w:tl2br w:val="nil"/>
                    <w:tr2bl w:val="nil"/>
                  </w:tcBorders>
                  <w:vAlign w:val="center"/>
                </w:tcPr>
                <w:p w14:paraId="6C2B8A10">
                  <w:pPr>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pacing w:val="-3"/>
                      <w:szCs w:val="21"/>
                      <w:highlight w:val="none"/>
                    </w:rPr>
                    <w:t>17</w:t>
                  </w:r>
                  <w:r>
                    <w:rPr>
                      <w:rFonts w:hint="default" w:ascii="Times New Roman" w:hAnsi="Times New Roman" w:eastAsia="宋体" w:cs="Times New Roman"/>
                      <w:b w:val="0"/>
                      <w:bCs w:val="0"/>
                      <w:color w:val="auto"/>
                      <w:spacing w:val="-3"/>
                      <w:szCs w:val="21"/>
                      <w:highlight w:val="none"/>
                      <w:lang w:val="en-US" w:eastAsia="zh-CN"/>
                    </w:rPr>
                    <w:t>1</w:t>
                  </w:r>
                </w:p>
              </w:tc>
            </w:tr>
            <w:tr w14:paraId="57E532F0">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990" w:type="dxa"/>
                  <w:tcBorders>
                    <w:tl2br w:val="nil"/>
                    <w:tr2bl w:val="nil"/>
                  </w:tcBorders>
                  <w:vAlign w:val="center"/>
                </w:tcPr>
                <w:p w14:paraId="10893302">
                  <w:pPr>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平均时间</w:t>
                  </w:r>
                </w:p>
              </w:tc>
              <w:tc>
                <w:tcPr>
                  <w:tcW w:w="1969" w:type="dxa"/>
                  <w:gridSpan w:val="2"/>
                  <w:tcBorders>
                    <w:tl2br w:val="nil"/>
                    <w:tr2bl w:val="nil"/>
                  </w:tcBorders>
                  <w:vAlign w:val="center"/>
                </w:tcPr>
                <w:p w14:paraId="1961369D">
                  <w:pPr>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年均值</w:t>
                  </w:r>
                </w:p>
              </w:tc>
              <w:tc>
                <w:tcPr>
                  <w:tcW w:w="1976" w:type="dxa"/>
                  <w:gridSpan w:val="2"/>
                  <w:tcBorders>
                    <w:tl2br w:val="nil"/>
                    <w:tr2bl w:val="nil"/>
                  </w:tcBorders>
                  <w:vAlign w:val="center"/>
                </w:tcPr>
                <w:p w14:paraId="3330F065">
                  <w:pPr>
                    <w:jc w:val="center"/>
                    <w:rPr>
                      <w:rFonts w:hint="default" w:ascii="Times New Roman" w:hAnsi="Times New Roman" w:eastAsia="宋体" w:cs="Times New Roman"/>
                      <w:b w:val="0"/>
                      <w:bCs w:val="0"/>
                      <w:color w:val="auto"/>
                      <w:spacing w:val="2"/>
                      <w:szCs w:val="21"/>
                      <w:highlight w:val="none"/>
                      <w:lang w:val="en-US" w:eastAsia="zh-CN"/>
                    </w:rPr>
                  </w:pPr>
                  <w:r>
                    <w:rPr>
                      <w:rFonts w:hint="default" w:ascii="Times New Roman" w:hAnsi="Times New Roman" w:eastAsia="宋体" w:cs="Times New Roman"/>
                      <w:b w:val="0"/>
                      <w:bCs w:val="0"/>
                      <w:color w:val="auto"/>
                      <w:spacing w:val="2"/>
                      <w:szCs w:val="21"/>
                      <w:highlight w:val="none"/>
                      <w:lang w:val="en-US" w:eastAsia="zh-CN"/>
                    </w:rPr>
                    <w:t>24小时平均</w:t>
                  </w:r>
                </w:p>
              </w:tc>
              <w:tc>
                <w:tcPr>
                  <w:tcW w:w="2837" w:type="dxa"/>
                  <w:gridSpan w:val="2"/>
                  <w:tcBorders>
                    <w:tl2br w:val="nil"/>
                    <w:tr2bl w:val="nil"/>
                  </w:tcBorders>
                  <w:vAlign w:val="center"/>
                </w:tcPr>
                <w:p w14:paraId="0C8A87C9">
                  <w:pPr>
                    <w:jc w:val="center"/>
                    <w:rPr>
                      <w:rFonts w:hint="default" w:ascii="Times New Roman" w:hAnsi="Times New Roman" w:eastAsia="宋体" w:cs="Times New Roman"/>
                      <w:b w:val="0"/>
                      <w:bCs w:val="0"/>
                      <w:color w:val="auto"/>
                      <w:spacing w:val="-3"/>
                      <w:szCs w:val="21"/>
                      <w:highlight w:val="none"/>
                      <w:lang w:val="en-US" w:eastAsia="zh-CN"/>
                    </w:rPr>
                  </w:pPr>
                  <w:r>
                    <w:rPr>
                      <w:rFonts w:hint="default" w:ascii="Times New Roman" w:hAnsi="Times New Roman" w:eastAsia="宋体" w:cs="Times New Roman"/>
                      <w:b w:val="0"/>
                      <w:bCs w:val="0"/>
                      <w:color w:val="auto"/>
                      <w:spacing w:val="-3"/>
                      <w:szCs w:val="21"/>
                      <w:highlight w:val="none"/>
                      <w:lang w:val="en-US" w:eastAsia="zh-CN"/>
                    </w:rPr>
                    <w:t>日最大8小时平均</w:t>
                  </w:r>
                </w:p>
              </w:tc>
            </w:tr>
            <w:tr w14:paraId="1F60BB4B">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990" w:type="dxa"/>
                  <w:tcBorders>
                    <w:tl2br w:val="nil"/>
                    <w:tr2bl w:val="nil"/>
                  </w:tcBorders>
                  <w:vAlign w:val="center"/>
                </w:tcPr>
                <w:p w14:paraId="3D68866A">
                  <w:pPr>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标准值</w:t>
                  </w:r>
                </w:p>
              </w:tc>
              <w:tc>
                <w:tcPr>
                  <w:tcW w:w="921" w:type="dxa"/>
                  <w:tcBorders>
                    <w:tl2br w:val="nil"/>
                    <w:tr2bl w:val="nil"/>
                  </w:tcBorders>
                  <w:vAlign w:val="center"/>
                </w:tcPr>
                <w:p w14:paraId="6DF95F2E">
                  <w:pPr>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60</w:t>
                  </w:r>
                </w:p>
              </w:tc>
              <w:tc>
                <w:tcPr>
                  <w:tcW w:w="1048" w:type="dxa"/>
                  <w:tcBorders>
                    <w:tl2br w:val="nil"/>
                    <w:tr2bl w:val="nil"/>
                  </w:tcBorders>
                  <w:vAlign w:val="center"/>
                </w:tcPr>
                <w:p w14:paraId="12C55D47">
                  <w:pPr>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pacing w:val="3"/>
                      <w:szCs w:val="21"/>
                      <w:highlight w:val="none"/>
                    </w:rPr>
                    <w:t>40</w:t>
                  </w:r>
                </w:p>
              </w:tc>
              <w:tc>
                <w:tcPr>
                  <w:tcW w:w="974" w:type="dxa"/>
                  <w:tcBorders>
                    <w:tl2br w:val="nil"/>
                    <w:tr2bl w:val="nil"/>
                  </w:tcBorders>
                  <w:vAlign w:val="center"/>
                </w:tcPr>
                <w:p w14:paraId="3898201F">
                  <w:pPr>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pacing w:val="1"/>
                      <w:szCs w:val="21"/>
                      <w:highlight w:val="none"/>
                    </w:rPr>
                    <w:t>70</w:t>
                  </w:r>
                </w:p>
              </w:tc>
              <w:tc>
                <w:tcPr>
                  <w:tcW w:w="1002" w:type="dxa"/>
                  <w:tcBorders>
                    <w:tl2br w:val="nil"/>
                    <w:tr2bl w:val="nil"/>
                  </w:tcBorders>
                  <w:vAlign w:val="center"/>
                </w:tcPr>
                <w:p w14:paraId="3F1508FF">
                  <w:pPr>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rPr>
                    <w:t>35</w:t>
                  </w:r>
                </w:p>
              </w:tc>
              <w:tc>
                <w:tcPr>
                  <w:tcW w:w="1592" w:type="dxa"/>
                  <w:tcBorders>
                    <w:tl2br w:val="nil"/>
                    <w:tr2bl w:val="nil"/>
                  </w:tcBorders>
                  <w:vAlign w:val="center"/>
                </w:tcPr>
                <w:p w14:paraId="25070045">
                  <w:pPr>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pacing w:val="4"/>
                      <w:szCs w:val="21"/>
                      <w:highlight w:val="none"/>
                    </w:rPr>
                    <w:t>4000</w:t>
                  </w:r>
                </w:p>
              </w:tc>
              <w:tc>
                <w:tcPr>
                  <w:tcW w:w="1245" w:type="dxa"/>
                  <w:tcBorders>
                    <w:tl2br w:val="nil"/>
                    <w:tr2bl w:val="nil"/>
                  </w:tcBorders>
                  <w:vAlign w:val="center"/>
                </w:tcPr>
                <w:p w14:paraId="18A2248C">
                  <w:pPr>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pacing w:val="-3"/>
                      <w:szCs w:val="21"/>
                      <w:highlight w:val="none"/>
                    </w:rPr>
                    <w:t>160</w:t>
                  </w:r>
                </w:p>
              </w:tc>
            </w:tr>
            <w:tr w14:paraId="4B48F169">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990" w:type="dxa"/>
                  <w:tcBorders>
                    <w:tl2br w:val="nil"/>
                    <w:tr2bl w:val="nil"/>
                  </w:tcBorders>
                  <w:vAlign w:val="center"/>
                </w:tcPr>
                <w:p w14:paraId="093D33FC">
                  <w:pPr>
                    <w:jc w:val="center"/>
                    <w:rPr>
                      <w:rFonts w:hint="default" w:ascii="Times New Roman" w:hAnsi="Times New Roman" w:eastAsia="宋体" w:cs="Times New Roman"/>
                      <w:b w:val="0"/>
                      <w:bCs w:val="0"/>
                      <w:color w:val="auto"/>
                      <w:szCs w:val="21"/>
                      <w:highlight w:val="none"/>
                      <w:lang w:eastAsia="zh-CN"/>
                    </w:rPr>
                  </w:pPr>
                  <w:r>
                    <w:rPr>
                      <w:rFonts w:hint="default" w:ascii="Times New Roman" w:hAnsi="Times New Roman" w:eastAsia="宋体" w:cs="Times New Roman"/>
                      <w:b w:val="0"/>
                      <w:bCs w:val="0"/>
                      <w:color w:val="auto"/>
                      <w:szCs w:val="21"/>
                      <w:highlight w:val="none"/>
                      <w:lang w:val="en-US" w:eastAsia="zh-CN"/>
                    </w:rPr>
                    <w:t>达标情况</w:t>
                  </w:r>
                </w:p>
              </w:tc>
              <w:tc>
                <w:tcPr>
                  <w:tcW w:w="921" w:type="dxa"/>
                  <w:tcBorders>
                    <w:tl2br w:val="nil"/>
                    <w:tr2bl w:val="nil"/>
                  </w:tcBorders>
                  <w:vAlign w:val="center"/>
                </w:tcPr>
                <w:p w14:paraId="0BFFF389">
                  <w:pPr>
                    <w:jc w:val="center"/>
                    <w:rPr>
                      <w:rFonts w:hint="default" w:ascii="Times New Roman" w:hAnsi="Times New Roman" w:eastAsia="宋体" w:cs="Times New Roman"/>
                      <w:b w:val="0"/>
                      <w:bCs w:val="0"/>
                      <w:color w:val="auto"/>
                      <w:szCs w:val="21"/>
                      <w:highlight w:val="none"/>
                      <w:lang w:eastAsia="zh-CN"/>
                    </w:rPr>
                  </w:pPr>
                  <w:r>
                    <w:rPr>
                      <w:rFonts w:hint="default" w:ascii="Times New Roman" w:hAnsi="Times New Roman" w:eastAsia="宋体" w:cs="Times New Roman"/>
                      <w:b w:val="0"/>
                      <w:bCs w:val="0"/>
                      <w:color w:val="auto"/>
                      <w:szCs w:val="21"/>
                      <w:highlight w:val="none"/>
                      <w:lang w:val="en-US" w:eastAsia="zh-CN"/>
                    </w:rPr>
                    <w:t>达标</w:t>
                  </w:r>
                </w:p>
              </w:tc>
              <w:tc>
                <w:tcPr>
                  <w:tcW w:w="1048" w:type="dxa"/>
                  <w:tcBorders>
                    <w:tl2br w:val="nil"/>
                    <w:tr2bl w:val="nil"/>
                  </w:tcBorders>
                  <w:vAlign w:val="center"/>
                </w:tcPr>
                <w:p w14:paraId="752E8FF4">
                  <w:pPr>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lang w:val="en-US" w:eastAsia="zh-CN"/>
                    </w:rPr>
                    <w:t>达标</w:t>
                  </w:r>
                </w:p>
              </w:tc>
              <w:tc>
                <w:tcPr>
                  <w:tcW w:w="974" w:type="dxa"/>
                  <w:tcBorders>
                    <w:tl2br w:val="nil"/>
                    <w:tr2bl w:val="nil"/>
                  </w:tcBorders>
                  <w:vAlign w:val="center"/>
                </w:tcPr>
                <w:p w14:paraId="165584E5">
                  <w:pPr>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lang w:val="en-US" w:eastAsia="zh-CN"/>
                    </w:rPr>
                    <w:t>达标</w:t>
                  </w:r>
                </w:p>
              </w:tc>
              <w:tc>
                <w:tcPr>
                  <w:tcW w:w="1002" w:type="dxa"/>
                  <w:tcBorders>
                    <w:tl2br w:val="nil"/>
                    <w:tr2bl w:val="nil"/>
                  </w:tcBorders>
                  <w:vAlign w:val="center"/>
                </w:tcPr>
                <w:p w14:paraId="69D80567">
                  <w:pPr>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lang w:val="en-US" w:eastAsia="zh-CN"/>
                    </w:rPr>
                    <w:t>达标</w:t>
                  </w:r>
                </w:p>
              </w:tc>
              <w:tc>
                <w:tcPr>
                  <w:tcW w:w="1592" w:type="dxa"/>
                  <w:tcBorders>
                    <w:tl2br w:val="nil"/>
                    <w:tr2bl w:val="nil"/>
                  </w:tcBorders>
                  <w:vAlign w:val="center"/>
                </w:tcPr>
                <w:p w14:paraId="1F5433CF">
                  <w:pPr>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lang w:val="en-US" w:eastAsia="zh-CN"/>
                    </w:rPr>
                    <w:t>达标</w:t>
                  </w:r>
                </w:p>
              </w:tc>
              <w:tc>
                <w:tcPr>
                  <w:tcW w:w="1245" w:type="dxa"/>
                  <w:tcBorders>
                    <w:tl2br w:val="nil"/>
                    <w:tr2bl w:val="nil"/>
                  </w:tcBorders>
                  <w:vAlign w:val="center"/>
                </w:tcPr>
                <w:p w14:paraId="7C545B8C">
                  <w:pPr>
                    <w:jc w:val="center"/>
                    <w:rPr>
                      <w:rFonts w:hint="default" w:ascii="Times New Roman" w:hAnsi="Times New Roman" w:eastAsia="宋体" w:cs="Times New Roman"/>
                      <w:b w:val="0"/>
                      <w:bCs w:val="0"/>
                      <w:color w:val="auto"/>
                      <w:szCs w:val="21"/>
                      <w:highlight w:val="none"/>
                    </w:rPr>
                  </w:pPr>
                  <w:r>
                    <w:rPr>
                      <w:rFonts w:hint="default" w:ascii="Times New Roman" w:hAnsi="Times New Roman" w:eastAsia="宋体" w:cs="Times New Roman"/>
                      <w:b w:val="0"/>
                      <w:bCs w:val="0"/>
                      <w:color w:val="auto"/>
                      <w:szCs w:val="21"/>
                      <w:highlight w:val="none"/>
                      <w:lang w:val="en-US" w:eastAsia="zh-CN"/>
                    </w:rPr>
                    <w:t>不达标</w:t>
                  </w:r>
                </w:p>
              </w:tc>
            </w:tr>
          </w:tbl>
          <w:p w14:paraId="218031B0">
            <w:pPr>
              <w:pStyle w:val="20"/>
              <w:numPr>
                <w:ilvl w:val="0"/>
                <w:numId w:val="0"/>
              </w:numPr>
              <w:adjustRightInd w:val="0"/>
              <w:snapToGrid w:val="0"/>
              <w:spacing w:before="0" w:beforeAutospacing="0" w:after="0" w:afterAutospacing="0"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根据</w:t>
            </w:r>
            <w:r>
              <w:rPr>
                <w:rFonts w:hint="default" w:ascii="Times New Roman" w:hAnsi="Times New Roman" w:eastAsia="宋体" w:cs="Times New Roman"/>
                <w:color w:val="auto"/>
                <w:sz w:val="24"/>
                <w:highlight w:val="none"/>
                <w:lang w:val="en-US" w:eastAsia="zh-CN"/>
              </w:rPr>
              <w:t>以上分析</w:t>
            </w:r>
            <w:r>
              <w:rPr>
                <w:rFonts w:hint="default" w:ascii="Times New Roman" w:hAnsi="Times New Roman" w:eastAsia="宋体" w:cs="Times New Roman"/>
                <w:color w:val="auto"/>
                <w:sz w:val="24"/>
                <w:highlight w:val="none"/>
              </w:rPr>
              <w:t>可知，2024年</w:t>
            </w:r>
            <w:r>
              <w:rPr>
                <w:rFonts w:hint="eastAsia" w:ascii="Times New Roman" w:hAnsi="Times New Roman" w:cs="Times New Roman"/>
                <w:color w:val="auto"/>
                <w:sz w:val="24"/>
                <w:highlight w:val="none"/>
                <w:lang w:val="en-US" w:eastAsia="zh-CN"/>
              </w:rPr>
              <w:t>朝阳区</w:t>
            </w:r>
            <w:r>
              <w:rPr>
                <w:rFonts w:hint="default" w:ascii="Times New Roman" w:hAnsi="Times New Roman" w:eastAsia="宋体" w:cs="Times New Roman"/>
                <w:color w:val="auto"/>
                <w:sz w:val="24"/>
                <w:highlight w:val="none"/>
              </w:rPr>
              <w:t>各污染物浓度均达到《环境空气质量标准》(GB3095-2012)限值要求，北京市</w:t>
            </w:r>
            <w:r>
              <w:rPr>
                <w:rFonts w:hint="default" w:ascii="Times New Roman" w:hAnsi="Times New Roman" w:eastAsia="宋体" w:cs="Times New Roman"/>
                <w:color w:val="auto"/>
                <w:sz w:val="24"/>
                <w:highlight w:val="none"/>
                <w:lang w:val="en-US" w:eastAsia="zh-CN"/>
              </w:rPr>
              <w:t>O</w:t>
            </w:r>
            <w:r>
              <w:rPr>
                <w:rFonts w:hint="default" w:ascii="Times New Roman" w:hAnsi="Times New Roman" w:eastAsia="宋体" w:cs="Times New Roman"/>
                <w:color w:val="auto"/>
                <w:sz w:val="24"/>
                <w:highlight w:val="none"/>
                <w:vertAlign w:val="subscript"/>
                <w:lang w:val="en-US" w:eastAsia="zh-CN"/>
              </w:rPr>
              <w:t>3</w:t>
            </w:r>
            <w:r>
              <w:rPr>
                <w:rFonts w:hint="default" w:ascii="Times New Roman" w:hAnsi="Times New Roman" w:eastAsia="宋体" w:cs="Times New Roman"/>
                <w:color w:val="auto"/>
                <w:sz w:val="24"/>
                <w:highlight w:val="none"/>
              </w:rPr>
              <w:t>日最大8小时平均浓度未能达到《环境空气质量标准》(GB3095-2012)限值要求，其他污染物现状浓度达到上述标准要求，判定项目</w:t>
            </w:r>
            <w:r>
              <w:rPr>
                <w:rFonts w:hint="default" w:ascii="Times New Roman" w:hAnsi="Times New Roman" w:eastAsia="宋体" w:cs="Times New Roman"/>
                <w:color w:val="auto"/>
                <w:sz w:val="24"/>
                <w:highlight w:val="none"/>
                <w:lang w:val="en-US" w:eastAsia="zh-CN"/>
              </w:rPr>
              <w:t>所在地</w:t>
            </w:r>
            <w:r>
              <w:rPr>
                <w:rFonts w:hint="default" w:ascii="Times New Roman" w:hAnsi="Times New Roman" w:eastAsia="宋体" w:cs="Times New Roman"/>
                <w:color w:val="auto"/>
                <w:sz w:val="24"/>
                <w:highlight w:val="none"/>
              </w:rPr>
              <w:t>为环境空气质量不达标区。</w:t>
            </w:r>
          </w:p>
          <w:p w14:paraId="77D1B795">
            <w:pPr>
              <w:pStyle w:val="20"/>
              <w:numPr>
                <w:ilvl w:val="0"/>
                <w:numId w:val="0"/>
              </w:numPr>
              <w:adjustRightInd w:val="0"/>
              <w:snapToGrid w:val="0"/>
              <w:spacing w:before="0" w:beforeAutospacing="0" w:after="0" w:afterAutospacing="0" w:line="360" w:lineRule="auto"/>
              <w:rPr>
                <w:rFonts w:hint="default" w:ascii="Times New Roman" w:hAnsi="Times New Roman" w:eastAsia="宋体" w:cs="Times New Roman"/>
                <w:b/>
                <w:bCs/>
                <w:color w:val="auto"/>
                <w:szCs w:val="24"/>
                <w:highlight w:val="none"/>
              </w:rPr>
            </w:pPr>
            <w:r>
              <w:rPr>
                <w:rFonts w:hint="eastAsia" w:ascii="Times New Roman" w:hAnsi="Times New Roman" w:cs="Times New Roman"/>
                <w:b/>
                <w:bCs/>
                <w:color w:val="auto"/>
                <w:szCs w:val="24"/>
                <w:highlight w:val="none"/>
                <w:lang w:val="en-US" w:eastAsia="zh-CN"/>
              </w:rPr>
              <w:t>二、</w:t>
            </w:r>
            <w:r>
              <w:rPr>
                <w:rFonts w:hint="default" w:ascii="Times New Roman" w:hAnsi="Times New Roman" w:eastAsia="宋体" w:cs="Times New Roman"/>
                <w:b/>
                <w:bCs/>
                <w:color w:val="auto"/>
                <w:szCs w:val="24"/>
                <w:highlight w:val="none"/>
              </w:rPr>
              <w:t>地表水环境</w:t>
            </w:r>
          </w:p>
          <w:p w14:paraId="7C1BB3A9">
            <w:pPr>
              <w:adjustRightInd w:val="0"/>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项目所在地附近地表水为</w:t>
            </w:r>
            <w:r>
              <w:rPr>
                <w:rFonts w:hint="eastAsia" w:cs="Times New Roman"/>
                <w:color w:val="auto"/>
                <w:sz w:val="24"/>
                <w:highlight w:val="none"/>
                <w:lang w:eastAsia="zh-CN"/>
              </w:rPr>
              <w:t>北护城河</w:t>
            </w:r>
            <w:r>
              <w:rPr>
                <w:rFonts w:hint="default" w:ascii="Times New Roman" w:hAnsi="Times New Roman" w:eastAsia="宋体" w:cs="Times New Roman"/>
                <w:color w:val="auto"/>
                <w:sz w:val="24"/>
                <w:highlight w:val="none"/>
              </w:rPr>
              <w:t>，位于项目</w:t>
            </w:r>
            <w:r>
              <w:rPr>
                <w:rFonts w:hint="eastAsia" w:cs="Times New Roman"/>
                <w:color w:val="auto"/>
                <w:sz w:val="24"/>
                <w:szCs w:val="32"/>
                <w:highlight w:val="none"/>
                <w:lang w:val="en-US" w:eastAsia="zh-CN"/>
              </w:rPr>
              <w:t>南</w:t>
            </w:r>
            <w:r>
              <w:rPr>
                <w:rFonts w:hint="default" w:ascii="Times New Roman" w:hAnsi="Times New Roman" w:eastAsia="宋体" w:cs="Times New Roman"/>
                <w:color w:val="auto"/>
                <w:sz w:val="24"/>
                <w:szCs w:val="32"/>
                <w:highlight w:val="none"/>
              </w:rPr>
              <w:t>侧</w:t>
            </w:r>
            <w:r>
              <w:rPr>
                <w:rFonts w:hint="eastAsia" w:cs="Times New Roman"/>
                <w:color w:val="auto"/>
                <w:sz w:val="24"/>
                <w:highlight w:val="none"/>
                <w:lang w:val="en-US" w:eastAsia="zh-CN"/>
              </w:rPr>
              <w:t>1.5</w:t>
            </w:r>
            <w:r>
              <w:rPr>
                <w:rFonts w:hint="default" w:ascii="Times New Roman" w:hAnsi="Times New Roman" w:eastAsia="宋体" w:cs="Times New Roman"/>
                <w:color w:val="auto"/>
                <w:sz w:val="24"/>
                <w:highlight w:val="none"/>
              </w:rPr>
              <w:t>km。根据北京市五大水系各河流、水库水体功能划分与水质分类，</w:t>
            </w:r>
            <w:r>
              <w:rPr>
                <w:rFonts w:hint="eastAsia" w:cs="Times New Roman"/>
                <w:color w:val="auto"/>
                <w:sz w:val="24"/>
                <w:highlight w:val="none"/>
                <w:lang w:eastAsia="zh-CN"/>
              </w:rPr>
              <w:t>北护城河</w:t>
            </w:r>
            <w:r>
              <w:rPr>
                <w:rFonts w:hint="default" w:ascii="Times New Roman" w:hAnsi="Times New Roman" w:eastAsia="宋体" w:cs="Times New Roman"/>
                <w:color w:val="auto"/>
                <w:sz w:val="24"/>
                <w:highlight w:val="none"/>
              </w:rPr>
              <w:t>为</w:t>
            </w:r>
            <w:r>
              <w:rPr>
                <w:rFonts w:hint="eastAsia" w:ascii="微软雅黑" w:hAnsi="微软雅黑" w:eastAsia="微软雅黑" w:cs="微软雅黑"/>
                <w:i w:val="0"/>
                <w:iCs w:val="0"/>
                <w:caps w:val="0"/>
                <w:color w:val="3E3A39"/>
                <w:spacing w:val="0"/>
                <w:sz w:val="21"/>
                <w:szCs w:val="21"/>
                <w:shd w:val="clear" w:fill="FFFFFF"/>
              </w:rPr>
              <w:t>Ⅳ</w:t>
            </w:r>
            <w:r>
              <w:rPr>
                <w:rFonts w:hint="default" w:ascii="Times New Roman" w:hAnsi="Times New Roman" w:eastAsia="宋体" w:cs="Times New Roman"/>
                <w:color w:val="auto"/>
                <w:sz w:val="24"/>
                <w:highlight w:val="none"/>
              </w:rPr>
              <w:t>类功能水体，执行《地表水环境质量标准》（GB3838-2002）中的</w:t>
            </w:r>
            <w:r>
              <w:rPr>
                <w:rFonts w:hint="eastAsia" w:ascii="微软雅黑" w:hAnsi="微软雅黑" w:eastAsia="微软雅黑" w:cs="微软雅黑"/>
                <w:i w:val="0"/>
                <w:iCs w:val="0"/>
                <w:caps w:val="0"/>
                <w:color w:val="3E3A39"/>
                <w:spacing w:val="0"/>
                <w:sz w:val="21"/>
                <w:szCs w:val="21"/>
                <w:shd w:val="clear" w:fill="FFFFFF"/>
              </w:rPr>
              <w:t>Ⅳ</w:t>
            </w:r>
            <w:r>
              <w:rPr>
                <w:rFonts w:hint="default" w:ascii="Times New Roman" w:hAnsi="Times New Roman" w:eastAsia="宋体" w:cs="Times New Roman"/>
                <w:color w:val="auto"/>
                <w:sz w:val="24"/>
                <w:highlight w:val="none"/>
              </w:rPr>
              <w:t>类标准。</w:t>
            </w:r>
          </w:p>
          <w:p w14:paraId="24397813">
            <w:pPr>
              <w:adjustRightInd w:val="0"/>
              <w:spacing w:line="360" w:lineRule="auto"/>
              <w:ind w:firstLine="480" w:firstLineChars="200"/>
              <w:jc w:val="left"/>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color w:val="auto"/>
                <w:sz w:val="24"/>
                <w:highlight w:val="none"/>
              </w:rPr>
              <w:t>根据北京市生态环境局202</w:t>
            </w:r>
            <w:r>
              <w:rPr>
                <w:rFonts w:hint="eastAsia" w:cs="Times New Roman"/>
                <w:color w:val="auto"/>
                <w:sz w:val="24"/>
                <w:highlight w:val="none"/>
                <w:lang w:val="en-US" w:eastAsia="zh-CN"/>
              </w:rPr>
              <w:t>5</w:t>
            </w:r>
            <w:r>
              <w:rPr>
                <w:rFonts w:hint="default" w:ascii="Times New Roman" w:hAnsi="Times New Roman" w:eastAsia="宋体" w:cs="Times New Roman"/>
                <w:color w:val="auto"/>
                <w:sz w:val="24"/>
                <w:highlight w:val="none"/>
              </w:rPr>
              <w:t>年地表水环境质量月报资料，</w:t>
            </w:r>
            <w:r>
              <w:rPr>
                <w:rFonts w:hint="eastAsia" w:cs="Times New Roman"/>
                <w:color w:val="auto"/>
                <w:sz w:val="24"/>
                <w:highlight w:val="none"/>
                <w:lang w:eastAsia="zh-CN"/>
              </w:rPr>
              <w:t>北护城河</w:t>
            </w:r>
            <w:r>
              <w:rPr>
                <w:rFonts w:hint="default" w:ascii="Times New Roman" w:hAnsi="Times New Roman" w:eastAsia="宋体" w:cs="Times New Roman"/>
                <w:color w:val="auto"/>
                <w:sz w:val="24"/>
                <w:highlight w:val="none"/>
              </w:rPr>
              <w:t>水质均能达到《地表水环境质量标准》（GB3838-2002）中的</w:t>
            </w:r>
            <w:r>
              <w:rPr>
                <w:rFonts w:hint="eastAsia" w:ascii="微软雅黑" w:hAnsi="微软雅黑" w:eastAsia="微软雅黑" w:cs="微软雅黑"/>
                <w:i w:val="0"/>
                <w:iCs w:val="0"/>
                <w:caps w:val="0"/>
                <w:color w:val="3E3A39"/>
                <w:spacing w:val="0"/>
                <w:sz w:val="21"/>
                <w:szCs w:val="21"/>
                <w:shd w:val="clear" w:fill="FFFFFF"/>
              </w:rPr>
              <w:t>Ⅳ</w:t>
            </w:r>
            <w:r>
              <w:rPr>
                <w:rFonts w:hint="default" w:ascii="Times New Roman" w:hAnsi="Times New Roman" w:eastAsia="宋体" w:cs="Times New Roman"/>
                <w:color w:val="auto"/>
                <w:sz w:val="24"/>
                <w:highlight w:val="none"/>
              </w:rPr>
              <w:t>类水质标准要求。具体统计结果见下表。</w:t>
            </w:r>
          </w:p>
          <w:p w14:paraId="4BC04845">
            <w:pPr>
              <w:numPr>
                <w:ilvl w:val="0"/>
                <w:numId w:val="14"/>
              </w:numPr>
              <w:jc w:val="center"/>
              <w:rPr>
                <w:rFonts w:hint="default" w:ascii="Times New Roman" w:hAnsi="Times New Roman" w:eastAsia="宋体" w:cs="Times New Roman"/>
                <w:b/>
                <w:bCs/>
                <w:color w:val="auto"/>
                <w:sz w:val="24"/>
                <w:highlight w:val="none"/>
              </w:rPr>
            </w:pPr>
            <w:r>
              <w:rPr>
                <w:rFonts w:hint="eastAsia" w:cs="Times New Roman"/>
                <w:b/>
                <w:bCs/>
                <w:color w:val="auto"/>
                <w:sz w:val="24"/>
                <w:highlight w:val="none"/>
                <w:lang w:val="en-US" w:eastAsia="zh-CN"/>
              </w:rPr>
              <w:t>北护城河</w:t>
            </w:r>
            <w:r>
              <w:rPr>
                <w:rFonts w:hint="default" w:ascii="Times New Roman" w:hAnsi="Times New Roman" w:eastAsia="宋体" w:cs="Times New Roman"/>
                <w:b/>
                <w:bCs/>
                <w:color w:val="auto"/>
                <w:sz w:val="24"/>
                <w:highlight w:val="none"/>
              </w:rPr>
              <w:t>水质状况一览表</w:t>
            </w:r>
          </w:p>
          <w:tbl>
            <w:tblPr>
              <w:tblStyle w:val="23"/>
              <w:tblW w:w="4989" w:type="pct"/>
              <w:tblInd w:w="0" w:type="dxa"/>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659"/>
              <w:gridCol w:w="659"/>
              <w:gridCol w:w="659"/>
              <w:gridCol w:w="659"/>
              <w:gridCol w:w="659"/>
              <w:gridCol w:w="659"/>
              <w:gridCol w:w="660"/>
              <w:gridCol w:w="660"/>
              <w:gridCol w:w="660"/>
              <w:gridCol w:w="660"/>
              <w:gridCol w:w="660"/>
              <w:gridCol w:w="660"/>
            </w:tblGrid>
            <w:tr w14:paraId="041E9CC3">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41" w:hRule="atLeast"/>
              </w:trPr>
              <w:tc>
                <w:tcPr>
                  <w:tcW w:w="7914" w:type="dxa"/>
                  <w:gridSpan w:val="12"/>
                  <w:tcBorders>
                    <w:tl2br w:val="nil"/>
                    <w:tr2bl w:val="nil"/>
                  </w:tcBorders>
                  <w:vAlign w:val="center"/>
                </w:tcPr>
                <w:p w14:paraId="757FABF4">
                  <w:pPr>
                    <w:adjustRightInd w:val="0"/>
                    <w:snapToGrid w:val="0"/>
                    <w:jc w:val="center"/>
                    <w:rPr>
                      <w:rFonts w:hint="eastAsia" w:cs="Times New Roman"/>
                      <w:b/>
                      <w:color w:val="auto"/>
                      <w:szCs w:val="21"/>
                      <w:highlight w:val="none"/>
                      <w:lang w:val="en-US" w:eastAsia="zh-CN"/>
                    </w:rPr>
                  </w:pPr>
                  <w:r>
                    <w:rPr>
                      <w:rFonts w:hint="eastAsia" w:cs="Times New Roman"/>
                      <w:b/>
                      <w:color w:val="auto"/>
                      <w:szCs w:val="21"/>
                      <w:highlight w:val="none"/>
                      <w:lang w:val="en-US" w:eastAsia="zh-CN"/>
                    </w:rPr>
                    <w:t>2025年</w:t>
                  </w:r>
                </w:p>
              </w:tc>
            </w:tr>
            <w:tr w14:paraId="2F57B2B3">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59" w:type="dxa"/>
                  <w:tcBorders>
                    <w:tl2br w:val="nil"/>
                    <w:tr2bl w:val="nil"/>
                  </w:tcBorders>
                  <w:shd w:val="clear" w:color="auto" w:fill="auto"/>
                  <w:vAlign w:val="center"/>
                </w:tcPr>
                <w:p w14:paraId="424EF3F4">
                  <w:pPr>
                    <w:adjustRightInd w:val="0"/>
                    <w:snapToGrid w:val="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szCs w:val="21"/>
                      <w:highlight w:val="none"/>
                      <w:lang w:val="en-US" w:eastAsia="zh-CN"/>
                    </w:rPr>
                    <w:t>1</w:t>
                  </w:r>
                  <w:r>
                    <w:rPr>
                      <w:rFonts w:hint="default" w:ascii="Times New Roman" w:hAnsi="Times New Roman" w:eastAsia="宋体" w:cs="Times New Roman"/>
                      <w:b/>
                      <w:bCs/>
                      <w:color w:val="auto"/>
                      <w:szCs w:val="21"/>
                      <w:highlight w:val="none"/>
                    </w:rPr>
                    <w:t>月</w:t>
                  </w:r>
                </w:p>
              </w:tc>
              <w:tc>
                <w:tcPr>
                  <w:tcW w:w="659" w:type="dxa"/>
                  <w:tcBorders>
                    <w:tl2br w:val="nil"/>
                    <w:tr2bl w:val="nil"/>
                  </w:tcBorders>
                  <w:shd w:val="clear" w:color="auto" w:fill="auto"/>
                  <w:vAlign w:val="center"/>
                </w:tcPr>
                <w:p w14:paraId="1DDF8071">
                  <w:pPr>
                    <w:adjustRightInd w:val="0"/>
                    <w:snapToGrid w:val="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szCs w:val="21"/>
                      <w:highlight w:val="none"/>
                      <w:lang w:val="en-US" w:eastAsia="zh-CN"/>
                    </w:rPr>
                    <w:t>2</w:t>
                  </w:r>
                  <w:r>
                    <w:rPr>
                      <w:rFonts w:hint="default" w:ascii="Times New Roman" w:hAnsi="Times New Roman" w:eastAsia="宋体" w:cs="Times New Roman"/>
                      <w:b/>
                      <w:bCs/>
                      <w:color w:val="auto"/>
                      <w:szCs w:val="21"/>
                      <w:highlight w:val="none"/>
                    </w:rPr>
                    <w:t>月</w:t>
                  </w:r>
                </w:p>
              </w:tc>
              <w:tc>
                <w:tcPr>
                  <w:tcW w:w="659" w:type="dxa"/>
                  <w:tcBorders>
                    <w:tl2br w:val="nil"/>
                    <w:tr2bl w:val="nil"/>
                  </w:tcBorders>
                  <w:shd w:val="clear" w:color="auto" w:fill="auto"/>
                  <w:vAlign w:val="center"/>
                </w:tcPr>
                <w:p w14:paraId="6FC5D15E">
                  <w:pPr>
                    <w:adjustRightInd w:val="0"/>
                    <w:snapToGrid w:val="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szCs w:val="21"/>
                      <w:highlight w:val="none"/>
                      <w:lang w:val="en-US" w:eastAsia="zh-CN"/>
                    </w:rPr>
                    <w:t>3</w:t>
                  </w:r>
                  <w:r>
                    <w:rPr>
                      <w:rFonts w:hint="default" w:ascii="Times New Roman" w:hAnsi="Times New Roman" w:eastAsia="宋体" w:cs="Times New Roman"/>
                      <w:b/>
                      <w:bCs/>
                      <w:color w:val="auto"/>
                      <w:szCs w:val="21"/>
                      <w:highlight w:val="none"/>
                    </w:rPr>
                    <w:t>月</w:t>
                  </w:r>
                </w:p>
              </w:tc>
              <w:tc>
                <w:tcPr>
                  <w:tcW w:w="659" w:type="dxa"/>
                  <w:tcBorders>
                    <w:tl2br w:val="nil"/>
                    <w:tr2bl w:val="nil"/>
                  </w:tcBorders>
                  <w:shd w:val="clear" w:color="auto" w:fill="auto"/>
                  <w:vAlign w:val="center"/>
                </w:tcPr>
                <w:p w14:paraId="4C29BFDC">
                  <w:pPr>
                    <w:adjustRightInd w:val="0"/>
                    <w:snapToGrid w:val="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szCs w:val="21"/>
                      <w:highlight w:val="none"/>
                      <w:lang w:val="en-US" w:eastAsia="zh-CN"/>
                    </w:rPr>
                    <w:t>4</w:t>
                  </w:r>
                  <w:r>
                    <w:rPr>
                      <w:rFonts w:hint="default" w:ascii="Times New Roman" w:hAnsi="Times New Roman" w:eastAsia="宋体" w:cs="Times New Roman"/>
                      <w:b/>
                      <w:bCs/>
                      <w:color w:val="auto"/>
                      <w:szCs w:val="21"/>
                      <w:highlight w:val="none"/>
                    </w:rPr>
                    <w:t>月</w:t>
                  </w:r>
                </w:p>
              </w:tc>
              <w:tc>
                <w:tcPr>
                  <w:tcW w:w="659" w:type="dxa"/>
                  <w:tcBorders>
                    <w:tl2br w:val="nil"/>
                    <w:tr2bl w:val="nil"/>
                  </w:tcBorders>
                  <w:shd w:val="clear" w:color="auto" w:fill="auto"/>
                  <w:vAlign w:val="center"/>
                </w:tcPr>
                <w:p w14:paraId="792662AE">
                  <w:pPr>
                    <w:adjustRightInd w:val="0"/>
                    <w:snapToGrid w:val="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szCs w:val="21"/>
                      <w:highlight w:val="none"/>
                      <w:lang w:val="en-US" w:eastAsia="zh-CN"/>
                    </w:rPr>
                    <w:t>5</w:t>
                  </w:r>
                  <w:r>
                    <w:rPr>
                      <w:rFonts w:hint="default" w:ascii="Times New Roman" w:hAnsi="Times New Roman" w:eastAsia="宋体" w:cs="Times New Roman"/>
                      <w:b/>
                      <w:bCs/>
                      <w:color w:val="auto"/>
                      <w:szCs w:val="21"/>
                      <w:highlight w:val="none"/>
                    </w:rPr>
                    <w:t>月</w:t>
                  </w:r>
                </w:p>
              </w:tc>
              <w:tc>
                <w:tcPr>
                  <w:tcW w:w="659" w:type="dxa"/>
                  <w:tcBorders>
                    <w:tl2br w:val="nil"/>
                    <w:tr2bl w:val="nil"/>
                  </w:tcBorders>
                  <w:shd w:val="clear" w:color="auto" w:fill="auto"/>
                  <w:vAlign w:val="center"/>
                </w:tcPr>
                <w:p w14:paraId="4C0E12CE">
                  <w:pPr>
                    <w:adjustRightInd w:val="0"/>
                    <w:snapToGrid w:val="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szCs w:val="21"/>
                      <w:highlight w:val="none"/>
                      <w:lang w:val="en-US" w:eastAsia="zh-CN"/>
                    </w:rPr>
                    <w:t>6</w:t>
                  </w:r>
                  <w:r>
                    <w:rPr>
                      <w:rFonts w:hint="default" w:ascii="Times New Roman" w:hAnsi="Times New Roman" w:eastAsia="宋体" w:cs="Times New Roman"/>
                      <w:b/>
                      <w:bCs/>
                      <w:color w:val="auto"/>
                      <w:szCs w:val="21"/>
                      <w:highlight w:val="none"/>
                    </w:rPr>
                    <w:t>月</w:t>
                  </w:r>
                </w:p>
              </w:tc>
              <w:tc>
                <w:tcPr>
                  <w:tcW w:w="660" w:type="dxa"/>
                  <w:tcBorders>
                    <w:tl2br w:val="nil"/>
                    <w:tr2bl w:val="nil"/>
                  </w:tcBorders>
                  <w:shd w:val="clear" w:color="auto" w:fill="auto"/>
                  <w:vAlign w:val="center"/>
                </w:tcPr>
                <w:p w14:paraId="53B30675">
                  <w:pPr>
                    <w:adjustRightInd w:val="0"/>
                    <w:snapToGrid w:val="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szCs w:val="21"/>
                      <w:highlight w:val="none"/>
                      <w:lang w:val="en-US" w:eastAsia="zh-CN"/>
                    </w:rPr>
                    <w:t>7</w:t>
                  </w:r>
                  <w:r>
                    <w:rPr>
                      <w:rFonts w:hint="default" w:ascii="Times New Roman" w:hAnsi="Times New Roman" w:eastAsia="宋体" w:cs="Times New Roman"/>
                      <w:b/>
                      <w:bCs/>
                      <w:color w:val="auto"/>
                      <w:szCs w:val="21"/>
                      <w:highlight w:val="none"/>
                    </w:rPr>
                    <w:t>月</w:t>
                  </w:r>
                </w:p>
              </w:tc>
              <w:tc>
                <w:tcPr>
                  <w:tcW w:w="660" w:type="dxa"/>
                  <w:tcBorders>
                    <w:tl2br w:val="nil"/>
                    <w:tr2bl w:val="nil"/>
                  </w:tcBorders>
                  <w:shd w:val="clear" w:color="auto" w:fill="auto"/>
                  <w:vAlign w:val="center"/>
                </w:tcPr>
                <w:p w14:paraId="32825BEF">
                  <w:pPr>
                    <w:adjustRightInd w:val="0"/>
                    <w:snapToGrid w:val="0"/>
                    <w:jc w:val="center"/>
                    <w:rPr>
                      <w:rFonts w:hint="default" w:ascii="Times New Roman" w:hAnsi="Times New Roman" w:eastAsia="宋体" w:cs="Times New Roman"/>
                      <w:b/>
                      <w:bCs/>
                      <w:color w:val="auto"/>
                      <w:kern w:val="2"/>
                      <w:sz w:val="21"/>
                      <w:szCs w:val="21"/>
                      <w:highlight w:val="none"/>
                      <w:lang w:val="en-US" w:eastAsia="zh-CN" w:bidi="ar-SA"/>
                    </w:rPr>
                  </w:pPr>
                  <w:r>
                    <w:rPr>
                      <w:rFonts w:hint="eastAsia" w:ascii="Times New Roman" w:hAnsi="Times New Roman" w:cs="Times New Roman"/>
                      <w:b/>
                      <w:bCs/>
                      <w:color w:val="auto"/>
                      <w:szCs w:val="21"/>
                      <w:highlight w:val="none"/>
                      <w:lang w:val="en-US" w:eastAsia="zh-CN"/>
                    </w:rPr>
                    <w:t>8</w:t>
                  </w:r>
                  <w:r>
                    <w:rPr>
                      <w:rFonts w:hint="default" w:ascii="Times New Roman" w:hAnsi="Times New Roman" w:eastAsia="宋体" w:cs="Times New Roman"/>
                      <w:b/>
                      <w:bCs/>
                      <w:color w:val="auto"/>
                      <w:szCs w:val="21"/>
                      <w:highlight w:val="none"/>
                    </w:rPr>
                    <w:t>月</w:t>
                  </w:r>
                </w:p>
              </w:tc>
              <w:tc>
                <w:tcPr>
                  <w:tcW w:w="660" w:type="dxa"/>
                  <w:tcBorders>
                    <w:tl2br w:val="nil"/>
                    <w:tr2bl w:val="nil"/>
                  </w:tcBorders>
                  <w:shd w:val="clear" w:color="auto" w:fill="auto"/>
                  <w:vAlign w:val="center"/>
                </w:tcPr>
                <w:p w14:paraId="41A65D53">
                  <w:pPr>
                    <w:adjustRightInd w:val="0"/>
                    <w:snapToGrid w:val="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szCs w:val="21"/>
                      <w:highlight w:val="none"/>
                      <w:lang w:val="en-US" w:eastAsia="zh-CN"/>
                    </w:rPr>
                    <w:t>9</w:t>
                  </w:r>
                  <w:r>
                    <w:rPr>
                      <w:rFonts w:hint="default" w:ascii="Times New Roman" w:hAnsi="Times New Roman" w:eastAsia="宋体" w:cs="Times New Roman"/>
                      <w:b/>
                      <w:bCs/>
                      <w:color w:val="auto"/>
                      <w:szCs w:val="21"/>
                      <w:highlight w:val="none"/>
                    </w:rPr>
                    <w:t>月</w:t>
                  </w:r>
                </w:p>
              </w:tc>
              <w:tc>
                <w:tcPr>
                  <w:tcW w:w="660" w:type="dxa"/>
                  <w:tcBorders>
                    <w:tl2br w:val="nil"/>
                    <w:tr2bl w:val="nil"/>
                  </w:tcBorders>
                  <w:shd w:val="clear" w:color="auto" w:fill="auto"/>
                  <w:vAlign w:val="center"/>
                </w:tcPr>
                <w:p w14:paraId="1FFF8270">
                  <w:pPr>
                    <w:adjustRightInd w:val="0"/>
                    <w:snapToGrid w:val="0"/>
                    <w:jc w:val="center"/>
                    <w:rPr>
                      <w:rFonts w:hint="default" w:ascii="Times New Roman" w:hAnsi="Times New Roman" w:eastAsia="宋体" w:cs="Times New Roman"/>
                      <w:b/>
                      <w:bCs/>
                      <w:color w:val="auto"/>
                      <w:kern w:val="2"/>
                      <w:sz w:val="21"/>
                      <w:szCs w:val="21"/>
                      <w:highlight w:val="none"/>
                      <w:lang w:val="en-US" w:eastAsia="zh-CN" w:bidi="ar-SA"/>
                    </w:rPr>
                  </w:pPr>
                  <w:r>
                    <w:rPr>
                      <w:rFonts w:hint="eastAsia" w:cs="Times New Roman"/>
                      <w:b/>
                      <w:bCs/>
                      <w:color w:val="auto"/>
                      <w:kern w:val="2"/>
                      <w:sz w:val="21"/>
                      <w:szCs w:val="21"/>
                      <w:highlight w:val="none"/>
                      <w:lang w:val="en-US" w:eastAsia="zh-CN" w:bidi="ar-SA"/>
                    </w:rPr>
                    <w:t>10月</w:t>
                  </w:r>
                </w:p>
              </w:tc>
              <w:tc>
                <w:tcPr>
                  <w:tcW w:w="660" w:type="dxa"/>
                  <w:tcBorders>
                    <w:tl2br w:val="nil"/>
                    <w:tr2bl w:val="nil"/>
                  </w:tcBorders>
                  <w:shd w:val="clear" w:color="auto" w:fill="auto"/>
                  <w:vAlign w:val="center"/>
                </w:tcPr>
                <w:p w14:paraId="539B6A4A">
                  <w:pPr>
                    <w:adjustRightInd w:val="0"/>
                    <w:snapToGrid w:val="0"/>
                    <w:jc w:val="center"/>
                    <w:rPr>
                      <w:rFonts w:hint="default" w:ascii="Times New Roman" w:hAnsi="Times New Roman" w:eastAsia="宋体" w:cs="Times New Roman"/>
                      <w:b/>
                      <w:bCs/>
                      <w:color w:val="auto"/>
                      <w:kern w:val="2"/>
                      <w:sz w:val="21"/>
                      <w:szCs w:val="21"/>
                      <w:highlight w:val="none"/>
                      <w:lang w:val="en-US" w:eastAsia="zh-CN" w:bidi="ar-SA"/>
                    </w:rPr>
                  </w:pPr>
                  <w:r>
                    <w:rPr>
                      <w:rFonts w:hint="eastAsia" w:cs="Times New Roman"/>
                      <w:b/>
                      <w:bCs/>
                      <w:color w:val="auto"/>
                      <w:kern w:val="2"/>
                      <w:sz w:val="21"/>
                      <w:szCs w:val="21"/>
                      <w:highlight w:val="none"/>
                      <w:lang w:val="en-US" w:eastAsia="zh-CN" w:bidi="ar-SA"/>
                    </w:rPr>
                    <w:t>11月</w:t>
                  </w:r>
                </w:p>
              </w:tc>
              <w:tc>
                <w:tcPr>
                  <w:tcW w:w="660" w:type="dxa"/>
                  <w:tcBorders>
                    <w:tl2br w:val="nil"/>
                    <w:tr2bl w:val="nil"/>
                  </w:tcBorders>
                  <w:shd w:val="clear" w:color="auto" w:fill="auto"/>
                  <w:vAlign w:val="center"/>
                </w:tcPr>
                <w:p w14:paraId="1C1F5CA4">
                  <w:pPr>
                    <w:adjustRightInd w:val="0"/>
                    <w:snapToGrid w:val="0"/>
                    <w:jc w:val="center"/>
                    <w:rPr>
                      <w:rFonts w:hint="default" w:ascii="Times New Roman" w:hAnsi="Times New Roman" w:eastAsia="宋体" w:cs="Times New Roman"/>
                      <w:b/>
                      <w:bCs/>
                      <w:color w:val="auto"/>
                      <w:kern w:val="2"/>
                      <w:sz w:val="21"/>
                      <w:szCs w:val="21"/>
                      <w:highlight w:val="none"/>
                      <w:lang w:val="en-US" w:eastAsia="zh-CN" w:bidi="ar-SA"/>
                    </w:rPr>
                  </w:pPr>
                  <w:r>
                    <w:rPr>
                      <w:rFonts w:hint="eastAsia" w:cs="Times New Roman"/>
                      <w:b/>
                      <w:bCs/>
                      <w:color w:val="auto"/>
                      <w:kern w:val="2"/>
                      <w:sz w:val="21"/>
                      <w:szCs w:val="21"/>
                      <w:highlight w:val="none"/>
                      <w:lang w:val="en-US" w:eastAsia="zh-CN" w:bidi="ar-SA"/>
                    </w:rPr>
                    <w:t>12月</w:t>
                  </w:r>
                </w:p>
              </w:tc>
            </w:tr>
            <w:tr w14:paraId="4EF08E04">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659" w:type="dxa"/>
                  <w:tcBorders>
                    <w:tl2br w:val="nil"/>
                    <w:tr2bl w:val="nil"/>
                  </w:tcBorders>
                  <w:shd w:val="clear" w:color="auto" w:fill="auto"/>
                  <w:vAlign w:val="center"/>
                </w:tcPr>
                <w:p w14:paraId="13F2F3A0">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II</w:t>
                  </w:r>
                </w:p>
              </w:tc>
              <w:tc>
                <w:tcPr>
                  <w:tcW w:w="659" w:type="dxa"/>
                  <w:tcBorders>
                    <w:tl2br w:val="nil"/>
                    <w:tr2bl w:val="nil"/>
                  </w:tcBorders>
                  <w:shd w:val="clear" w:color="auto" w:fill="auto"/>
                  <w:vAlign w:val="center"/>
                </w:tcPr>
                <w:p w14:paraId="5594F29F">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II</w:t>
                  </w:r>
                </w:p>
              </w:tc>
              <w:tc>
                <w:tcPr>
                  <w:tcW w:w="659" w:type="dxa"/>
                  <w:tcBorders>
                    <w:tl2br w:val="nil"/>
                    <w:tr2bl w:val="nil"/>
                  </w:tcBorders>
                  <w:shd w:val="clear" w:color="auto" w:fill="auto"/>
                  <w:vAlign w:val="center"/>
                </w:tcPr>
                <w:p w14:paraId="627B5E55">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II</w:t>
                  </w:r>
                </w:p>
              </w:tc>
              <w:tc>
                <w:tcPr>
                  <w:tcW w:w="659" w:type="dxa"/>
                  <w:tcBorders>
                    <w:tl2br w:val="nil"/>
                    <w:tr2bl w:val="nil"/>
                  </w:tcBorders>
                  <w:shd w:val="clear" w:color="auto" w:fill="auto"/>
                  <w:vAlign w:val="center"/>
                </w:tcPr>
                <w:p w14:paraId="5B11D96E">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II</w:t>
                  </w:r>
                </w:p>
              </w:tc>
              <w:tc>
                <w:tcPr>
                  <w:tcW w:w="659" w:type="dxa"/>
                  <w:tcBorders>
                    <w:tl2br w:val="nil"/>
                    <w:tr2bl w:val="nil"/>
                  </w:tcBorders>
                  <w:shd w:val="clear" w:color="auto" w:fill="auto"/>
                  <w:vAlign w:val="center"/>
                </w:tcPr>
                <w:p w14:paraId="2D2D4051">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II</w:t>
                  </w:r>
                </w:p>
              </w:tc>
              <w:tc>
                <w:tcPr>
                  <w:tcW w:w="659" w:type="dxa"/>
                  <w:tcBorders>
                    <w:tl2br w:val="nil"/>
                    <w:tr2bl w:val="nil"/>
                  </w:tcBorders>
                  <w:shd w:val="clear" w:color="auto" w:fill="auto"/>
                  <w:vAlign w:val="center"/>
                </w:tcPr>
                <w:p w14:paraId="7E241121">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II</w:t>
                  </w:r>
                </w:p>
              </w:tc>
              <w:tc>
                <w:tcPr>
                  <w:tcW w:w="660" w:type="dxa"/>
                  <w:tcBorders>
                    <w:tl2br w:val="nil"/>
                    <w:tr2bl w:val="nil"/>
                  </w:tcBorders>
                  <w:shd w:val="clear" w:color="auto" w:fill="auto"/>
                  <w:vAlign w:val="center"/>
                </w:tcPr>
                <w:p w14:paraId="4131B1EF">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II</w:t>
                  </w:r>
                </w:p>
              </w:tc>
              <w:tc>
                <w:tcPr>
                  <w:tcW w:w="660" w:type="dxa"/>
                  <w:tcBorders>
                    <w:tl2br w:val="nil"/>
                    <w:tr2bl w:val="nil"/>
                  </w:tcBorders>
                  <w:shd w:val="clear" w:color="auto" w:fill="auto"/>
                  <w:vAlign w:val="center"/>
                </w:tcPr>
                <w:p w14:paraId="318F9768">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II</w:t>
                  </w:r>
                </w:p>
              </w:tc>
              <w:tc>
                <w:tcPr>
                  <w:tcW w:w="660" w:type="dxa"/>
                  <w:tcBorders>
                    <w:tl2br w:val="nil"/>
                    <w:tr2bl w:val="nil"/>
                  </w:tcBorders>
                  <w:shd w:val="clear" w:color="auto" w:fill="auto"/>
                  <w:vAlign w:val="center"/>
                </w:tcPr>
                <w:p w14:paraId="1914EA97">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II</w:t>
                  </w:r>
                </w:p>
              </w:tc>
              <w:tc>
                <w:tcPr>
                  <w:tcW w:w="660" w:type="dxa"/>
                  <w:tcBorders>
                    <w:tl2br w:val="nil"/>
                    <w:tr2bl w:val="nil"/>
                  </w:tcBorders>
                  <w:shd w:val="clear" w:color="auto" w:fill="auto"/>
                  <w:vAlign w:val="center"/>
                </w:tcPr>
                <w:p w14:paraId="671B8B1E">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II</w:t>
                  </w:r>
                </w:p>
              </w:tc>
              <w:tc>
                <w:tcPr>
                  <w:tcW w:w="660" w:type="dxa"/>
                  <w:tcBorders>
                    <w:tl2br w:val="nil"/>
                    <w:tr2bl w:val="nil"/>
                  </w:tcBorders>
                  <w:shd w:val="clear" w:color="auto" w:fill="auto"/>
                  <w:vAlign w:val="center"/>
                </w:tcPr>
                <w:p w14:paraId="7215D355">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II</w:t>
                  </w:r>
                </w:p>
              </w:tc>
              <w:tc>
                <w:tcPr>
                  <w:tcW w:w="660" w:type="dxa"/>
                  <w:tcBorders>
                    <w:tl2br w:val="nil"/>
                    <w:tr2bl w:val="nil"/>
                  </w:tcBorders>
                  <w:shd w:val="clear" w:color="auto" w:fill="auto"/>
                  <w:vAlign w:val="center"/>
                </w:tcPr>
                <w:p w14:paraId="0962B97A">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II</w:t>
                  </w:r>
                </w:p>
              </w:tc>
            </w:tr>
          </w:tbl>
          <w:p w14:paraId="1C7633C8">
            <w:pPr>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根据上述分析，202</w:t>
            </w:r>
            <w:r>
              <w:rPr>
                <w:rFonts w:hint="eastAsia" w:cs="Times New Roman"/>
                <w:color w:val="auto"/>
                <w:sz w:val="24"/>
                <w:highlight w:val="none"/>
                <w:lang w:val="en-US" w:eastAsia="zh-CN"/>
              </w:rPr>
              <w:t>5</w:t>
            </w:r>
            <w:r>
              <w:rPr>
                <w:rFonts w:hint="default" w:ascii="Times New Roman" w:hAnsi="Times New Roman" w:eastAsia="宋体" w:cs="Times New Roman"/>
                <w:color w:val="auto"/>
                <w:sz w:val="24"/>
                <w:highlight w:val="none"/>
              </w:rPr>
              <w:t>年</w:t>
            </w:r>
            <w:r>
              <w:rPr>
                <w:rFonts w:hint="eastAsia" w:cs="Times New Roman"/>
                <w:color w:val="auto"/>
                <w:sz w:val="24"/>
                <w:highlight w:val="none"/>
                <w:lang w:eastAsia="zh-CN"/>
              </w:rPr>
              <w:t>北护城河</w:t>
            </w:r>
            <w:r>
              <w:rPr>
                <w:rFonts w:hint="default" w:ascii="Times New Roman" w:hAnsi="Times New Roman" w:eastAsia="宋体" w:cs="Times New Roman"/>
                <w:color w:val="auto"/>
                <w:sz w:val="24"/>
                <w:highlight w:val="none"/>
              </w:rPr>
              <w:t>现状水质均能达到《地表水环境质量标准》（GB3838-2002）中的</w:t>
            </w:r>
            <w:r>
              <w:rPr>
                <w:rFonts w:hint="eastAsia" w:ascii="微软雅黑" w:hAnsi="微软雅黑" w:eastAsia="微软雅黑" w:cs="微软雅黑"/>
                <w:i w:val="0"/>
                <w:iCs w:val="0"/>
                <w:caps w:val="0"/>
                <w:color w:val="3E3A39"/>
                <w:spacing w:val="0"/>
                <w:sz w:val="21"/>
                <w:szCs w:val="21"/>
                <w:shd w:val="clear" w:fill="FFFFFF"/>
              </w:rPr>
              <w:t>Ⅳ</w:t>
            </w:r>
            <w:r>
              <w:rPr>
                <w:rFonts w:hint="default" w:ascii="Times New Roman" w:hAnsi="Times New Roman" w:eastAsia="宋体" w:cs="Times New Roman"/>
                <w:color w:val="auto"/>
                <w:sz w:val="24"/>
                <w:highlight w:val="none"/>
              </w:rPr>
              <w:t>类水质标准要求。</w:t>
            </w:r>
          </w:p>
          <w:p w14:paraId="7DAD3A8C">
            <w:pPr>
              <w:pStyle w:val="20"/>
              <w:numPr>
                <w:ilvl w:val="0"/>
                <w:numId w:val="0"/>
              </w:numPr>
              <w:adjustRightInd w:val="0"/>
              <w:snapToGrid w:val="0"/>
              <w:spacing w:before="0" w:beforeAutospacing="0" w:after="0" w:afterAutospacing="0" w:line="360" w:lineRule="auto"/>
              <w:rPr>
                <w:rFonts w:hint="default" w:ascii="Times New Roman" w:hAnsi="Times New Roman" w:eastAsia="宋体" w:cs="Times New Roman"/>
                <w:b/>
                <w:color w:val="auto"/>
                <w:szCs w:val="21"/>
                <w:highlight w:val="none"/>
              </w:rPr>
            </w:pPr>
            <w:r>
              <w:rPr>
                <w:rFonts w:hint="eastAsia" w:ascii="Times New Roman" w:hAnsi="Times New Roman" w:cs="Times New Roman"/>
                <w:b/>
                <w:color w:val="auto"/>
                <w:szCs w:val="21"/>
                <w:highlight w:val="none"/>
                <w:lang w:val="en-US" w:eastAsia="zh-CN"/>
              </w:rPr>
              <w:t>三、</w:t>
            </w:r>
            <w:r>
              <w:rPr>
                <w:rFonts w:hint="default" w:ascii="Times New Roman" w:hAnsi="Times New Roman" w:eastAsia="宋体" w:cs="Times New Roman"/>
                <w:b/>
                <w:color w:val="auto"/>
                <w:szCs w:val="21"/>
                <w:highlight w:val="none"/>
              </w:rPr>
              <w:t>声环境</w:t>
            </w:r>
          </w:p>
          <w:p w14:paraId="2538DC69">
            <w:pPr>
              <w:spacing w:line="360" w:lineRule="auto"/>
              <w:ind w:firstLine="480" w:firstLineChars="200"/>
              <w:jc w:val="left"/>
              <w:rPr>
                <w:rFonts w:hint="eastAsia"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根据北京市朝阳区人民政府《关于调整朝阳区声环境功能区划的通告》（朝政发[2014]3号），项目位于《声环境质量标准》（GB3096-2008）中1类噪声功能区。项目厂界50m范围内没有高速公路、城市快速路、一级公路、二级公路、城市主干路、城市次干路及轨道交通地面段。故项目区域环境噪声执行1类标准限值。</w:t>
            </w:r>
          </w:p>
          <w:p w14:paraId="4E2B9D2F">
            <w:pPr>
              <w:spacing w:line="360" w:lineRule="auto"/>
              <w:ind w:firstLine="480" w:firstLineChars="200"/>
              <w:jc w:val="left"/>
              <w:rPr>
                <w:rFonts w:hint="eastAsia"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为了解项目所在地声环境质量，对项目所在地周边声环境进行了实地监测，项目无夜间运行，故仅对昼间噪声进行监测。分别在项目厂界50m范围内的环境保护目标处布设了3个噪声监测点位。布点位置见下图，监测结果见表下表。</w:t>
            </w:r>
          </w:p>
          <w:p w14:paraId="49A4416A">
            <w:pPr>
              <w:spacing w:line="360" w:lineRule="auto"/>
              <w:ind w:firstLine="420" w:firstLineChars="200"/>
              <w:jc w:val="left"/>
              <w:rPr>
                <w:rFonts w:hint="default" w:ascii="Times New Roman" w:hAnsi="Times New Roman" w:eastAsia="宋体" w:cs="Times New Roman"/>
                <w:color w:val="auto"/>
                <w:sz w:val="24"/>
                <w:highlight w:val="none"/>
                <w:lang w:val="en-US" w:eastAsia="zh-CN"/>
              </w:rPr>
            </w:pPr>
            <w:r>
              <w:rPr>
                <w:sz w:val="21"/>
              </w:rPr>
              <mc:AlternateContent>
                <mc:Choice Requires="wps">
                  <w:drawing>
                    <wp:anchor distT="0" distB="0" distL="114300" distR="114300" simplePos="0" relativeHeight="251670528" behindDoc="0" locked="0" layoutInCell="1" allowOverlap="1">
                      <wp:simplePos x="0" y="0"/>
                      <wp:positionH relativeFrom="column">
                        <wp:posOffset>4321810</wp:posOffset>
                      </wp:positionH>
                      <wp:positionV relativeFrom="paragraph">
                        <wp:posOffset>358140</wp:posOffset>
                      </wp:positionV>
                      <wp:extent cx="152400" cy="144145"/>
                      <wp:effectExtent l="10795" t="13335" r="19685" b="10160"/>
                      <wp:wrapNone/>
                      <wp:docPr id="6" name="流程图: 摘录 6"/>
                      <wp:cNvGraphicFramePr/>
                      <a:graphic xmlns:a="http://schemas.openxmlformats.org/drawingml/2006/main">
                        <a:graphicData uri="http://schemas.microsoft.com/office/word/2010/wordprocessingShape">
                          <wps:wsp>
                            <wps:cNvSpPr/>
                            <wps:spPr>
                              <a:xfrm>
                                <a:off x="0" y="0"/>
                                <a:ext cx="152400" cy="144145"/>
                              </a:xfrm>
                              <a:prstGeom prst="flowChartExtract">
                                <a:avLst/>
                              </a:prstGeom>
                              <a:solidFill>
                                <a:srgbClr val="FF0000"/>
                              </a:solidFill>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27" type="#_x0000_t127" style="position:absolute;left:0pt;margin-left:340.3pt;margin-top:28.2pt;height:11.35pt;width:12pt;z-index:251670528;v-text-anchor:middle;mso-width-relative:page;mso-height-relative:page;" fillcolor="#FF0000" filled="t" stroked="t" coordsize="21600,21600" o:gfxdata="UEsDBAoAAAAAAIdO4kAAAAAAAAAAAAAAAAAEAAAAZHJzL1BLAwQUAAAACACHTuJA4lYC1tkAAAAJ&#10;AQAADwAAAGRycy9kb3ducmV2LnhtbE2Py07DMBBF90j8gzVIbBC1A8UtIU4lKoHYFKkBwdaNp0kg&#10;Hkex+4CvZ1jBbh5Hd84Ui6PvxR7H2AUykE0UCKQ6uI4aA68vD5dzEDFZcrYPhAa+MMKiPD0pbO7C&#10;gda4r1IjOIRibg20KQ25lLFu0ds4CQMS77Zh9DZxOzbSjfbA4b6XV0pp6W1HfKG1Ay5brD+rnTeg&#10;72cXlX6+TuF99fa03D5+tGv1bcz5WabuQCQ8pj8YfvVZHUp22oQduSh6zpgrzaiBGz0FwcBMTXmw&#10;4eI2A1kW8v8H5Q9QSwMEFAAAAAgAh07iQB5V8R+dAgAALAUAAA4AAABkcnMvZTJvRG9jLnhtbK1U&#10;zW4TMRC+I/EOlu90kyg/sOqmCkmDkAqtVBBnx+vNWvIfYyebcuPMiQMSEi/AC3CEt2l5DcbebZsW&#10;Dj2QgzOzM/5m5psZHx7ttCJbAV5aU9D+QY8SYbgtpVkX9O2b5ZOnlPjATMmUNaKgF8LTo+njR4eN&#10;y8XA1laVAgiCGJ83rqB1CC7PMs9roZk/sE4YNFYWNAuowjorgTWIrlU26PXGWWOhdGC58B6/Lloj&#10;7RDhIYC2qiQXC8s3WpjQooJQLGBJvpbO02nKtqoED6dV5UUgqqBYaUgnBkF5Fc9sesjyNTBXS96l&#10;wB6Swr2aNJMGg95ALVhgZAPyLygtOVhvq3DArc7aQhIjWEW/d4+b85o5kWpBqr27Id3/P1j+ensG&#10;RJYFHVNimMaGX/34+Pv7p8tvv3Jy9fnr5c8vZBxpapzP0fvcnUGneRRjzbsKdPzHasguUXtxQ63Y&#10;BcLxY380GPaQdI6m/nDYH44iZnZ72YEPL4TVJAoFrZRt5jWDcLwLwHhI5LLtiQ/ttWv3GNdbJcul&#10;VCopsF7NFZAtw44vlz38dZHuuClDGsxkMElJMZzjCucH89MOufBmTQlTa1wQHiDFvnPb7wcZHE9G&#10;z8fJSW30K1u2sSejvdCtfyr4DlAsY8F83V5Jppgty7UMuGVK6oI+jTVcF6EMgsRWtORHaWXLC+wh&#10;2Ha4veNLibAnzIczBjjNSDvuezjFI9JaUNtJlNQWPvzre/THIUMrJQ1uB1LyfsNAUKJeGhy/Z9jD&#10;uE5JGY4mA1Rg37Lat5iNnltsRx9fFseTGP2DuhYrsPodPguzGBVNzHCM3ZLfKfPQbi0+LFzMZskN&#10;V8ixcGLOHY/gkTdjZ5tgK5nG5JadjjRcotSDbuHjlu7ryev2kZv+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A8FAABbQ29udGVudF9UeXBlc10u&#10;eG1sUEsBAhQACgAAAAAAh07iQAAAAAAAAAAAAAAAAAYAAAAAAAAAAAAQAAAA8QMAAF9yZWxzL1BL&#10;AQIUABQAAAAIAIdO4kCKFGY80QAAAJQBAAALAAAAAAAAAAEAIAAAABUEAABfcmVscy8ucmVsc1BL&#10;AQIUAAoAAAAAAIdO4kAAAAAAAAAAAAAAAAAEAAAAAAAAAAAAEAAAAAAAAABkcnMvUEsBAhQAFAAA&#10;AAgAh07iQOJWAtbZAAAACQEAAA8AAAAAAAAAAQAgAAAAIgAAAGRycy9kb3ducmV2LnhtbFBLAQIU&#10;ABQAAAAIAIdO4kAeVfEfnQIAACwFAAAOAAAAAAAAAAEAIAAAACgBAABkcnMvZTJvRG9jLnhtbFBL&#10;BQYAAAAABgAGAFkBAAA3BgAAAAA=&#10;">
                      <v:fill on="t" focussize="0,0"/>
                      <v:stroke weight="1pt" color="#2E75B6 [2404]" miterlimit="8" joinstyle="miter"/>
                      <v:imagedata o:title=""/>
                      <o:lock v:ext="edit" aspectratio="f"/>
                    </v:shape>
                  </w:pict>
                </mc:Fallback>
              </mc:AlternateContent>
            </w:r>
            <w:r>
              <w:rPr>
                <w:sz w:val="21"/>
              </w:rPr>
              <mc:AlternateContent>
                <mc:Choice Requires="wps">
                  <w:drawing>
                    <wp:anchor distT="0" distB="0" distL="114300" distR="114300" simplePos="0" relativeHeight="251673600" behindDoc="0" locked="0" layoutInCell="1" allowOverlap="1">
                      <wp:simplePos x="0" y="0"/>
                      <wp:positionH relativeFrom="column">
                        <wp:posOffset>419100</wp:posOffset>
                      </wp:positionH>
                      <wp:positionV relativeFrom="paragraph">
                        <wp:posOffset>2720975</wp:posOffset>
                      </wp:positionV>
                      <wp:extent cx="152400" cy="144145"/>
                      <wp:effectExtent l="10795" t="13335" r="19685" b="10160"/>
                      <wp:wrapNone/>
                      <wp:docPr id="20" name="流程图: 摘录 20"/>
                      <wp:cNvGraphicFramePr/>
                      <a:graphic xmlns:a="http://schemas.openxmlformats.org/drawingml/2006/main">
                        <a:graphicData uri="http://schemas.microsoft.com/office/word/2010/wordprocessingShape">
                          <wps:wsp>
                            <wps:cNvSpPr/>
                            <wps:spPr>
                              <a:xfrm>
                                <a:off x="0" y="0"/>
                                <a:ext cx="152400" cy="144145"/>
                              </a:xfrm>
                              <a:prstGeom prst="flowChartExtract">
                                <a:avLst/>
                              </a:prstGeom>
                              <a:solidFill>
                                <a:srgbClr val="FF0000"/>
                              </a:solidFill>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27" type="#_x0000_t127" style="position:absolute;left:0pt;margin-left:33pt;margin-top:214.25pt;height:11.35pt;width:12pt;z-index:251673600;v-text-anchor:middle;mso-width-relative:page;mso-height-relative:page;" fillcolor="#FF0000" filled="t" stroked="t" coordsize="21600,21600" o:gfxdata="UEsDBAoAAAAAAIdO4kAAAAAAAAAAAAAAAAAEAAAAZHJzL1BLAwQUAAAACACHTuJAI3njxdoAAAAJ&#10;AQAADwAAAGRycy9kb3ducmV2LnhtbE2PzU7DMBCE70i8g7VIXFBrJ9BQQpxKVAJxKVJTBFc32caB&#10;eB3F7g88PcsJjjs7mvmmWJxcLw44hs6ThmSqQCDVvumo1fC6eZzMQYRoqDG9J9TwhQEW5flZYfLG&#10;H2mNhyq2gkMo5EaDjXHIpQy1RWfC1A9I/Nv50ZnI59jKZjRHDne9TJXKpDMdcYM1Ay4t1p/V3mnI&#10;Hm6vquzlOvr31dvzcvf0YdfqW+vLi0Tdg4h4in9m+MVndCiZaev31ATRc0bGU6KGm3Q+A8GGO8XC&#10;loVZkoIsC/l/QfkDUEsDBBQAAAAIAIdO4kBOIlqCngIAAC4FAAAOAAAAZHJzL2Uyb0RvYy54bWyt&#10;VM1uEzEQviPxDpbvdJMoacqqmyokDUIqtFJBnCdeb9aS/7CdbMqNc08ckJB4AV6AI7xNy2sw9m7b&#10;tHDogRycmZ3xNzPfzPjwaKsk2XDnhdEF7e/1KOGamVLoVUHfvV08O6DEB9AlSKN5QS+4p0eTp08O&#10;G5vzgamNLLkjCKJ93tiC1iHYPMs8q7kCv2cs12isjFMQUHWrrHTQILqS2aDX288a40rrDOPe49d5&#10;a6QdonsMoKkqwfjcsLXiOrSojksIWJKvhfV0krKtKs7CaVV5HogsKFYa0olBUF7GM5scQr5yYGvB&#10;uhTgMSk8qEmB0Bj0FmoOAcjaib+glGDOeFOFPWZU1haSGMEq+r0H3JzXYHmqBan29pZ0//9g2ZvN&#10;mSOiLOgAKdGgsOPXPz79/n559e1XTq4/f736+YWgDYlqrM/R/9yeuU7zKMaqt5VT8R/rIdtE7sUt&#10;uXwbCMOP/dFg2MMYDE394bA/HEXM7O6ydT685EaRKBS0kqaZ1eDC8TY4YCHRC5sTH9prN+4xrjdS&#10;lAshZVLcajmTjmwAe75Y9PDXRbrnJjVpMJPBOCUFOMkVThDmpyyy4fWKEpArXBEWXIp977bfDTI4&#10;Ho9e7CcnuVavTdnGHo92Qrf+qeB7QLGMOfi6vZJMMVvIlQi4Z1Kogh7EGm6KkBpBYita8qO0NOUF&#10;dtGZdry9ZQuBsCfgwxk4nGekHTc+nOIRaS2o6SRKauM+/ut79McxQyslDe4HUvJhDY5TIl9pHMDn&#10;2EOEDUkZjsZxfNyuZblr0Ws1M9iOPr4tliUx+gd5I1bOqPf4MExjVDSBZhi7Jb9TZqHdW3xaGJ9O&#10;kxsukYVwos8ti+CRN22m62Aqkcbkjp2ONFyj1INu5eOe7urJ6+6Zm/w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EQUAAFtDb250ZW50X1R5cGVz&#10;XS54bWxQSwECFAAKAAAAAACHTuJAAAAAAAAAAAAAAAAABgAAAAAAAAAAABAAAADzAwAAX3JlbHMv&#10;UEsBAhQAFAAAAAgAh07iQIoUZjzRAAAAlAEAAAsAAAAAAAAAAQAgAAAAFwQAAF9yZWxzLy5yZWxz&#10;UEsBAhQACgAAAAAAh07iQAAAAAAAAAAAAAAAAAQAAAAAAAAAAAAQAAAAAAAAAGRycy9QSwECFAAU&#10;AAAACACHTuJAI3njxdoAAAAJAQAADwAAAAAAAAABACAAAAAiAAAAZHJzL2Rvd25yZXYueG1sUEsB&#10;AhQAFAAAAAgAh07iQE4iWoKeAgAALgUAAA4AAAAAAAAAAQAgAAAAKQEAAGRycy9lMm9Eb2MueG1s&#10;UEsFBgAAAAAGAAYAWQEAADkGAAAAAA==&#10;">
                      <v:fill on="t" focussize="0,0"/>
                      <v:stroke weight="1pt" color="#2E75B6 [2404]" miterlimit="8" joinstyle="miter"/>
                      <v:imagedata o:title=""/>
                      <o:lock v:ext="edit" aspectratio="f"/>
                    </v:shape>
                  </w:pict>
                </mc:Fallback>
              </mc:AlternateContent>
            </w:r>
            <w:r>
              <w:drawing>
                <wp:inline distT="0" distB="0" distL="114300" distR="114300">
                  <wp:extent cx="5031740" cy="3065145"/>
                  <wp:effectExtent l="0" t="0" r="12700" b="13335"/>
                  <wp:docPr id="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pic:cNvPicPr>
                            <a:picLocks noChangeAspect="1"/>
                          </pic:cNvPicPr>
                        </pic:nvPicPr>
                        <pic:blipFill>
                          <a:blip r:embed="rId23"/>
                          <a:stretch>
                            <a:fillRect/>
                          </a:stretch>
                        </pic:blipFill>
                        <pic:spPr>
                          <a:xfrm>
                            <a:off x="0" y="0"/>
                            <a:ext cx="5031740" cy="3065145"/>
                          </a:xfrm>
                          <a:prstGeom prst="rect">
                            <a:avLst/>
                          </a:prstGeom>
                          <a:noFill/>
                          <a:ln>
                            <a:noFill/>
                          </a:ln>
                        </pic:spPr>
                      </pic:pic>
                    </a:graphicData>
                  </a:graphic>
                </wp:inline>
              </w:drawing>
            </w:r>
            <w:r>
              <w:rPr>
                <w:sz w:val="21"/>
              </w:rPr>
              <mc:AlternateContent>
                <mc:Choice Requires="wps">
                  <w:drawing>
                    <wp:anchor distT="0" distB="0" distL="114300" distR="114300" simplePos="0" relativeHeight="251674624" behindDoc="0" locked="0" layoutInCell="1" allowOverlap="1">
                      <wp:simplePos x="0" y="0"/>
                      <wp:positionH relativeFrom="column">
                        <wp:posOffset>715010</wp:posOffset>
                      </wp:positionH>
                      <wp:positionV relativeFrom="paragraph">
                        <wp:posOffset>2687320</wp:posOffset>
                      </wp:positionV>
                      <wp:extent cx="1109345" cy="276860"/>
                      <wp:effectExtent l="4445" t="5080" r="13970" b="7620"/>
                      <wp:wrapNone/>
                      <wp:docPr id="21" name="文本框 21"/>
                      <wp:cNvGraphicFramePr/>
                      <a:graphic xmlns:a="http://schemas.openxmlformats.org/drawingml/2006/main">
                        <a:graphicData uri="http://schemas.microsoft.com/office/word/2010/wordprocessingShape">
                          <wps:wsp>
                            <wps:cNvSpPr txBox="1"/>
                            <wps:spPr>
                              <a:xfrm>
                                <a:off x="2230755" y="8471535"/>
                                <a:ext cx="1109345" cy="276860"/>
                              </a:xfrm>
                              <a:prstGeom prst="rect">
                                <a:avLst/>
                              </a:prstGeom>
                              <a:solidFill>
                                <a:schemeClr val="accen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640E80C5">
                                  <w:pPr>
                                    <w:rPr>
                                      <w:rFonts w:hint="default" w:eastAsia="宋体"/>
                                      <w:color w:val="FFFFFF" w:themeColor="background1"/>
                                      <w:lang w:val="en-US" w:eastAsia="zh-CN"/>
                                      <w14:textFill>
                                        <w14:solidFill>
                                          <w14:schemeClr w14:val="bg1"/>
                                        </w14:solidFill>
                                      </w14:textFill>
                                    </w:rPr>
                                  </w:pPr>
                                  <w:r>
                                    <w:rPr>
                                      <w:rFonts w:hint="eastAsia"/>
                                      <w:color w:val="FFFFFF" w:themeColor="background1"/>
                                      <w:lang w:val="en-US" w:eastAsia="zh-CN"/>
                                      <w14:textFill>
                                        <w14:solidFill>
                                          <w14:schemeClr w14:val="bg1"/>
                                        </w14:solidFill>
                                      </w14:textFill>
                                    </w:rPr>
                                    <w:t>噪声检测点位</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6.3pt;margin-top:211.6pt;height:21.8pt;width:87.35pt;z-index:251674624;mso-width-relative:page;mso-height-relative:page;" fillcolor="#5B9BD5 [3204]" filled="t" stroked="t" coordsize="21600,21600" o:gfxdata="UEsDBAoAAAAAAIdO4kAAAAAAAAAAAAAAAAAEAAAAZHJzL1BLAwQUAAAACACHTuJAjdd1D9cAAAAL&#10;AQAADwAAAGRycy9kb3ducmV2LnhtbE2PsU7DMBCGdyTewTokFkSdOMWEEKcDCPYGBkY3PpKI2I5s&#10;N2l5eo4Jxv/u03/f1buTndiCIY7eKcg3GTB0nTej6xW8v73clsBi0s7oyTtUcMYIu+byotaV8avb&#10;49KmnlGJi5VWMKQ0V5zHbkCr48bP6Gj36YPViWLouQl6pXI7cZFlkls9Orow6BmfBuy+2qNVUOz9&#10;txlfQ7s+3C1anvvtzXP8UOr6Ks8egSU8pT8YfvVJHRpyOvijM5FNlHMhCVWwFYUARoQo7wtgB5pI&#10;WQJvav7/h+YHUEsDBBQAAAAIAIdO4kALXYx8awIAAMUEAAAOAAAAZHJzL2Uyb0RvYy54bWytVEtu&#10;2zAQ3RfoHQjuG8myZTuG5cCJkaJA0ARIi65pirKIUhyWpC2lB2hv0FU33fdcPkeHlJ1fu8iiG3p+&#10;fjPzZkbzs65RZCesk6ALOjhJKRGaQyn1pqAfP1y+mVLiPNMlU6BFQe+Eo2eL16/mrZmJDGpQpbAE&#10;QbSbtaagtfdmliSO16Jh7gSM0OiswDbMo2o3SWlZi+iNSrI0HSct2NJY4MI5tK56Jz0g2pcAQlVJ&#10;LlbAt43Qvke1QjGPLblaGkcXsdqqEtxfV5UTnqiCYqc+vpgE5XV4k8WczTaWmVryQwnsJSU866lh&#10;UmPSe6gV84xsrfwLqpHcgoPKn3Bokr6RyAh2MUifcXNbMyNiL0i1M/eku/8Hy9/vbiyRZUGzASWa&#10;NTjx/Y/v+5+/97++EbQhQa1xM4y7NRjpu3PocG2OdofG0HdX2Sb8YkcE/Vk2TCd5TsldQaejySAf&#10;5j3VovOEB4BBejocYQDHiGwyno7jLJIHJGOdfyugIUEoqMVRRobZ7sp5rApDjyEhsQMly0upVFTs&#10;Zn2hLNkxHHt+fnq+iunxL0/ClCZtQcfDPI3IT3wB+x5irRj/HBp4ioCa0mgMBPVEBMl36+7A2hrK&#10;OyTNQr93zvBLibhXzPkbZnHRcA3xFP01PpUCLAYOEiU12K//sod4nD96KWlxcQvqvmyZFZSodxo3&#10;43QwGoVNj8oon2So2Mee9WOP3jYXgCTh8LG6KIZ4r45iZaH5hBe7DFnRxTTH3AX1R/HC9+eEF8/F&#10;chmDcLcN81f61vAAHUaiYbn1UMk4ukBTz82BPdzuSO7hEsP5PNZj1MPXZ/EH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jdd1D9cAAAALAQAADwAAAAAAAAABACAAAAAiAAAAZHJzL2Rvd25yZXYueG1s&#10;UEsBAhQAFAAAAAgAh07iQAtdjHxrAgAAxQQAAA4AAAAAAAAAAQAgAAAAJgEAAGRycy9lMm9Eb2Mu&#10;eG1sUEsFBgAAAAAGAAYAWQEAAAMGAAAAAA==&#10;">
                      <v:fill on="t" focussize="0,0"/>
                      <v:stroke weight="0.5pt" color="#000000 [3204]" joinstyle="round"/>
                      <v:imagedata o:title=""/>
                      <o:lock v:ext="edit" aspectratio="f"/>
                      <v:textbox>
                        <w:txbxContent>
                          <w:p w14:paraId="640E80C5">
                            <w:pPr>
                              <w:rPr>
                                <w:rFonts w:hint="default" w:eastAsia="宋体"/>
                                <w:color w:val="FFFFFF" w:themeColor="background1"/>
                                <w:lang w:val="en-US" w:eastAsia="zh-CN"/>
                                <w14:textFill>
                                  <w14:solidFill>
                                    <w14:schemeClr w14:val="bg1"/>
                                  </w14:solidFill>
                                </w14:textFill>
                              </w:rPr>
                            </w:pPr>
                            <w:r>
                              <w:rPr>
                                <w:rFonts w:hint="eastAsia"/>
                                <w:color w:val="FFFFFF" w:themeColor="background1"/>
                                <w:lang w:val="en-US" w:eastAsia="zh-CN"/>
                                <w14:textFill>
                                  <w14:solidFill>
                                    <w14:schemeClr w14:val="bg1"/>
                                  </w14:solidFill>
                                </w14:textFill>
                              </w:rPr>
                              <w:t>噪声检测点位</w:t>
                            </w:r>
                          </w:p>
                        </w:txbxContent>
                      </v:textbox>
                    </v:shape>
                  </w:pict>
                </mc:Fallback>
              </mc:AlternateContent>
            </w:r>
            <w:r>
              <w:rPr>
                <w:sz w:val="21"/>
              </w:rPr>
              <mc:AlternateContent>
                <mc:Choice Requires="wps">
                  <w:drawing>
                    <wp:anchor distT="0" distB="0" distL="114300" distR="114300" simplePos="0" relativeHeight="251672576" behindDoc="0" locked="0" layoutInCell="1" allowOverlap="1">
                      <wp:simplePos x="0" y="0"/>
                      <wp:positionH relativeFrom="column">
                        <wp:posOffset>2120900</wp:posOffset>
                      </wp:positionH>
                      <wp:positionV relativeFrom="paragraph">
                        <wp:posOffset>900430</wp:posOffset>
                      </wp:positionV>
                      <wp:extent cx="1506855" cy="262890"/>
                      <wp:effectExtent l="6350" t="6350" r="10795" b="20320"/>
                      <wp:wrapNone/>
                      <wp:docPr id="11" name="矩形 11"/>
                      <wp:cNvGraphicFramePr/>
                      <a:graphic xmlns:a="http://schemas.openxmlformats.org/drawingml/2006/main">
                        <a:graphicData uri="http://schemas.microsoft.com/office/word/2010/wordprocessingShape">
                          <wps:wsp>
                            <wps:cNvSpPr/>
                            <wps:spPr>
                              <a:xfrm>
                                <a:off x="3636645" y="6617335"/>
                                <a:ext cx="1506855" cy="262890"/>
                              </a:xfrm>
                              <a:prstGeom prst="rect">
                                <a:avLst/>
                              </a:prstGeom>
                              <a:solidFill>
                                <a:schemeClr val="accent1"/>
                              </a:solidFill>
                            </wps:spPr>
                            <wps:style>
                              <a:lnRef idx="2">
                                <a:schemeClr val="accent1">
                                  <a:lumMod val="75000"/>
                                </a:schemeClr>
                              </a:lnRef>
                              <a:fillRef idx="1">
                                <a:schemeClr val="accent1"/>
                              </a:fillRef>
                              <a:effectRef idx="0">
                                <a:srgbClr val="FFFFFF"/>
                              </a:effectRef>
                              <a:fontRef idx="minor">
                                <a:schemeClr val="lt1"/>
                              </a:fontRef>
                            </wps:style>
                            <wps:txbx>
                              <w:txbxContent>
                                <w:p w14:paraId="17BF3438">
                                  <w:pPr>
                                    <w:jc w:val="center"/>
                                    <w:rPr>
                                      <w:rFonts w:hint="eastAsia" w:eastAsia="宋体"/>
                                      <w:lang w:val="en-US" w:eastAsia="zh-CN"/>
                                    </w:rPr>
                                  </w:pPr>
                                  <w:r>
                                    <w:rPr>
                                      <w:rFonts w:hint="eastAsia"/>
                                      <w:lang w:val="en-US" w:eastAsia="zh-CN"/>
                                    </w:rPr>
                                    <w:t>本项目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67pt;margin-top:70.9pt;height:20.7pt;width:118.65pt;z-index:251672576;v-text-anchor:middle;mso-width-relative:page;mso-height-relative:page;" fillcolor="#5B9BD5 [3204]" filled="t" stroked="t" coordsize="21600,21600" o:gfxdata="UEsDBAoAAAAAAIdO4kAAAAAAAAAAAAAAAAAEAAAAZHJzL1BLAwQUAAAACACHTuJAHId3HNoAAAAL&#10;AQAADwAAAGRycy9kb3ducmV2LnhtbE2PwU7DMBBE70j8g7VI3KidpoUS4lQCCYHEiVKJqxtvnZR4&#10;HcVO2vL1LCc47sxodl65PvlOTDjENpCGbKZAINXBtuQ0bD+eb1YgYjJkTRcINZwxwrq6vChNYcOR&#10;3nHaJCe4hGJhNDQp9YWUsW7QmzgLPRJ7+zB4k/gcnLSDOXK57+RcqVvpTUv8oTE9PjVYf21Gr8GP&#10;0+fLvRy36vF7/3p4O7vDMjmtr68y9QAi4Sn9heF3Pk+Hijftwkg2ik5Dni+YJbGxyJiBE8u7LAex&#10;Y2WVz0FWpfzPUP0AUEsDBBQAAAAIAIdO4kDIbrSknQIAAC8FAAAOAAAAZHJzL2Uyb0RvYy54bWyt&#10;VM1uEzEQviPxDpbvdPO3mzTqBqUNRUiFViqIs+P1ZlfyH7bTpLwMEjcegsdBvAafvds2LRx64LI7&#10;4xl/M/PNjE9e75UkN8L51uiSDo8GlAjNTdXqTUk/fTx/NaPEB6YrJo0WJb0Vnr5evHxxsrNzMTKN&#10;kZVwBCDaz3e2pE0Idp5lnjdCMX9krNAw1sYpFqC6TVY5tgO6ktloMCiynXGVdYYL73G66oy0R3TP&#10;ATR13XKxMnyrhA4dqhOSBZTkm9Z6ukjZ1rXg4bKuvQhElhSVhvRFEMjr+M0WJ2y+ccw2Le9TYM9J&#10;4UlNirUaQe+hViwwsnXtX1Cq5c54U4cjblTWFZIYQRXDwRNurhtmRaoFVHt7T7r/f7D8w82VI22F&#10;SRhSoplCx39/+/Hr53eCA7Czs34Op2t75XrNQ4yl7mun4h9FkH1Jx8W4KCY5JbclLYrhdDzOO3bF&#10;PhAOh2E+KGY5HDg8RsVodpzozx6QrPPhrTCKRKGkDt1LpLKbCx8QHa53LjGwN7Ktzlspk+I26zPp&#10;yA1Dp/PT49NVCo8rj9ykJjukMpoOMAGcYX5rzA1EZcGB1xtKmNxgMXhwKfaj2/4wyOjNND8tkpPc&#10;qvem6mJP8wGwu2x7/5T5I6BYxor5pruSTB1Zqg3YLtmqks6Ac48kNUBiLzr2oxT2633fkrWpbtFG&#10;Z7r59paft4hwwXy4Yg4DjWKx8uESn1oaMGB6iZLGuK//Oo/+mDNYKdlhQcDOly1zghL5TmMCj4eT&#10;SdyopEzy6QiKO7SsDy16q84MOoMhQ3ZJjP5B3om1M+ozXoZljAoT0xyxuz70ylnoFhdvCxfLZXLD&#10;FlkWLvS15RE8ToI2y20wdZsmJhLVsdPzhz1K7eh3Pi7qoZ68Ht65xR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QBQAAW0NvbnRlbnRfVHlwZXNd&#10;LnhtbFBLAQIUAAoAAAAAAIdO4kAAAAAAAAAAAAAAAAAGAAAAAAAAAAAAEAAAAPIDAABfcmVscy9Q&#10;SwECFAAUAAAACACHTuJAihRmPNEAAACUAQAACwAAAAAAAAABACAAAAAWBAAAX3JlbHMvLnJlbHNQ&#10;SwECFAAKAAAAAACHTuJAAAAAAAAAAAAAAAAABAAAAAAAAAAAABAAAAAAAAAAZHJzL1BLAQIUABQA&#10;AAAIAIdO4kAch3cc2gAAAAsBAAAPAAAAAAAAAAEAIAAAACIAAABkcnMvZG93bnJldi54bWxQSwEC&#10;FAAUAAAACACHTuJAyG60pJ0CAAAvBQAADgAAAAAAAAABACAAAAApAQAAZHJzL2Uyb0RvYy54bWxQ&#10;SwUGAAAAAAYABgBZAQAAOAYAAAAA&#10;">
                      <v:fill on="t" focussize="0,0"/>
                      <v:stroke weight="1pt" color="#2E75B6 [2404]" miterlimit="8" joinstyle="miter"/>
                      <v:imagedata o:title=""/>
                      <o:lock v:ext="edit" aspectratio="f"/>
                      <v:textbox>
                        <w:txbxContent>
                          <w:p w14:paraId="17BF3438">
                            <w:pPr>
                              <w:jc w:val="center"/>
                              <w:rPr>
                                <w:rFonts w:hint="eastAsia" w:eastAsia="宋体"/>
                                <w:lang w:val="en-US" w:eastAsia="zh-CN"/>
                              </w:rPr>
                            </w:pPr>
                            <w:r>
                              <w:rPr>
                                <w:rFonts w:hint="eastAsia"/>
                                <w:lang w:val="en-US" w:eastAsia="zh-CN"/>
                              </w:rPr>
                              <w:t>本项目</w:t>
                            </w:r>
                          </w:p>
                        </w:txbxContent>
                      </v:textbox>
                    </v:rect>
                  </w:pict>
                </mc:Fallback>
              </mc:AlternateContent>
            </w:r>
            <w:r>
              <w:rPr>
                <w:sz w:val="21"/>
              </w:rPr>
              <mc:AlternateContent>
                <mc:Choice Requires="wps">
                  <w:drawing>
                    <wp:anchor distT="0" distB="0" distL="114300" distR="114300" simplePos="0" relativeHeight="251671552" behindDoc="0" locked="0" layoutInCell="1" allowOverlap="1">
                      <wp:simplePos x="0" y="0"/>
                      <wp:positionH relativeFrom="column">
                        <wp:posOffset>2230755</wp:posOffset>
                      </wp:positionH>
                      <wp:positionV relativeFrom="paragraph">
                        <wp:posOffset>1865630</wp:posOffset>
                      </wp:positionV>
                      <wp:extent cx="152400" cy="144145"/>
                      <wp:effectExtent l="10795" t="13335" r="19685" b="10160"/>
                      <wp:wrapNone/>
                      <wp:docPr id="7" name="流程图: 摘录 7"/>
                      <wp:cNvGraphicFramePr/>
                      <a:graphic xmlns:a="http://schemas.openxmlformats.org/drawingml/2006/main">
                        <a:graphicData uri="http://schemas.microsoft.com/office/word/2010/wordprocessingShape">
                          <wps:wsp>
                            <wps:cNvSpPr/>
                            <wps:spPr>
                              <a:xfrm>
                                <a:off x="0" y="0"/>
                                <a:ext cx="152400" cy="144145"/>
                              </a:xfrm>
                              <a:prstGeom prst="flowChartExtract">
                                <a:avLst/>
                              </a:prstGeom>
                              <a:solidFill>
                                <a:srgbClr val="FF0000"/>
                              </a:solidFill>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27" type="#_x0000_t127" style="position:absolute;left:0pt;margin-left:175.65pt;margin-top:146.9pt;height:11.35pt;width:12pt;z-index:251671552;v-text-anchor:middle;mso-width-relative:page;mso-height-relative:page;" fillcolor="#FF0000" filled="t" stroked="t" coordsize="21600,21600" o:gfxdata="UEsDBAoAAAAAAIdO4kAAAAAAAAAAAAAAAAAEAAAAZHJzL1BLAwQUAAAACACHTuJAzUhkqNwAAAAL&#10;AQAADwAAAGRycy9kb3ducmV2LnhtbE2PzU7DMBCE70i8g7VIXBC1UysphDiVqATiQqUGBFc3duNA&#10;vI5i9weenuUEt92d0ew31fLkB3awU+wDKshmApjFNpgeOwWvLw/XN8Bi0mj0ENAq+LIRlvX5WaVL&#10;E464sYcmdYxCMJZagUtpLDmPrbNex1kYLZK2C5PXidap42bSRwr3A58LUXCve6QPTo925Wz72ey9&#10;guJ+cdUUa5nC+/Pb02r3+OE24lupy4tM3AFL9pT+zPCLT+hQE9M27NFENiiQeSbJqmB+K6kDOeQi&#10;p8uWhqzIgdcV/9+h/gFQSwMEFAAAAAgAh07iQLXndvWdAgAALAUAAA4AAABkcnMvZTJvRG9jLnht&#10;bK1UzW4TMRC+I/EOlu90kyhpyqqbKiQNQiq0UkGcHa83a8l/jJ1syo1zTxyQkHgBXoAjvE3LazD2&#10;btu0cOiBHJyZnfE3M9/M+PBoqxXZCPDSmoL293qUCMNtKc2qoO/eLp4dUOIDMyVT1oiCXghPjyZP&#10;nxw2LhcDW1tVCiAIYnzeuILWIbg8yzyvhWZ+zzph0FhZ0CygCqusBNYgulbZoNfbzxoLpQPLhff4&#10;dd4aaYcIjwG0VSW5mFu+1sKEFhWEYgFL8rV0nk5StlUleDitKi8CUQXFSkM6MQjKy3hmk0OWr4C5&#10;WvIuBfaYFB7UpJk0GPQWas4CI2uQf0FpycF6W4U9bnXWFpIYwSr6vQfcnNfMiVQLUu3dLen+/8Hy&#10;N5szILIs6JgSwzQ2/PrHp9/fL6++/crJ9eevVz+/kHGkqXE+R+9zdwad5lGMNW8r0PEfqyHbRO3F&#10;LbViGwjHj/3RYNhD0jma+sNhfziKmNndZQc+vBRWkygUtFK2mdUMwvE2AOMhkcs2Jz60127cY1xv&#10;lSwXUqmkwGo5U0A2DDu+WPTw10W656YMaTCTwTglxXCOK5wfzE875MKbFSVMrXBBeIAU+95tvxtk&#10;cDwevdhPTmqtX9uyjT0e7YRu/VPB94BiGXPm6/ZKMsVsWa5lwC1TUhf0INZwU4QyCBJb0ZIfpaUt&#10;L7CHYNvh9o4vJMKeMB/OGOA0I+247+EUj0hrQW0nUVJb+Piv79EfhwytlDS4HUjJhzUDQYl6ZXD8&#10;nmMP4zolZTgaD1CBXcty12LWemaxHX18WRxPYvQP6kaswOr3+CxMY1Q0McMxdkt+p8xCu7X4sHAx&#10;nSY3XCHHwok5dzyCR96Mna6DrWQakzt2OtJwiVIPuoWPW7qrJ6+7R27y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BIFAABbQ29udGVudF9UeXBl&#10;c10ueG1sUEsBAhQACgAAAAAAh07iQAAAAAAAAAAAAAAAAAYAAAAAAAAAAAAQAAAA9AMAAF9yZWxz&#10;L1BLAQIUABQAAAAIAIdO4kCKFGY80QAAAJQBAAALAAAAAAAAAAEAIAAAABgEAABfcmVscy8ucmVs&#10;c1BLAQIUAAoAAAAAAIdO4kAAAAAAAAAAAAAAAAAEAAAAAAAAAAAAEAAAAAAAAABkcnMvUEsBAhQA&#10;FAAAAAgAh07iQM1IZKjcAAAACwEAAA8AAAAAAAAAAQAgAAAAIgAAAGRycy9kb3ducmV2LnhtbFBL&#10;AQIUABQAAAAIAIdO4kC153b1nQIAACwFAAAOAAAAAAAAAAEAIAAAACsBAABkcnMvZTJvRG9jLnht&#10;bFBLBQYAAAAABgAGAFkBAAA6BgAAAAA=&#10;">
                      <v:fill on="t" focussize="0,0"/>
                      <v:stroke weight="1pt" color="#2E75B6 [2404]" miterlimit="8" joinstyle="miter"/>
                      <v:imagedata o:title=""/>
                      <o:lock v:ext="edit" aspectratio="f"/>
                    </v:shape>
                  </w:pict>
                </mc:Fallback>
              </mc:AlternateContent>
            </w:r>
            <w:r>
              <w:rPr>
                <w:sz w:val="21"/>
              </w:rPr>
              <mc:AlternateContent>
                <mc:Choice Requires="wps">
                  <w:drawing>
                    <wp:anchor distT="0" distB="0" distL="114300" distR="114300" simplePos="0" relativeHeight="251669504" behindDoc="0" locked="0" layoutInCell="1" allowOverlap="1">
                      <wp:simplePos x="0" y="0"/>
                      <wp:positionH relativeFrom="column">
                        <wp:posOffset>1689100</wp:posOffset>
                      </wp:positionH>
                      <wp:positionV relativeFrom="paragraph">
                        <wp:posOffset>1484630</wp:posOffset>
                      </wp:positionV>
                      <wp:extent cx="152400" cy="144145"/>
                      <wp:effectExtent l="10795" t="13335" r="19685" b="10160"/>
                      <wp:wrapNone/>
                      <wp:docPr id="5" name="流程图: 摘录 5"/>
                      <wp:cNvGraphicFramePr/>
                      <a:graphic xmlns:a="http://schemas.openxmlformats.org/drawingml/2006/main">
                        <a:graphicData uri="http://schemas.microsoft.com/office/word/2010/wordprocessingShape">
                          <wps:wsp>
                            <wps:cNvSpPr/>
                            <wps:spPr>
                              <a:xfrm>
                                <a:off x="3204845" y="7201535"/>
                                <a:ext cx="152400" cy="144145"/>
                              </a:xfrm>
                              <a:prstGeom prst="flowChartExtract">
                                <a:avLst/>
                              </a:prstGeom>
                              <a:solidFill>
                                <a:srgbClr val="FF0000"/>
                              </a:solidFill>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27" type="#_x0000_t127" style="position:absolute;left:0pt;margin-left:133pt;margin-top:116.9pt;height:11.35pt;width:12pt;z-index:251669504;v-text-anchor:middle;mso-width-relative:page;mso-height-relative:page;" fillcolor="#FF0000" filled="t" stroked="t" coordsize="21600,21600" o:gfxdata="UEsDBAoAAAAAAIdO4kAAAAAAAAAAAAAAAAAEAAAAZHJzL1BLAwQUAAAACACHTuJA5ejWLNsAAAAL&#10;AQAADwAAAGRycy9kb3ducmV2LnhtbE2PzU7DMBCE70i8g7VIXBC1m6gGQpxKVAJxAakBwdWNt0kg&#10;Xkex+wNPz3KC2+zuaPabcnn0g9jjFPtABuYzBQKpCa6n1sDry/3lNYiYLDk7BEIDXxhhWZ2elLZw&#10;4UBr3NepFRxCsbAGupTGQsrYdOhtnIURiW/bMHmbeJxa6SZ74HA/yEwpLb3tiT90dsRVh81nvfMG&#10;9N3VRa2f8xTen94eV9uHj26tvo05P5urWxAJj+nPDL/4jA4VM23CjlwUg4FMa+6SWOQ5d2BHdqN4&#10;s2Gx0AuQVSn/d6h+AFBLAwQUAAAACACHTuJA65qYsqoCAAA4BQAADgAAAGRycy9lMm9Eb2MueG1s&#10;rVTNbhMxEL4j8Q6W73STNCFl1U0VkgYhFVqpIM4TrzdryX/YTjblxpkTByQkXoAX4Ahv0/IajL3b&#10;Ni0ceiAHZ2Zn/M3MNzM+PNoqSTbceWF0Qft7PUq4ZqYUelXQt28WTw4o8QF0CdJoXtAL7unR5PGj&#10;w8bmfGBqI0vuCIJonze2oHUINs8yz2quwO8ZyzUaK+MUBFTdKisdNIiuZDbo9Z5mjXGldYZx7/Hr&#10;vDXSDtE9BNBUlWB8bthacR1aVMclBCzJ18J6OknZVhVn4bSqPA9EFhQrDenEICgv45lNDiFfObC1&#10;YF0K8JAU7tWkQGgMegM1hwBk7cRfUEowZ7ypwh4zKmsLSYxgFf3ePW7Oa7A81YJUe3tDuv9/sOz1&#10;5swRURZ0RIkGhQ2/+vHx9/dPl99+5eTq89fLn1/IKNLUWJ+j97k9c53mUYw1byun4j9WQ7YF3R/0&#10;hgdDhLso6BirGu2n+5DzbSAMHfqjwbCHDWDo0B8O++iLiNktkHU+vOBGkSgUtJKmmdXgwvE2OGAh&#10;EQ2bEx/aa9fuMQdvpCgXQsqkuNVyJh3ZAHZ/sejhr4t0x01q0mAmg3FKCnCmK5wlzE9Z5MXrFSUg&#10;V7gsLLgU+85tvxtkcDwePX+anORavTJlG3s82gnd+qeC7wDFMubg6/ZKMsVsIVci4MZJoQp6EGu4&#10;LkJqBIltaRsRpaUpL7CfzrSD7i1bCIQ9AR/OwOFkI+24++EUj0hrQU0nUVIb9+Ff36M/DhxaKWlw&#10;U5CS92twnBL5UuMoPsMextVKynCELafE7VqWuxa9VjOD7ejjK2NZEqN/kNdi5Yx6h0/ENEZFE2iG&#10;sVvyO2UW2g3GR4bx6TS54TpZCCf63LIIHnnTZroOphJpTG7Z6UjDhUo96JY/buyunrxuH7zJ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OXo1izbAAAACwEAAA8AAAAAAAAAAQAgAAAAIgAAAGRycy9k&#10;b3ducmV2LnhtbFBLAQIUABQAAAAIAIdO4kDrmpiyqgIAADgFAAAOAAAAAAAAAAEAIAAAACoBAABk&#10;cnMvZTJvRG9jLnhtbFBLBQYAAAAABgAGAFkBAABGBgAAAAA=&#10;">
                      <v:fill on="t" focussize="0,0"/>
                      <v:stroke weight="1pt" color="#2E75B6 [2404]" miterlimit="8" joinstyle="miter"/>
                      <v:imagedata o:title=""/>
                      <o:lock v:ext="edit" aspectratio="f"/>
                    </v:shape>
                  </w:pict>
                </mc:Fallback>
              </mc:AlternateContent>
            </w:r>
          </w:p>
          <w:p w14:paraId="6A93992C">
            <w:pPr>
              <w:numPr>
                <w:ilvl w:val="0"/>
                <w:numId w:val="14"/>
              </w:numPr>
              <w:jc w:val="center"/>
              <w:rPr>
                <w:rFonts w:hint="eastAsia"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本项目周边环境噪声监测结果，单位：</w:t>
            </w:r>
            <w:r>
              <w:rPr>
                <w:rFonts w:hint="default" w:ascii="Times New Roman" w:hAnsi="Times New Roman" w:eastAsia="宋体" w:cs="Times New Roman"/>
                <w:b/>
                <w:bCs/>
                <w:color w:val="auto"/>
                <w:sz w:val="24"/>
                <w:highlight w:val="none"/>
                <w:lang w:val="en-US" w:eastAsia="zh-CN"/>
              </w:rPr>
              <w:t>dB</w:t>
            </w:r>
            <w:r>
              <w:rPr>
                <w:rFonts w:hint="eastAsia" w:ascii="Times New Roman" w:hAnsi="Times New Roman" w:eastAsia="宋体" w:cs="Times New Roman"/>
                <w:b/>
                <w:bCs/>
                <w:color w:val="auto"/>
                <w:sz w:val="24"/>
                <w:highlight w:val="none"/>
                <w:lang w:val="en-US" w:eastAsia="zh-CN"/>
              </w:rPr>
              <w:t>（</w:t>
            </w:r>
            <w:r>
              <w:rPr>
                <w:rFonts w:hint="default" w:ascii="Times New Roman" w:hAnsi="Times New Roman" w:eastAsia="宋体" w:cs="Times New Roman"/>
                <w:b/>
                <w:bCs/>
                <w:color w:val="auto"/>
                <w:sz w:val="24"/>
                <w:highlight w:val="none"/>
                <w:lang w:val="en-US" w:eastAsia="zh-CN"/>
              </w:rPr>
              <w:t>A</w:t>
            </w:r>
            <w:r>
              <w:rPr>
                <w:rFonts w:hint="eastAsia" w:ascii="Times New Roman" w:hAnsi="Times New Roman" w:eastAsia="宋体" w:cs="Times New Roman"/>
                <w:b/>
                <w:bCs/>
                <w:color w:val="auto"/>
                <w:sz w:val="24"/>
                <w:highlight w:val="none"/>
                <w:lang w:val="en-US" w:eastAsia="zh-CN"/>
              </w:rPr>
              <w:t>）</w:t>
            </w:r>
          </w:p>
          <w:tbl>
            <w:tblPr>
              <w:tblStyle w:val="24"/>
              <w:tblW w:w="79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1"/>
              <w:gridCol w:w="2884"/>
              <w:gridCol w:w="1983"/>
              <w:gridCol w:w="1983"/>
            </w:tblGrid>
            <w:tr w14:paraId="26F0E8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1" w:type="dxa"/>
                  <w:vMerge w:val="restart"/>
                  <w:vAlign w:val="center"/>
                </w:tcPr>
                <w:p w14:paraId="0109D2DB">
                  <w:pPr>
                    <w:spacing w:line="240" w:lineRule="auto"/>
                    <w:jc w:val="center"/>
                    <w:rPr>
                      <w:rFonts w:hint="default" w:ascii="Times New Roman" w:hAnsi="Times New Roman" w:eastAsia="宋体" w:cs="Times New Roman"/>
                      <w:b/>
                      <w:bCs/>
                      <w:color w:val="auto"/>
                      <w:sz w:val="24"/>
                      <w:highlight w:val="none"/>
                      <w:vertAlign w:val="baseline"/>
                      <w:lang w:val="en-US" w:eastAsia="zh-CN"/>
                    </w:rPr>
                  </w:pPr>
                  <w:r>
                    <w:rPr>
                      <w:rFonts w:hint="eastAsia" w:cs="Times New Roman"/>
                      <w:b/>
                      <w:bCs/>
                      <w:color w:val="auto"/>
                      <w:sz w:val="24"/>
                      <w:highlight w:val="none"/>
                      <w:vertAlign w:val="baseline"/>
                      <w:lang w:val="en-US" w:eastAsia="zh-CN"/>
                    </w:rPr>
                    <w:t>编号</w:t>
                  </w:r>
                </w:p>
              </w:tc>
              <w:tc>
                <w:tcPr>
                  <w:tcW w:w="2884" w:type="dxa"/>
                  <w:vMerge w:val="restart"/>
                  <w:vAlign w:val="center"/>
                </w:tcPr>
                <w:p w14:paraId="351FD528">
                  <w:pPr>
                    <w:spacing w:line="240" w:lineRule="auto"/>
                    <w:jc w:val="center"/>
                    <w:rPr>
                      <w:rFonts w:hint="default" w:ascii="Times New Roman" w:hAnsi="Times New Roman" w:eastAsia="宋体" w:cs="Times New Roman"/>
                      <w:b/>
                      <w:bCs/>
                      <w:color w:val="auto"/>
                      <w:sz w:val="24"/>
                      <w:highlight w:val="none"/>
                      <w:vertAlign w:val="baseline"/>
                      <w:lang w:val="en-US" w:eastAsia="zh-CN"/>
                    </w:rPr>
                  </w:pPr>
                  <w:r>
                    <w:rPr>
                      <w:rFonts w:hint="eastAsia" w:cs="Times New Roman"/>
                      <w:b/>
                      <w:bCs/>
                      <w:color w:val="auto"/>
                      <w:sz w:val="24"/>
                      <w:highlight w:val="none"/>
                      <w:vertAlign w:val="baseline"/>
                      <w:lang w:val="en-US" w:eastAsia="zh-CN"/>
                    </w:rPr>
                    <w:t>检测点位</w:t>
                  </w:r>
                </w:p>
              </w:tc>
              <w:tc>
                <w:tcPr>
                  <w:tcW w:w="1983" w:type="dxa"/>
                  <w:vAlign w:val="center"/>
                </w:tcPr>
                <w:p w14:paraId="2CC18382">
                  <w:pPr>
                    <w:spacing w:line="240" w:lineRule="auto"/>
                    <w:jc w:val="center"/>
                    <w:rPr>
                      <w:rFonts w:hint="default" w:ascii="Times New Roman" w:hAnsi="Times New Roman" w:eastAsia="宋体" w:cs="Times New Roman"/>
                      <w:b/>
                      <w:bCs/>
                      <w:color w:val="auto"/>
                      <w:sz w:val="24"/>
                      <w:highlight w:val="none"/>
                      <w:vertAlign w:val="baseline"/>
                      <w:lang w:val="en-US" w:eastAsia="zh-CN"/>
                    </w:rPr>
                  </w:pPr>
                  <w:r>
                    <w:rPr>
                      <w:rFonts w:hint="eastAsia" w:cs="Times New Roman"/>
                      <w:b/>
                      <w:bCs/>
                      <w:color w:val="auto"/>
                      <w:sz w:val="24"/>
                      <w:highlight w:val="none"/>
                      <w:vertAlign w:val="baseline"/>
                      <w:lang w:val="en-US" w:eastAsia="zh-CN"/>
                    </w:rPr>
                    <w:t>检测结果</w:t>
                  </w:r>
                </w:p>
              </w:tc>
              <w:tc>
                <w:tcPr>
                  <w:tcW w:w="1983" w:type="dxa"/>
                  <w:vAlign w:val="center"/>
                </w:tcPr>
                <w:p w14:paraId="10A767D4">
                  <w:pPr>
                    <w:spacing w:line="240" w:lineRule="auto"/>
                    <w:jc w:val="center"/>
                    <w:rPr>
                      <w:rFonts w:hint="default" w:ascii="Times New Roman" w:hAnsi="Times New Roman" w:eastAsia="宋体" w:cs="Times New Roman"/>
                      <w:b/>
                      <w:bCs/>
                      <w:color w:val="auto"/>
                      <w:sz w:val="24"/>
                      <w:highlight w:val="none"/>
                      <w:vertAlign w:val="baseline"/>
                      <w:lang w:val="en-US" w:eastAsia="zh-CN"/>
                    </w:rPr>
                  </w:pPr>
                  <w:r>
                    <w:rPr>
                      <w:rFonts w:hint="eastAsia" w:cs="Times New Roman"/>
                      <w:b/>
                      <w:bCs/>
                      <w:color w:val="auto"/>
                      <w:sz w:val="24"/>
                      <w:highlight w:val="none"/>
                      <w:vertAlign w:val="baseline"/>
                      <w:lang w:val="en-US" w:eastAsia="zh-CN"/>
                    </w:rPr>
                    <w:t>标准</w:t>
                  </w:r>
                </w:p>
              </w:tc>
            </w:tr>
            <w:tr w14:paraId="50B12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1" w:type="dxa"/>
                  <w:vMerge w:val="continue"/>
                  <w:vAlign w:val="center"/>
                </w:tcPr>
                <w:p w14:paraId="7D082F54">
                  <w:pPr>
                    <w:spacing w:line="240" w:lineRule="auto"/>
                    <w:jc w:val="center"/>
                    <w:rPr>
                      <w:rFonts w:hint="default" w:ascii="Times New Roman" w:hAnsi="Times New Roman" w:eastAsia="宋体" w:cs="Times New Roman"/>
                      <w:b/>
                      <w:bCs/>
                      <w:color w:val="auto"/>
                      <w:sz w:val="24"/>
                      <w:highlight w:val="none"/>
                      <w:vertAlign w:val="baseline"/>
                      <w:lang w:val="en-US" w:eastAsia="zh-CN"/>
                    </w:rPr>
                  </w:pPr>
                </w:p>
              </w:tc>
              <w:tc>
                <w:tcPr>
                  <w:tcW w:w="2884" w:type="dxa"/>
                  <w:vMerge w:val="continue"/>
                  <w:vAlign w:val="center"/>
                </w:tcPr>
                <w:p w14:paraId="7FA3D25B">
                  <w:pPr>
                    <w:spacing w:line="240" w:lineRule="auto"/>
                    <w:jc w:val="center"/>
                    <w:rPr>
                      <w:rFonts w:hint="default" w:ascii="Times New Roman" w:hAnsi="Times New Roman" w:eastAsia="宋体" w:cs="Times New Roman"/>
                      <w:b/>
                      <w:bCs/>
                      <w:color w:val="auto"/>
                      <w:sz w:val="24"/>
                      <w:highlight w:val="none"/>
                      <w:vertAlign w:val="baseline"/>
                      <w:lang w:val="en-US" w:eastAsia="zh-CN"/>
                    </w:rPr>
                  </w:pPr>
                </w:p>
              </w:tc>
              <w:tc>
                <w:tcPr>
                  <w:tcW w:w="1983" w:type="dxa"/>
                  <w:vAlign w:val="center"/>
                </w:tcPr>
                <w:p w14:paraId="080400A5">
                  <w:pPr>
                    <w:spacing w:line="240" w:lineRule="auto"/>
                    <w:jc w:val="center"/>
                    <w:rPr>
                      <w:rFonts w:hint="default" w:ascii="Times New Roman" w:hAnsi="Times New Roman" w:eastAsia="宋体" w:cs="Times New Roman"/>
                      <w:b/>
                      <w:bCs/>
                      <w:color w:val="auto"/>
                      <w:sz w:val="24"/>
                      <w:highlight w:val="none"/>
                      <w:vertAlign w:val="baseline"/>
                      <w:lang w:val="en-US" w:eastAsia="zh-CN"/>
                    </w:rPr>
                  </w:pPr>
                  <w:r>
                    <w:rPr>
                      <w:rFonts w:hint="eastAsia" w:cs="Times New Roman"/>
                      <w:b/>
                      <w:bCs/>
                      <w:color w:val="auto"/>
                      <w:sz w:val="24"/>
                      <w:highlight w:val="none"/>
                      <w:vertAlign w:val="baseline"/>
                      <w:lang w:val="en-US" w:eastAsia="zh-CN"/>
                    </w:rPr>
                    <w:t>昼间</w:t>
                  </w:r>
                </w:p>
              </w:tc>
              <w:tc>
                <w:tcPr>
                  <w:tcW w:w="1983" w:type="dxa"/>
                  <w:vAlign w:val="center"/>
                </w:tcPr>
                <w:p w14:paraId="2F92AFDB">
                  <w:pPr>
                    <w:spacing w:line="240" w:lineRule="auto"/>
                    <w:jc w:val="center"/>
                    <w:rPr>
                      <w:rFonts w:hint="default" w:ascii="Times New Roman" w:hAnsi="Times New Roman" w:eastAsia="宋体" w:cs="Times New Roman"/>
                      <w:b/>
                      <w:bCs/>
                      <w:color w:val="auto"/>
                      <w:sz w:val="24"/>
                      <w:highlight w:val="none"/>
                      <w:vertAlign w:val="baseline"/>
                      <w:lang w:val="en-US" w:eastAsia="zh-CN"/>
                    </w:rPr>
                  </w:pPr>
                  <w:r>
                    <w:rPr>
                      <w:rFonts w:hint="eastAsia" w:cs="Times New Roman"/>
                      <w:b/>
                      <w:bCs/>
                      <w:color w:val="auto"/>
                      <w:sz w:val="24"/>
                      <w:highlight w:val="none"/>
                      <w:vertAlign w:val="baseline"/>
                      <w:lang w:val="en-US" w:eastAsia="zh-CN"/>
                    </w:rPr>
                    <w:t>昼间</w:t>
                  </w:r>
                </w:p>
              </w:tc>
            </w:tr>
            <w:tr w14:paraId="1DA38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1" w:type="dxa"/>
                  <w:vAlign w:val="center"/>
                </w:tcPr>
                <w:p w14:paraId="13E162F2">
                  <w:pPr>
                    <w:spacing w:line="240" w:lineRule="auto"/>
                    <w:jc w:val="center"/>
                    <w:rPr>
                      <w:rFonts w:hint="default" w:ascii="Times New Roman" w:hAnsi="Times New Roman" w:eastAsia="宋体" w:cs="Times New Roman"/>
                      <w:color w:val="auto"/>
                      <w:sz w:val="24"/>
                      <w:highlight w:val="none"/>
                      <w:vertAlign w:val="baseline"/>
                      <w:lang w:val="en-US" w:eastAsia="zh-CN"/>
                    </w:rPr>
                  </w:pPr>
                  <w:r>
                    <w:rPr>
                      <w:rFonts w:hint="eastAsia" w:cs="Times New Roman"/>
                      <w:color w:val="auto"/>
                      <w:sz w:val="24"/>
                      <w:highlight w:val="none"/>
                      <w:vertAlign w:val="baseline"/>
                      <w:lang w:val="en-US" w:eastAsia="zh-CN"/>
                    </w:rPr>
                    <w:t>1</w:t>
                  </w:r>
                </w:p>
              </w:tc>
              <w:tc>
                <w:tcPr>
                  <w:tcW w:w="2884" w:type="dxa"/>
                  <w:shd w:val="clear" w:color="auto" w:fill="auto"/>
                  <w:vAlign w:val="center"/>
                </w:tcPr>
                <w:p w14:paraId="77BA5179">
                  <w:pPr>
                    <w:numPr>
                      <w:ilvl w:val="0"/>
                      <w:numId w:val="0"/>
                    </w:numPr>
                    <w:ind w:left="0" w:leftChars="0" w:firstLine="0" w:firstLineChars="0"/>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b w:val="0"/>
                      <w:bCs w:val="0"/>
                      <w:color w:val="auto"/>
                      <w:sz w:val="21"/>
                      <w:szCs w:val="21"/>
                      <w:vertAlign w:val="baseline"/>
                      <w:lang w:val="en-US" w:eastAsia="zh-CN"/>
                    </w:rPr>
                    <w:t>和平街小区十五区西侧外1m</w:t>
                  </w:r>
                </w:p>
              </w:tc>
              <w:tc>
                <w:tcPr>
                  <w:tcW w:w="1983" w:type="dxa"/>
                  <w:vAlign w:val="center"/>
                </w:tcPr>
                <w:p w14:paraId="67378261">
                  <w:pPr>
                    <w:spacing w:line="240" w:lineRule="auto"/>
                    <w:jc w:val="center"/>
                    <w:rPr>
                      <w:rFonts w:hint="default" w:ascii="Times New Roman" w:hAnsi="Times New Roman" w:eastAsia="宋体" w:cs="Times New Roman"/>
                      <w:color w:val="auto"/>
                      <w:sz w:val="24"/>
                      <w:highlight w:val="none"/>
                      <w:vertAlign w:val="baseline"/>
                      <w:lang w:val="en-US" w:eastAsia="zh-CN"/>
                    </w:rPr>
                  </w:pPr>
                </w:p>
              </w:tc>
              <w:tc>
                <w:tcPr>
                  <w:tcW w:w="1983" w:type="dxa"/>
                  <w:vAlign w:val="center"/>
                </w:tcPr>
                <w:p w14:paraId="1F26D577">
                  <w:pPr>
                    <w:spacing w:line="240" w:lineRule="auto"/>
                    <w:jc w:val="center"/>
                    <w:rPr>
                      <w:rFonts w:hint="default" w:ascii="Times New Roman" w:hAnsi="Times New Roman" w:eastAsia="宋体" w:cs="Times New Roman"/>
                      <w:color w:val="auto"/>
                      <w:sz w:val="24"/>
                      <w:highlight w:val="none"/>
                      <w:vertAlign w:val="baseline"/>
                      <w:lang w:val="en-US" w:eastAsia="zh-CN"/>
                    </w:rPr>
                  </w:pPr>
                  <w:r>
                    <w:rPr>
                      <w:rFonts w:hint="eastAsia" w:cs="Times New Roman"/>
                      <w:color w:val="auto"/>
                      <w:sz w:val="24"/>
                      <w:highlight w:val="none"/>
                      <w:vertAlign w:val="baseline"/>
                      <w:lang w:val="en-US" w:eastAsia="zh-CN"/>
                    </w:rPr>
                    <w:t>55</w:t>
                  </w:r>
                </w:p>
              </w:tc>
            </w:tr>
            <w:tr w14:paraId="40D18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1" w:type="dxa"/>
                  <w:vAlign w:val="center"/>
                </w:tcPr>
                <w:p w14:paraId="7A5D0754">
                  <w:pPr>
                    <w:spacing w:line="240" w:lineRule="auto"/>
                    <w:jc w:val="center"/>
                    <w:rPr>
                      <w:rFonts w:hint="default" w:ascii="Times New Roman" w:hAnsi="Times New Roman" w:eastAsia="宋体" w:cs="Times New Roman"/>
                      <w:color w:val="auto"/>
                      <w:sz w:val="24"/>
                      <w:highlight w:val="none"/>
                      <w:vertAlign w:val="baseline"/>
                      <w:lang w:val="en-US" w:eastAsia="zh-CN"/>
                    </w:rPr>
                  </w:pPr>
                  <w:r>
                    <w:rPr>
                      <w:rFonts w:hint="eastAsia" w:cs="Times New Roman"/>
                      <w:color w:val="auto"/>
                      <w:sz w:val="24"/>
                      <w:highlight w:val="none"/>
                      <w:vertAlign w:val="baseline"/>
                      <w:lang w:val="en-US" w:eastAsia="zh-CN"/>
                    </w:rPr>
                    <w:t>2</w:t>
                  </w:r>
                </w:p>
              </w:tc>
              <w:tc>
                <w:tcPr>
                  <w:tcW w:w="2884" w:type="dxa"/>
                  <w:shd w:val="clear" w:color="auto" w:fill="auto"/>
                  <w:vAlign w:val="center"/>
                </w:tcPr>
                <w:p w14:paraId="4BB041EC">
                  <w:pPr>
                    <w:numPr>
                      <w:ilvl w:val="0"/>
                      <w:numId w:val="0"/>
                    </w:numPr>
                    <w:ind w:left="0" w:leftChars="0" w:firstLine="0" w:firstLineChars="0"/>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cs="Times New Roman"/>
                      <w:b w:val="0"/>
                      <w:bCs w:val="0"/>
                      <w:color w:val="auto"/>
                      <w:sz w:val="21"/>
                      <w:szCs w:val="21"/>
                      <w:vertAlign w:val="baseline"/>
                      <w:lang w:val="en-US" w:eastAsia="zh-CN"/>
                    </w:rPr>
                    <w:t>煤科院家属楼东北侧外1m</w:t>
                  </w:r>
                </w:p>
              </w:tc>
              <w:tc>
                <w:tcPr>
                  <w:tcW w:w="1983" w:type="dxa"/>
                  <w:vAlign w:val="center"/>
                </w:tcPr>
                <w:p w14:paraId="64C0F276">
                  <w:pPr>
                    <w:spacing w:line="240" w:lineRule="auto"/>
                    <w:jc w:val="center"/>
                    <w:rPr>
                      <w:rFonts w:hint="default" w:ascii="Times New Roman" w:hAnsi="Times New Roman" w:eastAsia="宋体" w:cs="Times New Roman"/>
                      <w:color w:val="auto"/>
                      <w:sz w:val="24"/>
                      <w:highlight w:val="none"/>
                      <w:vertAlign w:val="baseline"/>
                      <w:lang w:val="en-US" w:eastAsia="zh-CN"/>
                    </w:rPr>
                  </w:pPr>
                </w:p>
              </w:tc>
              <w:tc>
                <w:tcPr>
                  <w:tcW w:w="1983" w:type="dxa"/>
                  <w:vAlign w:val="center"/>
                </w:tcPr>
                <w:p w14:paraId="4619C209">
                  <w:pPr>
                    <w:spacing w:line="240" w:lineRule="auto"/>
                    <w:jc w:val="center"/>
                    <w:rPr>
                      <w:rFonts w:hint="default" w:ascii="Times New Roman" w:hAnsi="Times New Roman" w:eastAsia="宋体" w:cs="Times New Roman"/>
                      <w:color w:val="auto"/>
                      <w:sz w:val="24"/>
                      <w:highlight w:val="none"/>
                      <w:vertAlign w:val="baseline"/>
                      <w:lang w:val="en-US" w:eastAsia="zh-CN"/>
                    </w:rPr>
                  </w:pPr>
                  <w:r>
                    <w:rPr>
                      <w:rFonts w:hint="eastAsia" w:cs="Times New Roman"/>
                      <w:color w:val="auto"/>
                      <w:sz w:val="24"/>
                      <w:highlight w:val="none"/>
                      <w:vertAlign w:val="baseline"/>
                      <w:lang w:val="en-US" w:eastAsia="zh-CN"/>
                    </w:rPr>
                    <w:t>55</w:t>
                  </w:r>
                </w:p>
              </w:tc>
            </w:tr>
            <w:tr w14:paraId="50467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1" w:type="dxa"/>
                  <w:vAlign w:val="center"/>
                </w:tcPr>
                <w:p w14:paraId="37379535">
                  <w:pPr>
                    <w:spacing w:line="240" w:lineRule="auto"/>
                    <w:jc w:val="center"/>
                    <w:rPr>
                      <w:rFonts w:hint="default" w:ascii="Times New Roman" w:hAnsi="Times New Roman" w:eastAsia="宋体" w:cs="Times New Roman"/>
                      <w:color w:val="auto"/>
                      <w:sz w:val="24"/>
                      <w:highlight w:val="none"/>
                      <w:vertAlign w:val="baseline"/>
                      <w:lang w:val="en-US" w:eastAsia="zh-CN"/>
                    </w:rPr>
                  </w:pPr>
                  <w:r>
                    <w:rPr>
                      <w:rFonts w:hint="eastAsia" w:cs="Times New Roman"/>
                      <w:color w:val="auto"/>
                      <w:sz w:val="24"/>
                      <w:highlight w:val="none"/>
                      <w:vertAlign w:val="baseline"/>
                      <w:lang w:val="en-US" w:eastAsia="zh-CN"/>
                    </w:rPr>
                    <w:t>3</w:t>
                  </w:r>
                </w:p>
              </w:tc>
              <w:tc>
                <w:tcPr>
                  <w:tcW w:w="2884" w:type="dxa"/>
                  <w:shd w:val="clear" w:color="auto" w:fill="auto"/>
                  <w:vAlign w:val="center"/>
                </w:tcPr>
                <w:p w14:paraId="3FFAFA3C">
                  <w:pPr>
                    <w:numPr>
                      <w:ilvl w:val="0"/>
                      <w:numId w:val="0"/>
                    </w:numPr>
                    <w:ind w:left="0" w:leftChars="0" w:firstLine="0" w:firstLineChars="0"/>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cs="Times New Roman"/>
                      <w:b w:val="0"/>
                      <w:bCs w:val="0"/>
                      <w:color w:val="auto"/>
                      <w:sz w:val="21"/>
                      <w:szCs w:val="21"/>
                      <w:vertAlign w:val="baseline"/>
                      <w:lang w:val="en-US" w:eastAsia="zh-CN"/>
                    </w:rPr>
                    <w:t>煤科院宾馆北侧外1m</w:t>
                  </w:r>
                </w:p>
              </w:tc>
              <w:tc>
                <w:tcPr>
                  <w:tcW w:w="1983" w:type="dxa"/>
                  <w:vAlign w:val="center"/>
                </w:tcPr>
                <w:p w14:paraId="5D06354A">
                  <w:pPr>
                    <w:spacing w:line="240" w:lineRule="auto"/>
                    <w:jc w:val="center"/>
                    <w:rPr>
                      <w:rFonts w:hint="default" w:ascii="Times New Roman" w:hAnsi="Times New Roman" w:eastAsia="宋体" w:cs="Times New Roman"/>
                      <w:color w:val="auto"/>
                      <w:sz w:val="24"/>
                      <w:highlight w:val="none"/>
                      <w:vertAlign w:val="baseline"/>
                      <w:lang w:val="en-US" w:eastAsia="zh-CN"/>
                    </w:rPr>
                  </w:pPr>
                </w:p>
              </w:tc>
              <w:tc>
                <w:tcPr>
                  <w:tcW w:w="1983" w:type="dxa"/>
                  <w:vAlign w:val="center"/>
                </w:tcPr>
                <w:p w14:paraId="57FC1D00">
                  <w:pPr>
                    <w:spacing w:line="240" w:lineRule="auto"/>
                    <w:jc w:val="center"/>
                    <w:rPr>
                      <w:rFonts w:hint="default" w:ascii="Times New Roman" w:hAnsi="Times New Roman" w:eastAsia="宋体" w:cs="Times New Roman"/>
                      <w:color w:val="auto"/>
                      <w:sz w:val="24"/>
                      <w:highlight w:val="none"/>
                      <w:vertAlign w:val="baseline"/>
                      <w:lang w:val="en-US" w:eastAsia="zh-CN"/>
                    </w:rPr>
                  </w:pPr>
                  <w:r>
                    <w:rPr>
                      <w:rFonts w:hint="eastAsia" w:cs="Times New Roman"/>
                      <w:color w:val="auto"/>
                      <w:sz w:val="24"/>
                      <w:highlight w:val="none"/>
                      <w:vertAlign w:val="baseline"/>
                      <w:lang w:val="en-US" w:eastAsia="zh-CN"/>
                    </w:rPr>
                    <w:t>55</w:t>
                  </w:r>
                </w:p>
              </w:tc>
            </w:tr>
          </w:tbl>
          <w:p w14:paraId="1E0DAF49">
            <w:pPr>
              <w:pStyle w:val="20"/>
              <w:numPr>
                <w:ilvl w:val="0"/>
                <w:numId w:val="0"/>
              </w:numPr>
              <w:adjustRightInd w:val="0"/>
              <w:snapToGrid w:val="0"/>
              <w:spacing w:before="0" w:beforeAutospacing="0" w:after="0" w:afterAutospacing="0" w:line="360" w:lineRule="auto"/>
              <w:rPr>
                <w:rFonts w:hint="default" w:ascii="Times New Roman" w:hAnsi="Times New Roman" w:eastAsia="宋体" w:cs="Times New Roman"/>
                <w:b/>
                <w:bCs/>
                <w:color w:val="auto"/>
                <w:szCs w:val="24"/>
                <w:highlight w:val="none"/>
              </w:rPr>
            </w:pPr>
            <w:r>
              <w:rPr>
                <w:rFonts w:hint="eastAsia" w:ascii="Times New Roman" w:hAnsi="Times New Roman" w:cs="Times New Roman"/>
                <w:b/>
                <w:bCs/>
                <w:color w:val="auto"/>
                <w:szCs w:val="24"/>
                <w:highlight w:val="none"/>
                <w:lang w:val="en-US" w:eastAsia="zh-CN"/>
              </w:rPr>
              <w:t>四、</w:t>
            </w:r>
            <w:r>
              <w:rPr>
                <w:rFonts w:hint="default" w:ascii="Times New Roman" w:hAnsi="Times New Roman" w:eastAsia="宋体" w:cs="Times New Roman"/>
                <w:b/>
                <w:bCs/>
                <w:color w:val="auto"/>
                <w:szCs w:val="24"/>
                <w:highlight w:val="none"/>
              </w:rPr>
              <w:t>生态环境</w:t>
            </w:r>
          </w:p>
          <w:p w14:paraId="76E61D6D">
            <w:pPr>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本项目位于现有产业园区内，不新增占地，根据《建设项目环境影响报告表编制技术指南（污染影响类）（试行）》，可不进行生态现状调查。</w:t>
            </w:r>
          </w:p>
          <w:p w14:paraId="7503D6DB">
            <w:pPr>
              <w:pStyle w:val="20"/>
              <w:numPr>
                <w:ilvl w:val="0"/>
                <w:numId w:val="0"/>
              </w:numPr>
              <w:adjustRightInd w:val="0"/>
              <w:snapToGrid w:val="0"/>
              <w:spacing w:before="0" w:beforeAutospacing="0" w:after="0" w:afterAutospacing="0" w:line="360" w:lineRule="auto"/>
              <w:rPr>
                <w:rFonts w:hint="default" w:ascii="Times New Roman" w:hAnsi="Times New Roman" w:eastAsia="宋体" w:cs="Times New Roman"/>
                <w:b/>
                <w:color w:val="auto"/>
                <w:szCs w:val="24"/>
                <w:highlight w:val="none"/>
              </w:rPr>
            </w:pPr>
            <w:r>
              <w:rPr>
                <w:rFonts w:hint="eastAsia" w:ascii="Times New Roman" w:hAnsi="Times New Roman" w:cs="Times New Roman"/>
                <w:b/>
                <w:bCs/>
                <w:color w:val="auto"/>
                <w:szCs w:val="24"/>
                <w:highlight w:val="none"/>
                <w:lang w:val="en-US" w:eastAsia="zh-CN"/>
              </w:rPr>
              <w:t>五、</w:t>
            </w:r>
            <w:r>
              <w:rPr>
                <w:rFonts w:hint="default" w:ascii="Times New Roman" w:hAnsi="Times New Roman" w:eastAsia="宋体" w:cs="Times New Roman"/>
                <w:b/>
                <w:bCs/>
                <w:color w:val="auto"/>
                <w:szCs w:val="24"/>
                <w:highlight w:val="none"/>
              </w:rPr>
              <w:t>地下水</w:t>
            </w:r>
            <w:r>
              <w:rPr>
                <w:rFonts w:hint="default" w:ascii="Times New Roman" w:hAnsi="Times New Roman" w:eastAsia="宋体" w:cs="Times New Roman"/>
                <w:b/>
                <w:color w:val="auto"/>
                <w:szCs w:val="24"/>
                <w:highlight w:val="none"/>
              </w:rPr>
              <w:t>、土壤环境</w:t>
            </w:r>
          </w:p>
          <w:p w14:paraId="3DC95CB9">
            <w:pPr>
              <w:adjustRightInd w:val="0"/>
              <w:snapToGrid w:val="0"/>
              <w:spacing w:line="360" w:lineRule="auto"/>
              <w:ind w:firstLine="480" w:firstLineChars="200"/>
              <w:rPr>
                <w:rFonts w:hint="default" w:ascii="Times New Roman" w:hAnsi="Times New Roman" w:eastAsia="宋体" w:cs="Times New Roman"/>
                <w:color w:val="auto"/>
                <w:sz w:val="24"/>
                <w:szCs w:val="32"/>
                <w:highlight w:val="none"/>
              </w:rPr>
            </w:pPr>
            <w:r>
              <w:rPr>
                <w:rStyle w:val="31"/>
                <w:rFonts w:hint="default" w:ascii="Times New Roman" w:hAnsi="Times New Roman" w:eastAsia="宋体" w:cs="Times New Roman"/>
                <w:color w:val="auto"/>
                <w:highlight w:val="none"/>
              </w:rPr>
              <w:t>根据北京市朝阳区人民政府《关于公布北京市朝阳区饮用水水源保护区范围的通知》（朝政发〔2025〕2号），本项目不在各级地下水源保护区及准保护区范围内，其500m范围内没有地下水集中式饮用水水源和热水、矿泉水、温泉等特殊地下水资源。项目危险废物暂存间地面采取防渗措施。项目不存在污染地下水及土壤的途径，在保障各项措施效果的情况下，不会对地下水及土壤造成环境污染。项目不需开展地下水、土壤环境现状调查。</w:t>
            </w:r>
          </w:p>
        </w:tc>
      </w:tr>
      <w:tr w14:paraId="1E8E8F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0" w:type="dxa"/>
            <w:vAlign w:val="center"/>
          </w:tcPr>
          <w:p w14:paraId="74F7D1DF">
            <w:pPr>
              <w:adjustRightInd w:val="0"/>
              <w:snapToGrid w:val="0"/>
              <w:jc w:val="center"/>
              <w:rPr>
                <w:rFonts w:hint="default" w:ascii="Times New Roman" w:hAnsi="Times New Roman" w:eastAsia="宋体" w:cs="Times New Roman"/>
                <w:color w:val="auto"/>
                <w:kern w:val="0"/>
                <w:sz w:val="24"/>
                <w:highlight w:val="none"/>
              </w:rPr>
            </w:pPr>
            <w:r>
              <w:rPr>
                <w:rFonts w:hint="default" w:ascii="Times New Roman" w:hAnsi="Times New Roman" w:eastAsia="宋体" w:cs="Times New Roman"/>
                <w:color w:val="auto"/>
                <w:kern w:val="0"/>
                <w:sz w:val="24"/>
                <w:highlight w:val="none"/>
              </w:rPr>
              <w:t>环境保护目标</w:t>
            </w:r>
          </w:p>
        </w:tc>
        <w:tc>
          <w:tcPr>
            <w:tcW w:w="8147" w:type="dxa"/>
            <w:vAlign w:val="center"/>
          </w:tcPr>
          <w:p w14:paraId="623B3C0A">
            <w:pPr>
              <w:pStyle w:val="20"/>
              <w:numPr>
                <w:ilvl w:val="0"/>
                <w:numId w:val="15"/>
              </w:numPr>
              <w:adjustRightInd w:val="0"/>
              <w:snapToGrid w:val="0"/>
              <w:spacing w:before="0" w:beforeAutospacing="0" w:after="0" w:afterAutospacing="0" w:line="360" w:lineRule="auto"/>
              <w:rPr>
                <w:rFonts w:hint="default" w:ascii="Times New Roman" w:hAnsi="Times New Roman" w:eastAsia="宋体" w:cs="Times New Roman"/>
                <w:color w:val="auto"/>
                <w:sz w:val="32"/>
                <w:szCs w:val="22"/>
                <w:highlight w:val="none"/>
              </w:rPr>
            </w:pPr>
            <w:r>
              <w:rPr>
                <w:rFonts w:hint="default" w:ascii="Times New Roman" w:hAnsi="Times New Roman" w:eastAsia="宋体" w:cs="Times New Roman"/>
                <w:b/>
                <w:bCs/>
                <w:color w:val="auto"/>
                <w:szCs w:val="24"/>
                <w:highlight w:val="none"/>
              </w:rPr>
              <w:t>大气</w:t>
            </w:r>
            <w:r>
              <w:rPr>
                <w:rFonts w:hint="default" w:ascii="Times New Roman" w:hAnsi="Times New Roman" w:eastAsia="宋体" w:cs="Times New Roman"/>
                <w:b/>
                <w:bCs/>
                <w:color w:val="auto"/>
                <w:sz w:val="22"/>
                <w:szCs w:val="22"/>
                <w:highlight w:val="none"/>
                <w:lang w:bidi="ar"/>
              </w:rPr>
              <w:t>环境</w:t>
            </w:r>
          </w:p>
          <w:p w14:paraId="157B385B">
            <w:pPr>
              <w:adjustRightInd w:val="0"/>
              <w:spacing w:line="360" w:lineRule="auto"/>
              <w:ind w:firstLine="480" w:firstLineChars="200"/>
              <w:rPr>
                <w:rFonts w:hint="default" w:ascii="Times New Roman" w:hAnsi="Times New Roman" w:eastAsia="宋体" w:cs="Times New Roman"/>
                <w:color w:val="auto"/>
                <w:sz w:val="24"/>
                <w:szCs w:val="32"/>
                <w:highlight w:val="none"/>
                <w:lang w:val="en-US"/>
              </w:rPr>
            </w:pPr>
            <w:r>
              <w:rPr>
                <w:rFonts w:hint="eastAsia" w:cs="Times New Roman"/>
                <w:color w:val="auto"/>
                <w:sz w:val="24"/>
                <w:szCs w:val="32"/>
                <w:highlight w:val="none"/>
                <w:lang w:val="en-US" w:eastAsia="zh-CN"/>
              </w:rPr>
              <w:t>本</w:t>
            </w:r>
            <w:r>
              <w:rPr>
                <w:rFonts w:hint="default" w:ascii="Times New Roman" w:hAnsi="Times New Roman" w:eastAsia="宋体" w:cs="Times New Roman"/>
                <w:color w:val="auto"/>
                <w:sz w:val="24"/>
                <w:szCs w:val="32"/>
                <w:highlight w:val="none"/>
                <w:lang w:val="en-US" w:eastAsia="zh-CN"/>
              </w:rPr>
              <w:t>项目厂界外500m范围内无风景名胜区、自然保护区等保护目标，厂界外500m范围内大气环境保护目标</w:t>
            </w:r>
            <w:r>
              <w:rPr>
                <w:rFonts w:hint="eastAsia" w:ascii="Times New Roman" w:hAnsi="Times New Roman" w:eastAsia="宋体" w:cs="Times New Roman"/>
                <w:color w:val="auto"/>
                <w:sz w:val="24"/>
                <w:szCs w:val="32"/>
                <w:highlight w:val="none"/>
                <w:lang w:val="en-US" w:eastAsia="zh-CN"/>
              </w:rPr>
              <w:t>见下表</w:t>
            </w:r>
            <w:r>
              <w:rPr>
                <w:rFonts w:hint="eastAsia" w:cs="Times New Roman"/>
                <w:color w:val="auto"/>
                <w:sz w:val="24"/>
                <w:szCs w:val="32"/>
                <w:highlight w:val="none"/>
                <w:lang w:val="en-US" w:eastAsia="zh-CN"/>
              </w:rPr>
              <w:t>，周边敏感目标分布图见附图4</w:t>
            </w:r>
            <w:r>
              <w:rPr>
                <w:rFonts w:hint="eastAsia" w:ascii="Times New Roman" w:hAnsi="Times New Roman" w:eastAsia="宋体" w:cs="Times New Roman"/>
                <w:color w:val="auto"/>
                <w:sz w:val="24"/>
                <w:szCs w:val="32"/>
                <w:highlight w:val="none"/>
                <w:lang w:val="en-US" w:eastAsia="zh-CN"/>
              </w:rPr>
              <w:t>。</w:t>
            </w:r>
          </w:p>
          <w:p w14:paraId="21B0FB3E">
            <w:pPr>
              <w:numPr>
                <w:ilvl w:val="0"/>
                <w:numId w:val="14"/>
              </w:numPr>
              <w:jc w:val="center"/>
              <w:rPr>
                <w:color w:val="auto"/>
              </w:rPr>
            </w:pPr>
            <w:r>
              <w:rPr>
                <w:rFonts w:hint="eastAsia" w:ascii="宋体" w:hAnsi="宋体" w:cs="宋体"/>
                <w:b/>
                <w:bCs/>
                <w:color w:val="auto"/>
                <w:kern w:val="0"/>
                <w:sz w:val="24"/>
                <w:szCs w:val="24"/>
                <w:lang w:val="en-US" w:eastAsia="zh-CN" w:bidi="ar"/>
              </w:rPr>
              <w:t>大气</w:t>
            </w:r>
            <w:r>
              <w:rPr>
                <w:rFonts w:hint="eastAsia" w:ascii="宋体" w:hAnsi="宋体" w:eastAsia="宋体" w:cs="宋体"/>
                <w:b/>
                <w:bCs/>
                <w:color w:val="auto"/>
                <w:kern w:val="0"/>
                <w:sz w:val="24"/>
                <w:szCs w:val="24"/>
                <w:lang w:val="en-US" w:eastAsia="zh-CN" w:bidi="ar"/>
              </w:rPr>
              <w:t>环境保护目标一览表</w:t>
            </w:r>
          </w:p>
          <w:tbl>
            <w:tblPr>
              <w:tblStyle w:val="24"/>
              <w:tblW w:w="7931" w:type="dxa"/>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2314"/>
              <w:gridCol w:w="893"/>
              <w:gridCol w:w="1080"/>
              <w:gridCol w:w="1213"/>
              <w:gridCol w:w="1330"/>
            </w:tblGrid>
            <w:tr w14:paraId="510820D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101" w:type="dxa"/>
                  <w:tcBorders>
                    <w:tl2br w:val="nil"/>
                    <w:tr2bl w:val="nil"/>
                  </w:tcBorders>
                  <w:vAlign w:val="center"/>
                </w:tcPr>
                <w:p w14:paraId="1DE658D5">
                  <w:pPr>
                    <w:keepNext w:val="0"/>
                    <w:keepLines w:val="0"/>
                    <w:widowControl/>
                    <w:suppressLineNumbers w:val="0"/>
                    <w:jc w:val="center"/>
                    <w:rPr>
                      <w:b/>
                      <w:bCs/>
                      <w:color w:val="auto"/>
                      <w:sz w:val="21"/>
                      <w:szCs w:val="21"/>
                    </w:rPr>
                  </w:pPr>
                  <w:r>
                    <w:rPr>
                      <w:rFonts w:hint="eastAsia" w:ascii="宋体" w:hAnsi="宋体" w:eastAsia="宋体" w:cs="宋体"/>
                      <w:b/>
                      <w:bCs/>
                      <w:color w:val="auto"/>
                      <w:kern w:val="0"/>
                      <w:sz w:val="21"/>
                      <w:szCs w:val="21"/>
                      <w:lang w:val="en-US" w:eastAsia="zh-CN" w:bidi="ar"/>
                    </w:rPr>
                    <w:t>环境保护</w:t>
                  </w:r>
                </w:p>
                <w:p w14:paraId="1EC81098">
                  <w:pPr>
                    <w:keepNext w:val="0"/>
                    <w:keepLines w:val="0"/>
                    <w:widowControl/>
                    <w:suppressLineNumbers w:val="0"/>
                    <w:jc w:val="center"/>
                    <w:rPr>
                      <w:b/>
                      <w:bCs/>
                      <w:color w:val="auto"/>
                      <w:sz w:val="21"/>
                      <w:szCs w:val="21"/>
                      <w:vertAlign w:val="baseline"/>
                    </w:rPr>
                  </w:pPr>
                  <w:r>
                    <w:rPr>
                      <w:rFonts w:hint="eastAsia" w:ascii="宋体" w:hAnsi="宋体" w:eastAsia="宋体" w:cs="宋体"/>
                      <w:b/>
                      <w:bCs/>
                      <w:color w:val="auto"/>
                      <w:kern w:val="0"/>
                      <w:sz w:val="21"/>
                      <w:szCs w:val="21"/>
                      <w:lang w:val="en-US" w:eastAsia="zh-CN" w:bidi="ar"/>
                    </w:rPr>
                    <w:t>要素</w:t>
                  </w:r>
                </w:p>
              </w:tc>
              <w:tc>
                <w:tcPr>
                  <w:tcW w:w="2314" w:type="dxa"/>
                  <w:tcBorders>
                    <w:tl2br w:val="nil"/>
                    <w:tr2bl w:val="nil"/>
                  </w:tcBorders>
                  <w:vAlign w:val="center"/>
                </w:tcPr>
                <w:p w14:paraId="24161B7F">
                  <w:pPr>
                    <w:numPr>
                      <w:ilvl w:val="0"/>
                      <w:numId w:val="0"/>
                    </w:numPr>
                    <w:jc w:val="center"/>
                    <w:rPr>
                      <w:b/>
                      <w:bCs/>
                      <w:color w:val="auto"/>
                      <w:sz w:val="21"/>
                      <w:szCs w:val="21"/>
                      <w:vertAlign w:val="baseline"/>
                    </w:rPr>
                  </w:pPr>
                  <w:r>
                    <w:rPr>
                      <w:rFonts w:hint="eastAsia" w:ascii="宋体" w:hAnsi="宋体" w:eastAsia="宋体" w:cs="宋体"/>
                      <w:b/>
                      <w:bCs/>
                      <w:color w:val="auto"/>
                      <w:kern w:val="0"/>
                      <w:sz w:val="21"/>
                      <w:szCs w:val="21"/>
                      <w:lang w:val="en-US" w:eastAsia="zh-CN" w:bidi="ar"/>
                    </w:rPr>
                    <w:t>环境保护目标</w:t>
                  </w:r>
                </w:p>
              </w:tc>
              <w:tc>
                <w:tcPr>
                  <w:tcW w:w="893" w:type="dxa"/>
                  <w:tcBorders>
                    <w:tl2br w:val="nil"/>
                    <w:tr2bl w:val="nil"/>
                  </w:tcBorders>
                  <w:vAlign w:val="center"/>
                </w:tcPr>
                <w:p w14:paraId="6CB9A5C6">
                  <w:pPr>
                    <w:numPr>
                      <w:ilvl w:val="0"/>
                      <w:numId w:val="0"/>
                    </w:numPr>
                    <w:jc w:val="center"/>
                    <w:rPr>
                      <w:b/>
                      <w:bCs/>
                      <w:color w:val="auto"/>
                      <w:sz w:val="21"/>
                      <w:szCs w:val="21"/>
                      <w:vertAlign w:val="baseline"/>
                    </w:rPr>
                  </w:pPr>
                  <w:r>
                    <w:rPr>
                      <w:rFonts w:hint="eastAsia" w:ascii="宋体" w:hAnsi="宋体" w:eastAsia="宋体" w:cs="宋体"/>
                      <w:b/>
                      <w:bCs/>
                      <w:color w:val="auto"/>
                      <w:kern w:val="0"/>
                      <w:sz w:val="21"/>
                      <w:szCs w:val="21"/>
                      <w:lang w:val="en-US" w:eastAsia="zh-CN" w:bidi="ar"/>
                    </w:rPr>
                    <w:t>方位</w:t>
                  </w:r>
                </w:p>
              </w:tc>
              <w:tc>
                <w:tcPr>
                  <w:tcW w:w="1080" w:type="dxa"/>
                  <w:tcBorders>
                    <w:tl2br w:val="nil"/>
                    <w:tr2bl w:val="nil"/>
                  </w:tcBorders>
                  <w:vAlign w:val="center"/>
                </w:tcPr>
                <w:p w14:paraId="3E23FBE4">
                  <w:pPr>
                    <w:numPr>
                      <w:ilvl w:val="0"/>
                      <w:numId w:val="0"/>
                    </w:numPr>
                    <w:jc w:val="center"/>
                    <w:rPr>
                      <w:rFonts w:hint="default" w:ascii="宋体" w:hAnsi="宋体" w:eastAsia="宋体" w:cs="宋体"/>
                      <w:b/>
                      <w:bCs/>
                      <w:color w:val="auto"/>
                      <w:kern w:val="0"/>
                      <w:sz w:val="21"/>
                      <w:szCs w:val="21"/>
                      <w:lang w:val="en-US" w:eastAsia="zh-CN" w:bidi="ar"/>
                    </w:rPr>
                  </w:pPr>
                  <w:r>
                    <w:rPr>
                      <w:rFonts w:hint="eastAsia" w:ascii="宋体" w:hAnsi="宋体" w:eastAsia="宋体" w:cs="宋体"/>
                      <w:b/>
                      <w:bCs/>
                      <w:color w:val="auto"/>
                      <w:kern w:val="0"/>
                      <w:sz w:val="21"/>
                      <w:szCs w:val="21"/>
                      <w:lang w:val="en-US" w:eastAsia="zh-CN" w:bidi="ar"/>
                    </w:rPr>
                    <w:t>距离</w:t>
                  </w:r>
                  <w:r>
                    <w:rPr>
                      <w:rFonts w:hint="eastAsia" w:ascii="宋体" w:hAnsi="宋体" w:cs="宋体"/>
                      <w:b/>
                      <w:bCs/>
                      <w:color w:val="auto"/>
                      <w:kern w:val="0"/>
                      <w:sz w:val="21"/>
                      <w:szCs w:val="21"/>
                      <w:lang w:val="en-US" w:eastAsia="zh-CN" w:bidi="ar"/>
                    </w:rPr>
                    <w:t>，m</w:t>
                  </w:r>
                </w:p>
              </w:tc>
              <w:tc>
                <w:tcPr>
                  <w:tcW w:w="1213" w:type="dxa"/>
                  <w:tcBorders>
                    <w:tl2br w:val="nil"/>
                    <w:tr2bl w:val="nil"/>
                  </w:tcBorders>
                  <w:vAlign w:val="center"/>
                </w:tcPr>
                <w:p w14:paraId="72E13D4E">
                  <w:pPr>
                    <w:numPr>
                      <w:ilvl w:val="0"/>
                      <w:numId w:val="0"/>
                    </w:numPr>
                    <w:jc w:val="center"/>
                    <w:rPr>
                      <w:b/>
                      <w:bCs/>
                      <w:color w:val="auto"/>
                      <w:sz w:val="21"/>
                      <w:szCs w:val="21"/>
                      <w:vertAlign w:val="baseline"/>
                    </w:rPr>
                  </w:pPr>
                  <w:r>
                    <w:rPr>
                      <w:rFonts w:hint="eastAsia" w:ascii="宋体" w:hAnsi="宋体" w:eastAsia="宋体" w:cs="宋体"/>
                      <w:b/>
                      <w:bCs/>
                      <w:color w:val="auto"/>
                      <w:kern w:val="0"/>
                      <w:sz w:val="21"/>
                      <w:szCs w:val="21"/>
                      <w:lang w:val="en-US" w:eastAsia="zh-CN" w:bidi="ar"/>
                    </w:rPr>
                    <w:t>保护对象</w:t>
                  </w:r>
                </w:p>
              </w:tc>
              <w:tc>
                <w:tcPr>
                  <w:tcW w:w="1330" w:type="dxa"/>
                  <w:tcBorders>
                    <w:tl2br w:val="nil"/>
                    <w:tr2bl w:val="nil"/>
                  </w:tcBorders>
                  <w:vAlign w:val="center"/>
                </w:tcPr>
                <w:p w14:paraId="06042FBB">
                  <w:pPr>
                    <w:keepNext w:val="0"/>
                    <w:keepLines w:val="0"/>
                    <w:widowControl/>
                    <w:suppressLineNumbers w:val="0"/>
                    <w:jc w:val="center"/>
                    <w:rPr>
                      <w:b/>
                      <w:bCs/>
                      <w:color w:val="auto"/>
                      <w:sz w:val="21"/>
                      <w:szCs w:val="21"/>
                      <w:vertAlign w:val="baseline"/>
                    </w:rPr>
                  </w:pPr>
                  <w:r>
                    <w:rPr>
                      <w:rFonts w:hint="eastAsia" w:ascii="宋体" w:hAnsi="宋体" w:eastAsia="宋体" w:cs="宋体"/>
                      <w:b/>
                      <w:bCs/>
                      <w:color w:val="auto"/>
                      <w:kern w:val="0"/>
                      <w:sz w:val="21"/>
                      <w:szCs w:val="21"/>
                      <w:lang w:val="en-US" w:eastAsia="zh-CN" w:bidi="ar"/>
                    </w:rPr>
                    <w:t>保护级别</w:t>
                  </w:r>
                </w:p>
              </w:tc>
            </w:tr>
            <w:tr w14:paraId="2AE77A7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101" w:type="dxa"/>
                  <w:vMerge w:val="restart"/>
                  <w:tcBorders>
                    <w:tl2br w:val="nil"/>
                    <w:tr2bl w:val="nil"/>
                  </w:tcBorders>
                  <w:vAlign w:val="center"/>
                </w:tcPr>
                <w:p w14:paraId="6A0C1FF0">
                  <w:pPr>
                    <w:numPr>
                      <w:ilvl w:val="0"/>
                      <w:numId w:val="0"/>
                    </w:numPr>
                    <w:jc w:val="center"/>
                    <w:rPr>
                      <w:rFonts w:hint="eastAsia"/>
                      <w:b w:val="0"/>
                      <w:bCs w:val="0"/>
                      <w:color w:val="auto"/>
                      <w:sz w:val="21"/>
                      <w:szCs w:val="21"/>
                      <w:vertAlign w:val="baseline"/>
                      <w:lang w:val="en-US" w:eastAsia="zh-CN"/>
                    </w:rPr>
                  </w:pPr>
                  <w:r>
                    <w:rPr>
                      <w:rFonts w:hint="eastAsia"/>
                      <w:b w:val="0"/>
                      <w:bCs w:val="0"/>
                      <w:color w:val="auto"/>
                      <w:sz w:val="21"/>
                      <w:szCs w:val="21"/>
                      <w:vertAlign w:val="baseline"/>
                      <w:lang w:val="en-US" w:eastAsia="zh-CN"/>
                    </w:rPr>
                    <w:t>大气环境</w:t>
                  </w:r>
                </w:p>
              </w:tc>
              <w:tc>
                <w:tcPr>
                  <w:tcW w:w="2314" w:type="dxa"/>
                  <w:tcBorders>
                    <w:tl2br w:val="nil"/>
                    <w:tr2bl w:val="nil"/>
                  </w:tcBorders>
                  <w:vAlign w:val="center"/>
                </w:tcPr>
                <w:p w14:paraId="1334DF78">
                  <w:pPr>
                    <w:numPr>
                      <w:ilvl w:val="0"/>
                      <w:numId w:val="0"/>
                    </w:numPr>
                    <w:jc w:val="center"/>
                    <w:rPr>
                      <w:rFonts w:hint="default"/>
                      <w:b w:val="0"/>
                      <w:bCs w:val="0"/>
                      <w:color w:val="auto"/>
                      <w:sz w:val="21"/>
                      <w:szCs w:val="21"/>
                      <w:vertAlign w:val="baseline"/>
                      <w:lang w:val="en-US" w:eastAsia="zh-CN"/>
                    </w:rPr>
                  </w:pPr>
                  <w:r>
                    <w:rPr>
                      <w:rFonts w:hint="eastAsia"/>
                      <w:b w:val="0"/>
                      <w:bCs w:val="0"/>
                      <w:color w:val="auto"/>
                      <w:sz w:val="21"/>
                      <w:szCs w:val="21"/>
                      <w:vertAlign w:val="baseline"/>
                      <w:lang w:val="en-US" w:eastAsia="zh-CN"/>
                    </w:rPr>
                    <w:t>和平街小区十一区</w:t>
                  </w:r>
                </w:p>
              </w:tc>
              <w:tc>
                <w:tcPr>
                  <w:tcW w:w="893" w:type="dxa"/>
                  <w:tcBorders>
                    <w:tl2br w:val="nil"/>
                    <w:tr2bl w:val="nil"/>
                  </w:tcBorders>
                  <w:vAlign w:val="center"/>
                </w:tcPr>
                <w:p w14:paraId="3AA0B39D">
                  <w:pPr>
                    <w:numPr>
                      <w:ilvl w:val="0"/>
                      <w:numId w:val="0"/>
                    </w:numPr>
                    <w:jc w:val="center"/>
                    <w:rPr>
                      <w:rFonts w:hint="default"/>
                      <w:b w:val="0"/>
                      <w:bCs w:val="0"/>
                      <w:color w:val="auto"/>
                      <w:sz w:val="21"/>
                      <w:szCs w:val="21"/>
                      <w:vertAlign w:val="baseline"/>
                      <w:lang w:val="en-US" w:eastAsia="zh-CN"/>
                    </w:rPr>
                  </w:pPr>
                  <w:r>
                    <w:rPr>
                      <w:rFonts w:hint="eastAsia"/>
                      <w:b w:val="0"/>
                      <w:bCs w:val="0"/>
                      <w:color w:val="auto"/>
                      <w:sz w:val="21"/>
                      <w:szCs w:val="21"/>
                      <w:vertAlign w:val="baseline"/>
                      <w:lang w:val="en-US" w:eastAsia="zh-CN"/>
                    </w:rPr>
                    <w:t>西北</w:t>
                  </w:r>
                </w:p>
              </w:tc>
              <w:tc>
                <w:tcPr>
                  <w:tcW w:w="1080" w:type="dxa"/>
                  <w:tcBorders>
                    <w:tl2br w:val="nil"/>
                    <w:tr2bl w:val="nil"/>
                  </w:tcBorders>
                  <w:vAlign w:val="center"/>
                </w:tcPr>
                <w:p w14:paraId="3F0BEABE">
                  <w:pPr>
                    <w:numPr>
                      <w:ilvl w:val="0"/>
                      <w:numId w:val="0"/>
                    </w:numPr>
                    <w:jc w:val="center"/>
                    <w:rPr>
                      <w:rFonts w:hint="default"/>
                      <w:b w:val="0"/>
                      <w:bCs w:val="0"/>
                      <w:color w:val="auto"/>
                      <w:sz w:val="21"/>
                      <w:szCs w:val="21"/>
                      <w:vertAlign w:val="baseline"/>
                      <w:lang w:val="en-US" w:eastAsia="zh-CN"/>
                    </w:rPr>
                  </w:pPr>
                  <w:r>
                    <w:rPr>
                      <w:rFonts w:hint="eastAsia"/>
                      <w:b w:val="0"/>
                      <w:bCs w:val="0"/>
                      <w:color w:val="auto"/>
                      <w:sz w:val="21"/>
                      <w:szCs w:val="21"/>
                      <w:vertAlign w:val="baseline"/>
                      <w:lang w:val="en-US" w:eastAsia="zh-CN"/>
                    </w:rPr>
                    <w:t>约480</w:t>
                  </w:r>
                </w:p>
              </w:tc>
              <w:tc>
                <w:tcPr>
                  <w:tcW w:w="1213" w:type="dxa"/>
                  <w:tcBorders>
                    <w:tl2br w:val="nil"/>
                    <w:tr2bl w:val="nil"/>
                  </w:tcBorders>
                  <w:vAlign w:val="center"/>
                </w:tcPr>
                <w:p w14:paraId="0B76FCE2">
                  <w:pPr>
                    <w:numPr>
                      <w:ilvl w:val="0"/>
                      <w:numId w:val="0"/>
                    </w:numPr>
                    <w:jc w:val="center"/>
                    <w:rPr>
                      <w:rFonts w:hint="default"/>
                      <w:b w:val="0"/>
                      <w:bCs w:val="0"/>
                      <w:color w:val="auto"/>
                      <w:sz w:val="21"/>
                      <w:szCs w:val="21"/>
                      <w:vertAlign w:val="baseline"/>
                      <w:lang w:val="en-US" w:eastAsia="zh-CN"/>
                    </w:rPr>
                  </w:pPr>
                  <w:r>
                    <w:rPr>
                      <w:rFonts w:hint="eastAsia"/>
                      <w:b w:val="0"/>
                      <w:bCs w:val="0"/>
                      <w:color w:val="auto"/>
                      <w:sz w:val="21"/>
                      <w:szCs w:val="21"/>
                      <w:vertAlign w:val="baseline"/>
                      <w:lang w:val="en-US" w:eastAsia="zh-CN"/>
                    </w:rPr>
                    <w:t>居民</w:t>
                  </w:r>
                </w:p>
              </w:tc>
              <w:tc>
                <w:tcPr>
                  <w:tcW w:w="1330" w:type="dxa"/>
                  <w:vMerge w:val="restart"/>
                  <w:tcBorders>
                    <w:tl2br w:val="nil"/>
                    <w:tr2bl w:val="nil"/>
                  </w:tcBorders>
                  <w:vAlign w:val="center"/>
                </w:tcPr>
                <w:p w14:paraId="4FD20090">
                  <w:pPr>
                    <w:numPr>
                      <w:ilvl w:val="0"/>
                      <w:numId w:val="0"/>
                    </w:numPr>
                    <w:jc w:val="center"/>
                    <w:rPr>
                      <w:rFonts w:hint="eastAsia"/>
                      <w:b w:val="0"/>
                      <w:bCs w:val="0"/>
                      <w:color w:val="auto"/>
                      <w:sz w:val="21"/>
                      <w:szCs w:val="21"/>
                      <w:vertAlign w:val="baseline"/>
                      <w:lang w:val="en-US" w:eastAsia="zh-CN"/>
                    </w:rPr>
                  </w:pPr>
                  <w:r>
                    <w:rPr>
                      <w:rFonts w:hint="eastAsia"/>
                      <w:b w:val="0"/>
                      <w:bCs w:val="0"/>
                      <w:color w:val="auto"/>
                      <w:sz w:val="21"/>
                      <w:szCs w:val="21"/>
                      <w:vertAlign w:val="baseline"/>
                      <w:lang w:val="en-US" w:eastAsia="zh-CN"/>
                    </w:rPr>
                    <w:t>《环境空气质量标准》</w:t>
                  </w:r>
                </w:p>
                <w:p w14:paraId="6712E227">
                  <w:pPr>
                    <w:numPr>
                      <w:ilvl w:val="0"/>
                      <w:numId w:val="0"/>
                    </w:numPr>
                    <w:jc w:val="center"/>
                    <w:rPr>
                      <w:rFonts w:hint="eastAsia"/>
                      <w:b w:val="0"/>
                      <w:bCs w:val="0"/>
                      <w:color w:val="auto"/>
                      <w:sz w:val="21"/>
                      <w:szCs w:val="21"/>
                      <w:vertAlign w:val="baseline"/>
                      <w:lang w:val="en-US" w:eastAsia="zh-CN"/>
                    </w:rPr>
                  </w:pPr>
                  <w:r>
                    <w:rPr>
                      <w:rFonts w:hint="eastAsia"/>
                      <w:b w:val="0"/>
                      <w:bCs w:val="0"/>
                      <w:color w:val="auto"/>
                      <w:sz w:val="21"/>
                      <w:szCs w:val="21"/>
                      <w:vertAlign w:val="baseline"/>
                      <w:lang w:val="en-US" w:eastAsia="zh-CN"/>
                    </w:rPr>
                    <w:t>（</w:t>
                  </w:r>
                  <w:r>
                    <w:rPr>
                      <w:rFonts w:hint="default"/>
                      <w:b w:val="0"/>
                      <w:bCs w:val="0"/>
                      <w:color w:val="auto"/>
                      <w:sz w:val="21"/>
                      <w:szCs w:val="21"/>
                      <w:vertAlign w:val="baseline"/>
                      <w:lang w:val="en-US" w:eastAsia="zh-CN"/>
                    </w:rPr>
                    <w:t>GB3095-2012</w:t>
                  </w:r>
                  <w:r>
                    <w:rPr>
                      <w:rFonts w:hint="eastAsia"/>
                      <w:b w:val="0"/>
                      <w:bCs w:val="0"/>
                      <w:color w:val="auto"/>
                      <w:sz w:val="21"/>
                      <w:szCs w:val="21"/>
                      <w:vertAlign w:val="baseline"/>
                      <w:lang w:val="en-US" w:eastAsia="zh-CN"/>
                    </w:rPr>
                    <w:t>）及其修改单中的二级标准</w:t>
                  </w:r>
                </w:p>
              </w:tc>
            </w:tr>
            <w:tr w14:paraId="3B92245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101" w:type="dxa"/>
                  <w:vMerge w:val="continue"/>
                  <w:tcBorders>
                    <w:tl2br w:val="nil"/>
                    <w:tr2bl w:val="nil"/>
                  </w:tcBorders>
                  <w:vAlign w:val="center"/>
                </w:tcPr>
                <w:p w14:paraId="440D91F6">
                  <w:pPr>
                    <w:numPr>
                      <w:ilvl w:val="0"/>
                      <w:numId w:val="0"/>
                    </w:numPr>
                    <w:jc w:val="center"/>
                    <w:rPr>
                      <w:b w:val="0"/>
                      <w:bCs w:val="0"/>
                      <w:color w:val="auto"/>
                      <w:sz w:val="21"/>
                      <w:szCs w:val="21"/>
                      <w:vertAlign w:val="baseline"/>
                    </w:rPr>
                  </w:pPr>
                </w:p>
              </w:tc>
              <w:tc>
                <w:tcPr>
                  <w:tcW w:w="2314" w:type="dxa"/>
                  <w:tcBorders>
                    <w:tl2br w:val="nil"/>
                    <w:tr2bl w:val="nil"/>
                  </w:tcBorders>
                  <w:shd w:val="clear" w:color="auto" w:fill="auto"/>
                  <w:vAlign w:val="center"/>
                </w:tcPr>
                <w:p w14:paraId="7D270B01">
                  <w:pPr>
                    <w:numPr>
                      <w:ilvl w:val="0"/>
                      <w:numId w:val="0"/>
                    </w:numPr>
                    <w:ind w:left="0" w:leftChars="0" w:firstLine="0" w:firstLineChars="0"/>
                    <w:jc w:val="center"/>
                    <w:rPr>
                      <w:rFonts w:hint="eastAsia" w:ascii="Times New Roman" w:hAnsi="Times New Roman" w:eastAsia="宋体" w:cs="Times New Roman"/>
                      <w:b w:val="0"/>
                      <w:bCs w:val="0"/>
                      <w:color w:val="auto"/>
                      <w:kern w:val="2"/>
                      <w:sz w:val="21"/>
                      <w:szCs w:val="21"/>
                      <w:vertAlign w:val="baseline"/>
                      <w:lang w:val="en-US" w:eastAsia="zh-CN" w:bidi="ar-SA"/>
                    </w:rPr>
                  </w:pPr>
                  <w:r>
                    <w:rPr>
                      <w:rFonts w:hint="eastAsia"/>
                      <w:b w:val="0"/>
                      <w:bCs w:val="0"/>
                      <w:color w:val="auto"/>
                      <w:sz w:val="21"/>
                      <w:szCs w:val="21"/>
                      <w:vertAlign w:val="baseline"/>
                      <w:lang w:val="en-US" w:eastAsia="zh-CN"/>
                    </w:rPr>
                    <w:t>和平街小区十二区</w:t>
                  </w:r>
                </w:p>
              </w:tc>
              <w:tc>
                <w:tcPr>
                  <w:tcW w:w="893" w:type="dxa"/>
                  <w:tcBorders>
                    <w:tl2br w:val="nil"/>
                    <w:tr2bl w:val="nil"/>
                  </w:tcBorders>
                  <w:shd w:val="clear" w:color="auto" w:fill="auto"/>
                  <w:vAlign w:val="center"/>
                </w:tcPr>
                <w:p w14:paraId="26C12D4C">
                  <w:pPr>
                    <w:numPr>
                      <w:ilvl w:val="0"/>
                      <w:numId w:val="0"/>
                    </w:numPr>
                    <w:ind w:left="0" w:leftChars="0" w:firstLine="0" w:firstLineChars="0"/>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b w:val="0"/>
                      <w:bCs w:val="0"/>
                      <w:color w:val="auto"/>
                      <w:sz w:val="21"/>
                      <w:szCs w:val="21"/>
                      <w:vertAlign w:val="baseline"/>
                      <w:lang w:val="en-US" w:eastAsia="zh-CN"/>
                    </w:rPr>
                    <w:t>西北</w:t>
                  </w:r>
                </w:p>
              </w:tc>
              <w:tc>
                <w:tcPr>
                  <w:tcW w:w="1080" w:type="dxa"/>
                  <w:tcBorders>
                    <w:tl2br w:val="nil"/>
                    <w:tr2bl w:val="nil"/>
                  </w:tcBorders>
                  <w:shd w:val="clear" w:color="auto" w:fill="auto"/>
                  <w:vAlign w:val="center"/>
                </w:tcPr>
                <w:p w14:paraId="638AFD4C">
                  <w:pPr>
                    <w:numPr>
                      <w:ilvl w:val="0"/>
                      <w:numId w:val="0"/>
                    </w:numPr>
                    <w:ind w:left="0" w:leftChars="0" w:firstLine="0" w:firstLineChars="0"/>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b w:val="0"/>
                      <w:bCs w:val="0"/>
                      <w:color w:val="auto"/>
                      <w:sz w:val="21"/>
                      <w:szCs w:val="21"/>
                      <w:vertAlign w:val="baseline"/>
                      <w:lang w:val="en-US" w:eastAsia="zh-CN"/>
                    </w:rPr>
                    <w:t>约362</w:t>
                  </w:r>
                </w:p>
              </w:tc>
              <w:tc>
                <w:tcPr>
                  <w:tcW w:w="1213" w:type="dxa"/>
                  <w:tcBorders>
                    <w:tl2br w:val="nil"/>
                    <w:tr2bl w:val="nil"/>
                  </w:tcBorders>
                  <w:shd w:val="clear" w:color="auto" w:fill="auto"/>
                  <w:vAlign w:val="center"/>
                </w:tcPr>
                <w:p w14:paraId="66F0FB92">
                  <w:pPr>
                    <w:numPr>
                      <w:ilvl w:val="0"/>
                      <w:numId w:val="0"/>
                    </w:numPr>
                    <w:ind w:left="0" w:leftChars="0" w:firstLine="0" w:firstLineChars="0"/>
                    <w:jc w:val="center"/>
                    <w:rPr>
                      <w:rFonts w:hint="eastAsia" w:ascii="Times New Roman" w:hAnsi="Times New Roman" w:eastAsia="宋体" w:cs="Times New Roman"/>
                      <w:b w:val="0"/>
                      <w:bCs w:val="0"/>
                      <w:color w:val="auto"/>
                      <w:kern w:val="2"/>
                      <w:sz w:val="21"/>
                      <w:szCs w:val="21"/>
                      <w:vertAlign w:val="baseline"/>
                      <w:lang w:val="en-US" w:eastAsia="zh-CN" w:bidi="ar-SA"/>
                    </w:rPr>
                  </w:pPr>
                  <w:r>
                    <w:rPr>
                      <w:rFonts w:hint="eastAsia"/>
                      <w:b w:val="0"/>
                      <w:bCs w:val="0"/>
                      <w:color w:val="auto"/>
                      <w:sz w:val="21"/>
                      <w:szCs w:val="21"/>
                      <w:vertAlign w:val="baseline"/>
                      <w:lang w:val="en-US" w:eastAsia="zh-CN"/>
                    </w:rPr>
                    <w:t>居民</w:t>
                  </w:r>
                </w:p>
              </w:tc>
              <w:tc>
                <w:tcPr>
                  <w:tcW w:w="1330" w:type="dxa"/>
                  <w:vMerge w:val="continue"/>
                  <w:tcBorders>
                    <w:tl2br w:val="nil"/>
                    <w:tr2bl w:val="nil"/>
                  </w:tcBorders>
                  <w:vAlign w:val="center"/>
                </w:tcPr>
                <w:p w14:paraId="0A74D868">
                  <w:pPr>
                    <w:numPr>
                      <w:ilvl w:val="0"/>
                      <w:numId w:val="0"/>
                    </w:numPr>
                    <w:jc w:val="center"/>
                    <w:rPr>
                      <w:b w:val="0"/>
                      <w:bCs w:val="0"/>
                      <w:color w:val="auto"/>
                      <w:sz w:val="21"/>
                      <w:szCs w:val="21"/>
                      <w:vertAlign w:val="baseline"/>
                    </w:rPr>
                  </w:pPr>
                </w:p>
              </w:tc>
            </w:tr>
            <w:tr w14:paraId="6004891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101" w:type="dxa"/>
                  <w:vMerge w:val="continue"/>
                  <w:tcBorders>
                    <w:tl2br w:val="nil"/>
                    <w:tr2bl w:val="nil"/>
                  </w:tcBorders>
                  <w:vAlign w:val="center"/>
                </w:tcPr>
                <w:p w14:paraId="206794F8">
                  <w:pPr>
                    <w:numPr>
                      <w:ilvl w:val="0"/>
                      <w:numId w:val="0"/>
                    </w:numPr>
                    <w:jc w:val="center"/>
                    <w:rPr>
                      <w:b w:val="0"/>
                      <w:bCs w:val="0"/>
                      <w:color w:val="auto"/>
                      <w:sz w:val="21"/>
                      <w:szCs w:val="21"/>
                      <w:vertAlign w:val="baseline"/>
                    </w:rPr>
                  </w:pPr>
                </w:p>
              </w:tc>
              <w:tc>
                <w:tcPr>
                  <w:tcW w:w="2314" w:type="dxa"/>
                  <w:tcBorders>
                    <w:tl2br w:val="nil"/>
                    <w:tr2bl w:val="nil"/>
                  </w:tcBorders>
                  <w:vAlign w:val="center"/>
                </w:tcPr>
                <w:p w14:paraId="7370423E">
                  <w:pPr>
                    <w:numPr>
                      <w:ilvl w:val="0"/>
                      <w:numId w:val="0"/>
                    </w:numPr>
                    <w:jc w:val="center"/>
                    <w:rPr>
                      <w:rFonts w:hint="default"/>
                      <w:b w:val="0"/>
                      <w:bCs w:val="0"/>
                      <w:color w:val="auto"/>
                      <w:sz w:val="21"/>
                      <w:szCs w:val="21"/>
                      <w:vertAlign w:val="baseline"/>
                      <w:lang w:val="en-US" w:eastAsia="zh-CN"/>
                    </w:rPr>
                  </w:pPr>
                  <w:r>
                    <w:rPr>
                      <w:rFonts w:hint="eastAsia"/>
                      <w:b w:val="0"/>
                      <w:bCs w:val="0"/>
                      <w:color w:val="auto"/>
                      <w:sz w:val="21"/>
                      <w:szCs w:val="21"/>
                      <w:vertAlign w:val="baseline"/>
                      <w:lang w:val="en-US" w:eastAsia="zh-CN"/>
                    </w:rPr>
                    <w:t>中国石化北京化工研究院</w:t>
                  </w:r>
                </w:p>
              </w:tc>
              <w:tc>
                <w:tcPr>
                  <w:tcW w:w="893" w:type="dxa"/>
                  <w:tcBorders>
                    <w:tl2br w:val="nil"/>
                    <w:tr2bl w:val="nil"/>
                  </w:tcBorders>
                  <w:vAlign w:val="center"/>
                </w:tcPr>
                <w:p w14:paraId="3BCF575A">
                  <w:pPr>
                    <w:numPr>
                      <w:ilvl w:val="0"/>
                      <w:numId w:val="0"/>
                    </w:numPr>
                    <w:jc w:val="center"/>
                    <w:rPr>
                      <w:rFonts w:hint="default"/>
                      <w:b w:val="0"/>
                      <w:bCs w:val="0"/>
                      <w:color w:val="auto"/>
                      <w:sz w:val="21"/>
                      <w:szCs w:val="21"/>
                      <w:vertAlign w:val="baseline"/>
                      <w:lang w:val="en-US" w:eastAsia="zh-CN"/>
                    </w:rPr>
                  </w:pPr>
                  <w:r>
                    <w:rPr>
                      <w:rFonts w:hint="eastAsia"/>
                      <w:b w:val="0"/>
                      <w:bCs w:val="0"/>
                      <w:color w:val="auto"/>
                      <w:sz w:val="21"/>
                      <w:szCs w:val="21"/>
                      <w:vertAlign w:val="baseline"/>
                      <w:lang w:val="en-US" w:eastAsia="zh-CN"/>
                    </w:rPr>
                    <w:t>北</w:t>
                  </w:r>
                </w:p>
              </w:tc>
              <w:tc>
                <w:tcPr>
                  <w:tcW w:w="1080" w:type="dxa"/>
                  <w:tcBorders>
                    <w:tl2br w:val="nil"/>
                    <w:tr2bl w:val="nil"/>
                  </w:tcBorders>
                  <w:vAlign w:val="center"/>
                </w:tcPr>
                <w:p w14:paraId="5481C91B">
                  <w:pPr>
                    <w:numPr>
                      <w:ilvl w:val="0"/>
                      <w:numId w:val="0"/>
                    </w:numPr>
                    <w:jc w:val="center"/>
                    <w:rPr>
                      <w:rFonts w:hint="default"/>
                      <w:b w:val="0"/>
                      <w:bCs w:val="0"/>
                      <w:color w:val="auto"/>
                      <w:sz w:val="21"/>
                      <w:szCs w:val="21"/>
                      <w:vertAlign w:val="baseline"/>
                      <w:lang w:val="en-US" w:eastAsia="zh-CN"/>
                    </w:rPr>
                  </w:pPr>
                  <w:r>
                    <w:rPr>
                      <w:rFonts w:hint="eastAsia"/>
                      <w:b w:val="0"/>
                      <w:bCs w:val="0"/>
                      <w:color w:val="auto"/>
                      <w:sz w:val="21"/>
                      <w:szCs w:val="21"/>
                      <w:vertAlign w:val="baseline"/>
                      <w:lang w:val="en-US" w:eastAsia="zh-CN"/>
                    </w:rPr>
                    <w:t>约246</w:t>
                  </w:r>
                </w:p>
              </w:tc>
              <w:tc>
                <w:tcPr>
                  <w:tcW w:w="1213" w:type="dxa"/>
                  <w:tcBorders>
                    <w:tl2br w:val="nil"/>
                    <w:tr2bl w:val="nil"/>
                  </w:tcBorders>
                  <w:vAlign w:val="center"/>
                </w:tcPr>
                <w:p w14:paraId="435BF242">
                  <w:pPr>
                    <w:numPr>
                      <w:ilvl w:val="0"/>
                      <w:numId w:val="0"/>
                    </w:numPr>
                    <w:jc w:val="center"/>
                    <w:rPr>
                      <w:rFonts w:hint="default"/>
                      <w:b w:val="0"/>
                      <w:bCs w:val="0"/>
                      <w:color w:val="auto"/>
                      <w:sz w:val="21"/>
                      <w:szCs w:val="21"/>
                      <w:vertAlign w:val="baseline"/>
                      <w:lang w:val="en-US" w:eastAsia="zh-CN"/>
                    </w:rPr>
                  </w:pPr>
                  <w:r>
                    <w:rPr>
                      <w:rFonts w:hint="eastAsia"/>
                      <w:b w:val="0"/>
                      <w:bCs w:val="0"/>
                      <w:color w:val="auto"/>
                      <w:sz w:val="21"/>
                      <w:szCs w:val="21"/>
                      <w:vertAlign w:val="baseline"/>
                      <w:lang w:val="en-US" w:eastAsia="zh-CN"/>
                    </w:rPr>
                    <w:t>科研</w:t>
                  </w:r>
                </w:p>
              </w:tc>
              <w:tc>
                <w:tcPr>
                  <w:tcW w:w="1330" w:type="dxa"/>
                  <w:vMerge w:val="continue"/>
                  <w:tcBorders>
                    <w:tl2br w:val="nil"/>
                    <w:tr2bl w:val="nil"/>
                  </w:tcBorders>
                  <w:vAlign w:val="center"/>
                </w:tcPr>
                <w:p w14:paraId="522A74E3">
                  <w:pPr>
                    <w:numPr>
                      <w:ilvl w:val="0"/>
                      <w:numId w:val="0"/>
                    </w:numPr>
                    <w:jc w:val="center"/>
                    <w:rPr>
                      <w:b w:val="0"/>
                      <w:bCs w:val="0"/>
                      <w:color w:val="auto"/>
                      <w:sz w:val="21"/>
                      <w:szCs w:val="21"/>
                      <w:vertAlign w:val="baseline"/>
                    </w:rPr>
                  </w:pPr>
                </w:p>
              </w:tc>
            </w:tr>
            <w:tr w14:paraId="2BC55B9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101" w:type="dxa"/>
                  <w:vMerge w:val="continue"/>
                  <w:tcBorders>
                    <w:tl2br w:val="nil"/>
                    <w:tr2bl w:val="nil"/>
                  </w:tcBorders>
                  <w:vAlign w:val="center"/>
                </w:tcPr>
                <w:p w14:paraId="1C0C81C6">
                  <w:pPr>
                    <w:numPr>
                      <w:ilvl w:val="0"/>
                      <w:numId w:val="0"/>
                    </w:numPr>
                    <w:jc w:val="center"/>
                    <w:rPr>
                      <w:b w:val="0"/>
                      <w:bCs w:val="0"/>
                      <w:color w:val="auto"/>
                      <w:sz w:val="21"/>
                      <w:szCs w:val="21"/>
                      <w:vertAlign w:val="baseline"/>
                    </w:rPr>
                  </w:pPr>
                </w:p>
              </w:tc>
              <w:tc>
                <w:tcPr>
                  <w:tcW w:w="2314" w:type="dxa"/>
                  <w:tcBorders>
                    <w:tl2br w:val="nil"/>
                    <w:tr2bl w:val="nil"/>
                  </w:tcBorders>
                  <w:vAlign w:val="center"/>
                </w:tcPr>
                <w:p w14:paraId="5D6A4C46">
                  <w:pPr>
                    <w:numPr>
                      <w:ilvl w:val="0"/>
                      <w:numId w:val="0"/>
                    </w:numPr>
                    <w:jc w:val="center"/>
                    <w:rPr>
                      <w:rFonts w:hint="default"/>
                      <w:b w:val="0"/>
                      <w:bCs w:val="0"/>
                      <w:color w:val="auto"/>
                      <w:sz w:val="21"/>
                      <w:szCs w:val="21"/>
                      <w:vertAlign w:val="baseline"/>
                      <w:lang w:val="en-US" w:eastAsia="zh-CN"/>
                    </w:rPr>
                  </w:pPr>
                  <w:r>
                    <w:rPr>
                      <w:rFonts w:hint="eastAsia"/>
                      <w:b w:val="0"/>
                      <w:bCs w:val="0"/>
                      <w:color w:val="auto"/>
                      <w:sz w:val="21"/>
                      <w:szCs w:val="21"/>
                      <w:vertAlign w:val="baseline"/>
                      <w:lang w:val="en-US" w:eastAsia="zh-CN"/>
                    </w:rPr>
                    <w:t>和平街一中</w:t>
                  </w:r>
                </w:p>
              </w:tc>
              <w:tc>
                <w:tcPr>
                  <w:tcW w:w="893" w:type="dxa"/>
                  <w:tcBorders>
                    <w:tl2br w:val="nil"/>
                    <w:tr2bl w:val="nil"/>
                  </w:tcBorders>
                  <w:vAlign w:val="center"/>
                </w:tcPr>
                <w:p w14:paraId="341F5327">
                  <w:pPr>
                    <w:numPr>
                      <w:ilvl w:val="0"/>
                      <w:numId w:val="0"/>
                    </w:numPr>
                    <w:jc w:val="center"/>
                    <w:rPr>
                      <w:rFonts w:hint="default"/>
                      <w:b w:val="0"/>
                      <w:bCs w:val="0"/>
                      <w:color w:val="auto"/>
                      <w:sz w:val="21"/>
                      <w:szCs w:val="21"/>
                      <w:vertAlign w:val="baseline"/>
                      <w:lang w:val="en-US" w:eastAsia="zh-CN"/>
                    </w:rPr>
                  </w:pPr>
                  <w:r>
                    <w:rPr>
                      <w:rFonts w:hint="eastAsia"/>
                      <w:b w:val="0"/>
                      <w:bCs w:val="0"/>
                      <w:color w:val="auto"/>
                      <w:sz w:val="21"/>
                      <w:szCs w:val="21"/>
                      <w:vertAlign w:val="baseline"/>
                      <w:lang w:val="en-US" w:eastAsia="zh-CN"/>
                    </w:rPr>
                    <w:t>北</w:t>
                  </w:r>
                </w:p>
              </w:tc>
              <w:tc>
                <w:tcPr>
                  <w:tcW w:w="1080" w:type="dxa"/>
                  <w:tcBorders>
                    <w:tl2br w:val="nil"/>
                    <w:tr2bl w:val="nil"/>
                  </w:tcBorders>
                  <w:vAlign w:val="center"/>
                </w:tcPr>
                <w:p w14:paraId="3B61CF08">
                  <w:pPr>
                    <w:numPr>
                      <w:ilvl w:val="0"/>
                      <w:numId w:val="0"/>
                    </w:numPr>
                    <w:jc w:val="center"/>
                    <w:rPr>
                      <w:rFonts w:hint="default"/>
                      <w:b w:val="0"/>
                      <w:bCs w:val="0"/>
                      <w:color w:val="auto"/>
                      <w:sz w:val="21"/>
                      <w:szCs w:val="21"/>
                      <w:vertAlign w:val="baseline"/>
                      <w:lang w:val="en-US" w:eastAsia="zh-CN"/>
                    </w:rPr>
                  </w:pPr>
                  <w:r>
                    <w:rPr>
                      <w:rFonts w:hint="eastAsia"/>
                      <w:b w:val="0"/>
                      <w:bCs w:val="0"/>
                      <w:color w:val="auto"/>
                      <w:sz w:val="21"/>
                      <w:szCs w:val="21"/>
                      <w:vertAlign w:val="baseline"/>
                      <w:lang w:val="en-US" w:eastAsia="zh-CN"/>
                    </w:rPr>
                    <w:t>约319</w:t>
                  </w:r>
                </w:p>
              </w:tc>
              <w:tc>
                <w:tcPr>
                  <w:tcW w:w="1213" w:type="dxa"/>
                  <w:tcBorders>
                    <w:tl2br w:val="nil"/>
                    <w:tr2bl w:val="nil"/>
                  </w:tcBorders>
                  <w:vAlign w:val="center"/>
                </w:tcPr>
                <w:p w14:paraId="75EC994D">
                  <w:pPr>
                    <w:numPr>
                      <w:ilvl w:val="0"/>
                      <w:numId w:val="0"/>
                    </w:numPr>
                    <w:jc w:val="center"/>
                    <w:rPr>
                      <w:rFonts w:hint="default"/>
                      <w:b w:val="0"/>
                      <w:bCs w:val="0"/>
                      <w:color w:val="auto"/>
                      <w:sz w:val="21"/>
                      <w:szCs w:val="21"/>
                      <w:vertAlign w:val="baseline"/>
                      <w:lang w:val="en-US" w:eastAsia="zh-CN"/>
                    </w:rPr>
                  </w:pPr>
                  <w:r>
                    <w:rPr>
                      <w:rFonts w:hint="eastAsia"/>
                      <w:b w:val="0"/>
                      <w:bCs w:val="0"/>
                      <w:color w:val="auto"/>
                      <w:sz w:val="21"/>
                      <w:szCs w:val="21"/>
                      <w:vertAlign w:val="baseline"/>
                      <w:lang w:val="en-US" w:eastAsia="zh-CN"/>
                    </w:rPr>
                    <w:t>师生</w:t>
                  </w:r>
                </w:p>
              </w:tc>
              <w:tc>
                <w:tcPr>
                  <w:tcW w:w="1330" w:type="dxa"/>
                  <w:vMerge w:val="continue"/>
                  <w:tcBorders>
                    <w:tl2br w:val="nil"/>
                    <w:tr2bl w:val="nil"/>
                  </w:tcBorders>
                  <w:vAlign w:val="center"/>
                </w:tcPr>
                <w:p w14:paraId="20C1A608">
                  <w:pPr>
                    <w:numPr>
                      <w:ilvl w:val="0"/>
                      <w:numId w:val="0"/>
                    </w:numPr>
                    <w:jc w:val="center"/>
                    <w:rPr>
                      <w:b w:val="0"/>
                      <w:bCs w:val="0"/>
                      <w:color w:val="auto"/>
                      <w:sz w:val="21"/>
                      <w:szCs w:val="21"/>
                      <w:vertAlign w:val="baseline"/>
                    </w:rPr>
                  </w:pPr>
                </w:p>
              </w:tc>
            </w:tr>
            <w:tr w14:paraId="265904A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101" w:type="dxa"/>
                  <w:vMerge w:val="continue"/>
                  <w:tcBorders>
                    <w:tl2br w:val="nil"/>
                    <w:tr2bl w:val="nil"/>
                  </w:tcBorders>
                  <w:vAlign w:val="center"/>
                </w:tcPr>
                <w:p w14:paraId="203A586F">
                  <w:pPr>
                    <w:numPr>
                      <w:ilvl w:val="0"/>
                      <w:numId w:val="0"/>
                    </w:numPr>
                    <w:jc w:val="center"/>
                    <w:rPr>
                      <w:b w:val="0"/>
                      <w:bCs w:val="0"/>
                      <w:color w:val="auto"/>
                      <w:sz w:val="21"/>
                      <w:szCs w:val="21"/>
                      <w:vertAlign w:val="baseline"/>
                    </w:rPr>
                  </w:pPr>
                </w:p>
              </w:tc>
              <w:tc>
                <w:tcPr>
                  <w:tcW w:w="2314" w:type="dxa"/>
                  <w:tcBorders>
                    <w:tl2br w:val="nil"/>
                    <w:tr2bl w:val="nil"/>
                  </w:tcBorders>
                  <w:vAlign w:val="center"/>
                </w:tcPr>
                <w:p w14:paraId="209BFAF0">
                  <w:pPr>
                    <w:numPr>
                      <w:ilvl w:val="0"/>
                      <w:numId w:val="0"/>
                    </w:numPr>
                    <w:jc w:val="center"/>
                    <w:rPr>
                      <w:rFonts w:hint="eastAsia"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师范附小和平街分校北校区</w:t>
                  </w:r>
                </w:p>
              </w:tc>
              <w:tc>
                <w:tcPr>
                  <w:tcW w:w="893" w:type="dxa"/>
                  <w:tcBorders>
                    <w:tl2br w:val="nil"/>
                    <w:tr2bl w:val="nil"/>
                  </w:tcBorders>
                  <w:vAlign w:val="center"/>
                </w:tcPr>
                <w:p w14:paraId="28784414">
                  <w:pPr>
                    <w:numPr>
                      <w:ilvl w:val="0"/>
                      <w:numId w:val="0"/>
                    </w:numPr>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西北</w:t>
                  </w:r>
                </w:p>
              </w:tc>
              <w:tc>
                <w:tcPr>
                  <w:tcW w:w="1080" w:type="dxa"/>
                  <w:tcBorders>
                    <w:tl2br w:val="nil"/>
                    <w:tr2bl w:val="nil"/>
                  </w:tcBorders>
                  <w:vAlign w:val="center"/>
                </w:tcPr>
                <w:p w14:paraId="0E5D3A2B">
                  <w:pPr>
                    <w:numPr>
                      <w:ilvl w:val="0"/>
                      <w:numId w:val="0"/>
                    </w:numPr>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约305</w:t>
                  </w:r>
                </w:p>
              </w:tc>
              <w:tc>
                <w:tcPr>
                  <w:tcW w:w="1213" w:type="dxa"/>
                  <w:tcBorders>
                    <w:tl2br w:val="nil"/>
                    <w:tr2bl w:val="nil"/>
                  </w:tcBorders>
                  <w:vAlign w:val="center"/>
                </w:tcPr>
                <w:p w14:paraId="52BC2203">
                  <w:pPr>
                    <w:numPr>
                      <w:ilvl w:val="0"/>
                      <w:numId w:val="0"/>
                    </w:numPr>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师生</w:t>
                  </w:r>
                </w:p>
              </w:tc>
              <w:tc>
                <w:tcPr>
                  <w:tcW w:w="1330" w:type="dxa"/>
                  <w:vMerge w:val="continue"/>
                  <w:tcBorders>
                    <w:tl2br w:val="nil"/>
                    <w:tr2bl w:val="nil"/>
                  </w:tcBorders>
                  <w:vAlign w:val="center"/>
                </w:tcPr>
                <w:p w14:paraId="01A0D56C">
                  <w:pPr>
                    <w:numPr>
                      <w:ilvl w:val="0"/>
                      <w:numId w:val="0"/>
                    </w:numPr>
                    <w:jc w:val="center"/>
                    <w:rPr>
                      <w:b w:val="0"/>
                      <w:bCs w:val="0"/>
                      <w:color w:val="auto"/>
                      <w:sz w:val="21"/>
                      <w:szCs w:val="21"/>
                      <w:vertAlign w:val="baseline"/>
                    </w:rPr>
                  </w:pPr>
                </w:p>
              </w:tc>
            </w:tr>
            <w:tr w14:paraId="6A3D797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101" w:type="dxa"/>
                  <w:vMerge w:val="continue"/>
                  <w:tcBorders>
                    <w:tl2br w:val="nil"/>
                    <w:tr2bl w:val="nil"/>
                  </w:tcBorders>
                  <w:vAlign w:val="center"/>
                </w:tcPr>
                <w:p w14:paraId="79FF8F1B">
                  <w:pPr>
                    <w:numPr>
                      <w:ilvl w:val="0"/>
                      <w:numId w:val="0"/>
                    </w:numPr>
                    <w:jc w:val="center"/>
                    <w:rPr>
                      <w:b w:val="0"/>
                      <w:bCs w:val="0"/>
                      <w:color w:val="auto"/>
                      <w:sz w:val="21"/>
                      <w:szCs w:val="21"/>
                      <w:vertAlign w:val="baseline"/>
                    </w:rPr>
                  </w:pPr>
                </w:p>
              </w:tc>
              <w:tc>
                <w:tcPr>
                  <w:tcW w:w="2314" w:type="dxa"/>
                  <w:tcBorders>
                    <w:tl2br w:val="nil"/>
                    <w:tr2bl w:val="nil"/>
                  </w:tcBorders>
                  <w:vAlign w:val="center"/>
                </w:tcPr>
                <w:p w14:paraId="28DD9C12">
                  <w:pPr>
                    <w:numPr>
                      <w:ilvl w:val="0"/>
                      <w:numId w:val="0"/>
                    </w:numPr>
                    <w:jc w:val="center"/>
                    <w:rPr>
                      <w:rFonts w:hint="eastAsia" w:ascii="Times New Roman" w:hAnsi="Times New Roman" w:eastAsia="宋体" w:cs="Times New Roman"/>
                      <w:b w:val="0"/>
                      <w:bCs w:val="0"/>
                      <w:color w:val="auto"/>
                      <w:sz w:val="21"/>
                      <w:szCs w:val="21"/>
                      <w:vertAlign w:val="baseline"/>
                      <w:lang w:val="en-US" w:eastAsia="zh-CN"/>
                    </w:rPr>
                  </w:pPr>
                  <w:r>
                    <w:rPr>
                      <w:rFonts w:hint="eastAsia"/>
                      <w:b w:val="0"/>
                      <w:bCs w:val="0"/>
                      <w:color w:val="auto"/>
                      <w:sz w:val="21"/>
                      <w:szCs w:val="21"/>
                      <w:vertAlign w:val="baseline"/>
                      <w:lang w:val="en-US" w:eastAsia="zh-CN"/>
                    </w:rPr>
                    <w:t>和平街小区十三区</w:t>
                  </w:r>
                </w:p>
              </w:tc>
              <w:tc>
                <w:tcPr>
                  <w:tcW w:w="893" w:type="dxa"/>
                  <w:tcBorders>
                    <w:tl2br w:val="nil"/>
                    <w:tr2bl w:val="nil"/>
                  </w:tcBorders>
                  <w:shd w:val="clear" w:color="auto" w:fill="auto"/>
                  <w:vAlign w:val="center"/>
                </w:tcPr>
                <w:p w14:paraId="6CCCCCB7">
                  <w:pPr>
                    <w:numPr>
                      <w:ilvl w:val="0"/>
                      <w:numId w:val="0"/>
                    </w:numPr>
                    <w:ind w:left="0" w:leftChars="0" w:firstLine="0" w:firstLineChars="0"/>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cs="Times New Roman"/>
                      <w:b w:val="0"/>
                      <w:bCs w:val="0"/>
                      <w:color w:val="auto"/>
                      <w:sz w:val="21"/>
                      <w:szCs w:val="21"/>
                      <w:vertAlign w:val="baseline"/>
                      <w:lang w:val="en-US" w:eastAsia="zh-CN"/>
                    </w:rPr>
                    <w:t>西北</w:t>
                  </w:r>
                </w:p>
              </w:tc>
              <w:tc>
                <w:tcPr>
                  <w:tcW w:w="1080" w:type="dxa"/>
                  <w:tcBorders>
                    <w:tl2br w:val="nil"/>
                    <w:tr2bl w:val="nil"/>
                  </w:tcBorders>
                  <w:shd w:val="clear" w:color="auto" w:fill="auto"/>
                  <w:vAlign w:val="center"/>
                </w:tcPr>
                <w:p w14:paraId="54BE28B1">
                  <w:pPr>
                    <w:numPr>
                      <w:ilvl w:val="0"/>
                      <w:numId w:val="0"/>
                    </w:numPr>
                    <w:ind w:left="0" w:leftChars="0" w:firstLine="0" w:firstLineChars="0"/>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cs="Times New Roman"/>
                      <w:b w:val="0"/>
                      <w:bCs w:val="0"/>
                      <w:color w:val="auto"/>
                      <w:sz w:val="21"/>
                      <w:szCs w:val="21"/>
                      <w:vertAlign w:val="baseline"/>
                      <w:lang w:val="en-US" w:eastAsia="zh-CN"/>
                    </w:rPr>
                    <w:t>约296</w:t>
                  </w:r>
                </w:p>
              </w:tc>
              <w:tc>
                <w:tcPr>
                  <w:tcW w:w="1213" w:type="dxa"/>
                  <w:tcBorders>
                    <w:tl2br w:val="nil"/>
                    <w:tr2bl w:val="nil"/>
                  </w:tcBorders>
                  <w:shd w:val="clear" w:color="auto" w:fill="auto"/>
                  <w:vAlign w:val="center"/>
                </w:tcPr>
                <w:p w14:paraId="6B9A8F31">
                  <w:pPr>
                    <w:numPr>
                      <w:ilvl w:val="0"/>
                      <w:numId w:val="0"/>
                    </w:numPr>
                    <w:ind w:left="0" w:leftChars="0" w:firstLine="0" w:firstLineChars="0"/>
                    <w:jc w:val="center"/>
                    <w:rPr>
                      <w:rFonts w:hint="eastAsia"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cs="Times New Roman"/>
                      <w:b w:val="0"/>
                      <w:bCs w:val="0"/>
                      <w:color w:val="auto"/>
                      <w:sz w:val="21"/>
                      <w:szCs w:val="21"/>
                      <w:vertAlign w:val="baseline"/>
                      <w:lang w:val="en-US" w:eastAsia="zh-CN"/>
                    </w:rPr>
                    <w:t>居民</w:t>
                  </w:r>
                </w:p>
              </w:tc>
              <w:tc>
                <w:tcPr>
                  <w:tcW w:w="1330" w:type="dxa"/>
                  <w:vMerge w:val="continue"/>
                  <w:tcBorders>
                    <w:tl2br w:val="nil"/>
                    <w:tr2bl w:val="nil"/>
                  </w:tcBorders>
                  <w:vAlign w:val="center"/>
                </w:tcPr>
                <w:p w14:paraId="422F5B3F">
                  <w:pPr>
                    <w:numPr>
                      <w:ilvl w:val="0"/>
                      <w:numId w:val="0"/>
                    </w:numPr>
                    <w:jc w:val="center"/>
                    <w:rPr>
                      <w:b w:val="0"/>
                      <w:bCs w:val="0"/>
                      <w:color w:val="auto"/>
                      <w:sz w:val="21"/>
                      <w:szCs w:val="21"/>
                      <w:vertAlign w:val="baseline"/>
                    </w:rPr>
                  </w:pPr>
                </w:p>
              </w:tc>
            </w:tr>
            <w:tr w14:paraId="195906F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101" w:type="dxa"/>
                  <w:vMerge w:val="continue"/>
                  <w:tcBorders>
                    <w:tl2br w:val="nil"/>
                    <w:tr2bl w:val="nil"/>
                  </w:tcBorders>
                  <w:vAlign w:val="center"/>
                </w:tcPr>
                <w:p w14:paraId="5EDF5227">
                  <w:pPr>
                    <w:numPr>
                      <w:ilvl w:val="0"/>
                      <w:numId w:val="0"/>
                    </w:numPr>
                    <w:jc w:val="center"/>
                    <w:rPr>
                      <w:b w:val="0"/>
                      <w:bCs w:val="0"/>
                      <w:color w:val="auto"/>
                      <w:sz w:val="21"/>
                      <w:szCs w:val="21"/>
                      <w:vertAlign w:val="baseline"/>
                    </w:rPr>
                  </w:pPr>
                </w:p>
              </w:tc>
              <w:tc>
                <w:tcPr>
                  <w:tcW w:w="2314" w:type="dxa"/>
                  <w:tcBorders>
                    <w:tl2br w:val="nil"/>
                    <w:tr2bl w:val="nil"/>
                  </w:tcBorders>
                  <w:vAlign w:val="center"/>
                </w:tcPr>
                <w:p w14:paraId="179ACBED">
                  <w:pPr>
                    <w:numPr>
                      <w:ilvl w:val="0"/>
                      <w:numId w:val="0"/>
                    </w:numPr>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精诚实验小学</w:t>
                  </w:r>
                </w:p>
              </w:tc>
              <w:tc>
                <w:tcPr>
                  <w:tcW w:w="893" w:type="dxa"/>
                  <w:tcBorders>
                    <w:tl2br w:val="nil"/>
                    <w:tr2bl w:val="nil"/>
                  </w:tcBorders>
                  <w:shd w:val="clear" w:color="auto" w:fill="auto"/>
                  <w:vAlign w:val="center"/>
                </w:tcPr>
                <w:p w14:paraId="791CD01F">
                  <w:pPr>
                    <w:numPr>
                      <w:ilvl w:val="0"/>
                      <w:numId w:val="0"/>
                    </w:numPr>
                    <w:ind w:left="0" w:leftChars="0" w:firstLine="0" w:firstLineChars="0"/>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cs="Times New Roman"/>
                      <w:b w:val="0"/>
                      <w:bCs w:val="0"/>
                      <w:color w:val="auto"/>
                      <w:sz w:val="21"/>
                      <w:szCs w:val="21"/>
                      <w:vertAlign w:val="baseline"/>
                      <w:lang w:val="en-US" w:eastAsia="zh-CN"/>
                    </w:rPr>
                    <w:t>西北</w:t>
                  </w:r>
                </w:p>
              </w:tc>
              <w:tc>
                <w:tcPr>
                  <w:tcW w:w="1080" w:type="dxa"/>
                  <w:tcBorders>
                    <w:tl2br w:val="nil"/>
                    <w:tr2bl w:val="nil"/>
                  </w:tcBorders>
                  <w:shd w:val="clear" w:color="auto" w:fill="auto"/>
                  <w:vAlign w:val="center"/>
                </w:tcPr>
                <w:p w14:paraId="13973192">
                  <w:pPr>
                    <w:numPr>
                      <w:ilvl w:val="0"/>
                      <w:numId w:val="0"/>
                    </w:numPr>
                    <w:ind w:left="0" w:leftChars="0" w:firstLine="0" w:firstLineChars="0"/>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cs="Times New Roman"/>
                      <w:b w:val="0"/>
                      <w:bCs w:val="0"/>
                      <w:color w:val="auto"/>
                      <w:sz w:val="21"/>
                      <w:szCs w:val="21"/>
                      <w:vertAlign w:val="baseline"/>
                      <w:lang w:val="en-US" w:eastAsia="zh-CN"/>
                    </w:rPr>
                    <w:t>约230</w:t>
                  </w:r>
                </w:p>
              </w:tc>
              <w:tc>
                <w:tcPr>
                  <w:tcW w:w="1213" w:type="dxa"/>
                  <w:tcBorders>
                    <w:tl2br w:val="nil"/>
                    <w:tr2bl w:val="nil"/>
                  </w:tcBorders>
                  <w:shd w:val="clear" w:color="auto" w:fill="auto"/>
                  <w:vAlign w:val="center"/>
                </w:tcPr>
                <w:p w14:paraId="367ABCF8">
                  <w:pPr>
                    <w:numPr>
                      <w:ilvl w:val="0"/>
                      <w:numId w:val="0"/>
                    </w:numPr>
                    <w:ind w:left="0" w:leftChars="0" w:firstLine="0" w:firstLineChars="0"/>
                    <w:jc w:val="center"/>
                    <w:rPr>
                      <w:rFonts w:hint="eastAsia"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cs="Times New Roman"/>
                      <w:b w:val="0"/>
                      <w:bCs w:val="0"/>
                      <w:color w:val="auto"/>
                      <w:sz w:val="21"/>
                      <w:szCs w:val="21"/>
                      <w:vertAlign w:val="baseline"/>
                      <w:lang w:val="en-US" w:eastAsia="zh-CN"/>
                    </w:rPr>
                    <w:t>师生</w:t>
                  </w:r>
                </w:p>
              </w:tc>
              <w:tc>
                <w:tcPr>
                  <w:tcW w:w="1330" w:type="dxa"/>
                  <w:vMerge w:val="continue"/>
                  <w:tcBorders>
                    <w:tl2br w:val="nil"/>
                    <w:tr2bl w:val="nil"/>
                  </w:tcBorders>
                  <w:vAlign w:val="center"/>
                </w:tcPr>
                <w:p w14:paraId="1B49FFA7">
                  <w:pPr>
                    <w:numPr>
                      <w:ilvl w:val="0"/>
                      <w:numId w:val="0"/>
                    </w:numPr>
                    <w:jc w:val="center"/>
                    <w:rPr>
                      <w:b w:val="0"/>
                      <w:bCs w:val="0"/>
                      <w:color w:val="auto"/>
                      <w:sz w:val="21"/>
                      <w:szCs w:val="21"/>
                      <w:vertAlign w:val="baseline"/>
                    </w:rPr>
                  </w:pPr>
                </w:p>
              </w:tc>
            </w:tr>
            <w:tr w14:paraId="41AB21B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101" w:type="dxa"/>
                  <w:vMerge w:val="continue"/>
                  <w:tcBorders>
                    <w:tl2br w:val="nil"/>
                    <w:tr2bl w:val="nil"/>
                  </w:tcBorders>
                  <w:vAlign w:val="center"/>
                </w:tcPr>
                <w:p w14:paraId="7A092D14">
                  <w:pPr>
                    <w:numPr>
                      <w:ilvl w:val="0"/>
                      <w:numId w:val="0"/>
                    </w:numPr>
                    <w:jc w:val="center"/>
                    <w:rPr>
                      <w:b w:val="0"/>
                      <w:bCs w:val="0"/>
                      <w:color w:val="auto"/>
                      <w:sz w:val="21"/>
                      <w:szCs w:val="21"/>
                      <w:vertAlign w:val="baseline"/>
                    </w:rPr>
                  </w:pPr>
                </w:p>
              </w:tc>
              <w:tc>
                <w:tcPr>
                  <w:tcW w:w="2314" w:type="dxa"/>
                  <w:tcBorders>
                    <w:tl2br w:val="nil"/>
                    <w:tr2bl w:val="nil"/>
                  </w:tcBorders>
                  <w:vAlign w:val="center"/>
                </w:tcPr>
                <w:p w14:paraId="509E0110">
                  <w:pPr>
                    <w:numPr>
                      <w:ilvl w:val="0"/>
                      <w:numId w:val="0"/>
                    </w:numPr>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朝阳区烟草专卖局</w:t>
                  </w:r>
                </w:p>
              </w:tc>
              <w:tc>
                <w:tcPr>
                  <w:tcW w:w="893" w:type="dxa"/>
                  <w:tcBorders>
                    <w:tl2br w:val="nil"/>
                    <w:tr2bl w:val="nil"/>
                  </w:tcBorders>
                  <w:vAlign w:val="center"/>
                </w:tcPr>
                <w:p w14:paraId="1D3966E3">
                  <w:pPr>
                    <w:numPr>
                      <w:ilvl w:val="0"/>
                      <w:numId w:val="0"/>
                    </w:numPr>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西北</w:t>
                  </w:r>
                </w:p>
              </w:tc>
              <w:tc>
                <w:tcPr>
                  <w:tcW w:w="1080" w:type="dxa"/>
                  <w:tcBorders>
                    <w:tl2br w:val="nil"/>
                    <w:tr2bl w:val="nil"/>
                  </w:tcBorders>
                  <w:vAlign w:val="center"/>
                </w:tcPr>
                <w:p w14:paraId="43CC4DB7">
                  <w:pPr>
                    <w:numPr>
                      <w:ilvl w:val="0"/>
                      <w:numId w:val="0"/>
                    </w:numPr>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约168</w:t>
                  </w:r>
                </w:p>
              </w:tc>
              <w:tc>
                <w:tcPr>
                  <w:tcW w:w="1213" w:type="dxa"/>
                  <w:tcBorders>
                    <w:tl2br w:val="nil"/>
                    <w:tr2bl w:val="nil"/>
                  </w:tcBorders>
                  <w:vAlign w:val="center"/>
                </w:tcPr>
                <w:p w14:paraId="14ECD4C2">
                  <w:pPr>
                    <w:numPr>
                      <w:ilvl w:val="0"/>
                      <w:numId w:val="0"/>
                    </w:numPr>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行政办公</w:t>
                  </w:r>
                </w:p>
              </w:tc>
              <w:tc>
                <w:tcPr>
                  <w:tcW w:w="1330" w:type="dxa"/>
                  <w:vMerge w:val="continue"/>
                  <w:tcBorders>
                    <w:tl2br w:val="nil"/>
                    <w:tr2bl w:val="nil"/>
                  </w:tcBorders>
                  <w:vAlign w:val="center"/>
                </w:tcPr>
                <w:p w14:paraId="1E8D7B5C">
                  <w:pPr>
                    <w:numPr>
                      <w:ilvl w:val="0"/>
                      <w:numId w:val="0"/>
                    </w:numPr>
                    <w:jc w:val="center"/>
                    <w:rPr>
                      <w:b w:val="0"/>
                      <w:bCs w:val="0"/>
                      <w:color w:val="auto"/>
                      <w:sz w:val="21"/>
                      <w:szCs w:val="21"/>
                      <w:vertAlign w:val="baseline"/>
                    </w:rPr>
                  </w:pPr>
                </w:p>
              </w:tc>
            </w:tr>
            <w:tr w14:paraId="67DEA25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101" w:type="dxa"/>
                  <w:vMerge w:val="continue"/>
                  <w:tcBorders>
                    <w:tl2br w:val="nil"/>
                    <w:tr2bl w:val="nil"/>
                  </w:tcBorders>
                  <w:vAlign w:val="center"/>
                </w:tcPr>
                <w:p w14:paraId="0E8237D1">
                  <w:pPr>
                    <w:numPr>
                      <w:ilvl w:val="0"/>
                      <w:numId w:val="0"/>
                    </w:numPr>
                    <w:jc w:val="center"/>
                    <w:rPr>
                      <w:b w:val="0"/>
                      <w:bCs w:val="0"/>
                      <w:color w:val="auto"/>
                      <w:sz w:val="21"/>
                      <w:szCs w:val="21"/>
                      <w:vertAlign w:val="baseline"/>
                    </w:rPr>
                  </w:pPr>
                </w:p>
              </w:tc>
              <w:tc>
                <w:tcPr>
                  <w:tcW w:w="2314" w:type="dxa"/>
                  <w:tcBorders>
                    <w:tl2br w:val="nil"/>
                    <w:tr2bl w:val="nil"/>
                  </w:tcBorders>
                  <w:shd w:val="clear" w:color="auto" w:fill="auto"/>
                  <w:vAlign w:val="center"/>
                </w:tcPr>
                <w:p w14:paraId="7A529770">
                  <w:pPr>
                    <w:numPr>
                      <w:ilvl w:val="0"/>
                      <w:numId w:val="0"/>
                    </w:numPr>
                    <w:ind w:left="0" w:leftChars="0" w:firstLine="0" w:firstLineChars="0"/>
                    <w:jc w:val="center"/>
                    <w:rPr>
                      <w:rFonts w:hint="eastAsia" w:ascii="Times New Roman" w:hAnsi="Times New Roman" w:eastAsia="宋体" w:cs="Times New Roman"/>
                      <w:b w:val="0"/>
                      <w:bCs w:val="0"/>
                      <w:color w:val="auto"/>
                      <w:kern w:val="2"/>
                      <w:sz w:val="21"/>
                      <w:szCs w:val="21"/>
                      <w:vertAlign w:val="baseline"/>
                      <w:lang w:val="en-US" w:eastAsia="zh-CN" w:bidi="ar-SA"/>
                    </w:rPr>
                  </w:pPr>
                  <w:r>
                    <w:rPr>
                      <w:rFonts w:hint="eastAsia"/>
                      <w:b w:val="0"/>
                      <w:bCs w:val="0"/>
                      <w:color w:val="auto"/>
                      <w:sz w:val="21"/>
                      <w:szCs w:val="21"/>
                      <w:vertAlign w:val="baseline"/>
                      <w:lang w:val="en-US" w:eastAsia="zh-CN"/>
                    </w:rPr>
                    <w:t>和平街小区十五区</w:t>
                  </w:r>
                </w:p>
              </w:tc>
              <w:tc>
                <w:tcPr>
                  <w:tcW w:w="893" w:type="dxa"/>
                  <w:tcBorders>
                    <w:tl2br w:val="nil"/>
                    <w:tr2bl w:val="nil"/>
                  </w:tcBorders>
                  <w:shd w:val="clear" w:color="auto" w:fill="auto"/>
                  <w:vAlign w:val="center"/>
                </w:tcPr>
                <w:p w14:paraId="1E3EAA57">
                  <w:pPr>
                    <w:numPr>
                      <w:ilvl w:val="0"/>
                      <w:numId w:val="0"/>
                    </w:numPr>
                    <w:ind w:left="0" w:leftChars="0" w:firstLine="0" w:firstLineChars="0"/>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b w:val="0"/>
                      <w:bCs w:val="0"/>
                      <w:color w:val="auto"/>
                      <w:sz w:val="21"/>
                      <w:szCs w:val="21"/>
                      <w:vertAlign w:val="baseline"/>
                      <w:lang w:val="en-US" w:eastAsia="zh-CN"/>
                    </w:rPr>
                    <w:t>东</w:t>
                  </w:r>
                </w:p>
              </w:tc>
              <w:tc>
                <w:tcPr>
                  <w:tcW w:w="1080" w:type="dxa"/>
                  <w:tcBorders>
                    <w:tl2br w:val="nil"/>
                    <w:tr2bl w:val="nil"/>
                  </w:tcBorders>
                  <w:shd w:val="clear" w:color="auto" w:fill="auto"/>
                  <w:vAlign w:val="center"/>
                </w:tcPr>
                <w:p w14:paraId="7F9CCB88">
                  <w:pPr>
                    <w:numPr>
                      <w:ilvl w:val="0"/>
                      <w:numId w:val="0"/>
                    </w:numPr>
                    <w:ind w:left="0" w:leftChars="0" w:firstLine="0" w:firstLineChars="0"/>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b w:val="0"/>
                      <w:bCs w:val="0"/>
                      <w:color w:val="auto"/>
                      <w:sz w:val="21"/>
                      <w:szCs w:val="21"/>
                      <w:vertAlign w:val="baseline"/>
                      <w:lang w:val="en-US" w:eastAsia="zh-CN"/>
                    </w:rPr>
                    <w:t>约35</w:t>
                  </w:r>
                </w:p>
              </w:tc>
              <w:tc>
                <w:tcPr>
                  <w:tcW w:w="1213" w:type="dxa"/>
                  <w:tcBorders>
                    <w:tl2br w:val="nil"/>
                    <w:tr2bl w:val="nil"/>
                  </w:tcBorders>
                  <w:shd w:val="clear" w:color="auto" w:fill="auto"/>
                  <w:vAlign w:val="center"/>
                </w:tcPr>
                <w:p w14:paraId="2DB9CE1A">
                  <w:pPr>
                    <w:numPr>
                      <w:ilvl w:val="0"/>
                      <w:numId w:val="0"/>
                    </w:numPr>
                    <w:ind w:left="0" w:leftChars="0" w:firstLine="0" w:firstLineChars="0"/>
                    <w:jc w:val="center"/>
                    <w:rPr>
                      <w:rFonts w:hint="eastAsia" w:ascii="Times New Roman" w:hAnsi="Times New Roman" w:eastAsia="宋体" w:cs="Times New Roman"/>
                      <w:b w:val="0"/>
                      <w:bCs w:val="0"/>
                      <w:color w:val="auto"/>
                      <w:kern w:val="2"/>
                      <w:sz w:val="21"/>
                      <w:szCs w:val="21"/>
                      <w:vertAlign w:val="baseline"/>
                      <w:lang w:val="en-US" w:eastAsia="zh-CN" w:bidi="ar-SA"/>
                    </w:rPr>
                  </w:pPr>
                  <w:r>
                    <w:rPr>
                      <w:rFonts w:hint="eastAsia"/>
                      <w:b w:val="0"/>
                      <w:bCs w:val="0"/>
                      <w:color w:val="auto"/>
                      <w:sz w:val="21"/>
                      <w:szCs w:val="21"/>
                      <w:vertAlign w:val="baseline"/>
                      <w:lang w:val="en-US" w:eastAsia="zh-CN"/>
                    </w:rPr>
                    <w:t>居民</w:t>
                  </w:r>
                </w:p>
              </w:tc>
              <w:tc>
                <w:tcPr>
                  <w:tcW w:w="1330" w:type="dxa"/>
                  <w:vMerge w:val="continue"/>
                  <w:tcBorders>
                    <w:tl2br w:val="nil"/>
                    <w:tr2bl w:val="nil"/>
                  </w:tcBorders>
                  <w:vAlign w:val="center"/>
                </w:tcPr>
                <w:p w14:paraId="208A2C4B">
                  <w:pPr>
                    <w:numPr>
                      <w:ilvl w:val="0"/>
                      <w:numId w:val="0"/>
                    </w:numPr>
                    <w:jc w:val="center"/>
                    <w:rPr>
                      <w:b w:val="0"/>
                      <w:bCs w:val="0"/>
                      <w:color w:val="auto"/>
                      <w:sz w:val="21"/>
                      <w:szCs w:val="21"/>
                      <w:vertAlign w:val="baseline"/>
                    </w:rPr>
                  </w:pPr>
                </w:p>
              </w:tc>
            </w:tr>
            <w:tr w14:paraId="6521518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101" w:type="dxa"/>
                  <w:vMerge w:val="continue"/>
                  <w:tcBorders>
                    <w:tl2br w:val="nil"/>
                    <w:tr2bl w:val="nil"/>
                  </w:tcBorders>
                  <w:vAlign w:val="center"/>
                </w:tcPr>
                <w:p w14:paraId="7A02ECFA">
                  <w:pPr>
                    <w:numPr>
                      <w:ilvl w:val="0"/>
                      <w:numId w:val="0"/>
                    </w:numPr>
                    <w:jc w:val="center"/>
                    <w:rPr>
                      <w:b w:val="0"/>
                      <w:bCs w:val="0"/>
                      <w:color w:val="auto"/>
                      <w:sz w:val="21"/>
                      <w:szCs w:val="21"/>
                      <w:vertAlign w:val="baseline"/>
                    </w:rPr>
                  </w:pPr>
                </w:p>
              </w:tc>
              <w:tc>
                <w:tcPr>
                  <w:tcW w:w="2314" w:type="dxa"/>
                  <w:tcBorders>
                    <w:tl2br w:val="nil"/>
                    <w:tr2bl w:val="nil"/>
                  </w:tcBorders>
                  <w:vAlign w:val="center"/>
                </w:tcPr>
                <w:p w14:paraId="16BAD702">
                  <w:pPr>
                    <w:numPr>
                      <w:ilvl w:val="0"/>
                      <w:numId w:val="0"/>
                    </w:numPr>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光熙家园</w:t>
                  </w:r>
                </w:p>
              </w:tc>
              <w:tc>
                <w:tcPr>
                  <w:tcW w:w="893" w:type="dxa"/>
                  <w:tcBorders>
                    <w:tl2br w:val="nil"/>
                    <w:tr2bl w:val="nil"/>
                  </w:tcBorders>
                  <w:vAlign w:val="center"/>
                </w:tcPr>
                <w:p w14:paraId="4FF3DF40">
                  <w:pPr>
                    <w:numPr>
                      <w:ilvl w:val="0"/>
                      <w:numId w:val="0"/>
                    </w:numPr>
                    <w:ind w:left="0" w:leftChars="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eastAsia"/>
                      <w:b w:val="0"/>
                      <w:bCs w:val="0"/>
                      <w:color w:val="auto"/>
                      <w:sz w:val="21"/>
                      <w:szCs w:val="21"/>
                      <w:vertAlign w:val="baseline"/>
                      <w:lang w:val="en-US" w:eastAsia="zh-CN"/>
                    </w:rPr>
                    <w:t>东</w:t>
                  </w:r>
                </w:p>
              </w:tc>
              <w:tc>
                <w:tcPr>
                  <w:tcW w:w="1080" w:type="dxa"/>
                  <w:tcBorders>
                    <w:tl2br w:val="nil"/>
                    <w:tr2bl w:val="nil"/>
                  </w:tcBorders>
                  <w:vAlign w:val="center"/>
                </w:tcPr>
                <w:p w14:paraId="4F1FD1D3">
                  <w:pPr>
                    <w:numPr>
                      <w:ilvl w:val="0"/>
                      <w:numId w:val="0"/>
                    </w:numPr>
                    <w:ind w:left="0" w:leftChars="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eastAsia"/>
                      <w:b w:val="0"/>
                      <w:bCs w:val="0"/>
                      <w:color w:val="auto"/>
                      <w:sz w:val="21"/>
                      <w:szCs w:val="21"/>
                      <w:vertAlign w:val="baseline"/>
                      <w:lang w:val="en-US" w:eastAsia="zh-CN"/>
                    </w:rPr>
                    <w:t>约178</w:t>
                  </w:r>
                </w:p>
              </w:tc>
              <w:tc>
                <w:tcPr>
                  <w:tcW w:w="1213" w:type="dxa"/>
                  <w:tcBorders>
                    <w:tl2br w:val="nil"/>
                    <w:tr2bl w:val="nil"/>
                  </w:tcBorders>
                  <w:vAlign w:val="center"/>
                </w:tcPr>
                <w:p w14:paraId="0AED34AA">
                  <w:pPr>
                    <w:numPr>
                      <w:ilvl w:val="0"/>
                      <w:numId w:val="0"/>
                    </w:numPr>
                    <w:ind w:left="0" w:leftChars="0" w:firstLine="0" w:firstLineChars="0"/>
                    <w:jc w:val="center"/>
                    <w:rPr>
                      <w:rFonts w:hint="eastAsia" w:ascii="Times New Roman" w:hAnsi="Times New Roman" w:eastAsia="宋体" w:cs="Times New Roman"/>
                      <w:b w:val="0"/>
                      <w:bCs w:val="0"/>
                      <w:color w:val="auto"/>
                      <w:sz w:val="21"/>
                      <w:szCs w:val="21"/>
                      <w:vertAlign w:val="baseline"/>
                      <w:lang w:val="en-US" w:eastAsia="zh-CN"/>
                    </w:rPr>
                  </w:pPr>
                  <w:r>
                    <w:rPr>
                      <w:rFonts w:hint="eastAsia"/>
                      <w:b w:val="0"/>
                      <w:bCs w:val="0"/>
                      <w:color w:val="auto"/>
                      <w:sz w:val="21"/>
                      <w:szCs w:val="21"/>
                      <w:vertAlign w:val="baseline"/>
                      <w:lang w:val="en-US" w:eastAsia="zh-CN"/>
                    </w:rPr>
                    <w:t>居民</w:t>
                  </w:r>
                </w:p>
              </w:tc>
              <w:tc>
                <w:tcPr>
                  <w:tcW w:w="1330" w:type="dxa"/>
                  <w:vMerge w:val="continue"/>
                  <w:tcBorders>
                    <w:tl2br w:val="nil"/>
                    <w:tr2bl w:val="nil"/>
                  </w:tcBorders>
                  <w:vAlign w:val="center"/>
                </w:tcPr>
                <w:p w14:paraId="0170E619">
                  <w:pPr>
                    <w:numPr>
                      <w:ilvl w:val="0"/>
                      <w:numId w:val="0"/>
                    </w:numPr>
                    <w:jc w:val="center"/>
                    <w:rPr>
                      <w:b w:val="0"/>
                      <w:bCs w:val="0"/>
                      <w:color w:val="auto"/>
                      <w:sz w:val="21"/>
                      <w:szCs w:val="21"/>
                      <w:vertAlign w:val="baseline"/>
                    </w:rPr>
                  </w:pPr>
                </w:p>
              </w:tc>
            </w:tr>
            <w:tr w14:paraId="08B6508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101" w:type="dxa"/>
                  <w:vMerge w:val="continue"/>
                  <w:tcBorders>
                    <w:tl2br w:val="nil"/>
                    <w:tr2bl w:val="nil"/>
                  </w:tcBorders>
                  <w:vAlign w:val="center"/>
                </w:tcPr>
                <w:p w14:paraId="352CA77E">
                  <w:pPr>
                    <w:numPr>
                      <w:ilvl w:val="0"/>
                      <w:numId w:val="0"/>
                    </w:numPr>
                    <w:jc w:val="center"/>
                    <w:rPr>
                      <w:b w:val="0"/>
                      <w:bCs w:val="0"/>
                      <w:color w:val="auto"/>
                      <w:sz w:val="21"/>
                      <w:szCs w:val="21"/>
                      <w:vertAlign w:val="baseline"/>
                    </w:rPr>
                  </w:pPr>
                </w:p>
              </w:tc>
              <w:tc>
                <w:tcPr>
                  <w:tcW w:w="2314" w:type="dxa"/>
                  <w:tcBorders>
                    <w:tl2br w:val="nil"/>
                    <w:tr2bl w:val="nil"/>
                  </w:tcBorders>
                  <w:vAlign w:val="center"/>
                </w:tcPr>
                <w:p w14:paraId="3FD88F7C">
                  <w:pPr>
                    <w:numPr>
                      <w:ilvl w:val="0"/>
                      <w:numId w:val="0"/>
                    </w:numPr>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光熙门北里</w:t>
                  </w:r>
                </w:p>
              </w:tc>
              <w:tc>
                <w:tcPr>
                  <w:tcW w:w="893" w:type="dxa"/>
                  <w:tcBorders>
                    <w:tl2br w:val="nil"/>
                    <w:tr2bl w:val="nil"/>
                  </w:tcBorders>
                  <w:vAlign w:val="center"/>
                </w:tcPr>
                <w:p w14:paraId="5198033B">
                  <w:pPr>
                    <w:numPr>
                      <w:ilvl w:val="0"/>
                      <w:numId w:val="0"/>
                    </w:numPr>
                    <w:ind w:left="0" w:leftChars="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eastAsia"/>
                      <w:b w:val="0"/>
                      <w:bCs w:val="0"/>
                      <w:color w:val="auto"/>
                      <w:sz w:val="21"/>
                      <w:szCs w:val="21"/>
                      <w:vertAlign w:val="baseline"/>
                      <w:lang w:val="en-US" w:eastAsia="zh-CN"/>
                    </w:rPr>
                    <w:t>东</w:t>
                  </w:r>
                </w:p>
              </w:tc>
              <w:tc>
                <w:tcPr>
                  <w:tcW w:w="1080" w:type="dxa"/>
                  <w:tcBorders>
                    <w:tl2br w:val="nil"/>
                    <w:tr2bl w:val="nil"/>
                  </w:tcBorders>
                  <w:vAlign w:val="center"/>
                </w:tcPr>
                <w:p w14:paraId="057A21AD">
                  <w:pPr>
                    <w:numPr>
                      <w:ilvl w:val="0"/>
                      <w:numId w:val="0"/>
                    </w:numPr>
                    <w:ind w:left="0" w:leftChars="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eastAsia"/>
                      <w:b w:val="0"/>
                      <w:bCs w:val="0"/>
                      <w:color w:val="auto"/>
                      <w:sz w:val="21"/>
                      <w:szCs w:val="21"/>
                      <w:vertAlign w:val="baseline"/>
                      <w:lang w:val="en-US" w:eastAsia="zh-CN"/>
                    </w:rPr>
                    <w:t>约333</w:t>
                  </w:r>
                </w:p>
              </w:tc>
              <w:tc>
                <w:tcPr>
                  <w:tcW w:w="1213" w:type="dxa"/>
                  <w:tcBorders>
                    <w:tl2br w:val="nil"/>
                    <w:tr2bl w:val="nil"/>
                  </w:tcBorders>
                  <w:vAlign w:val="center"/>
                </w:tcPr>
                <w:p w14:paraId="7421042F">
                  <w:pPr>
                    <w:numPr>
                      <w:ilvl w:val="0"/>
                      <w:numId w:val="0"/>
                    </w:numPr>
                    <w:ind w:left="0" w:leftChars="0" w:firstLine="0" w:firstLineChars="0"/>
                    <w:jc w:val="center"/>
                    <w:rPr>
                      <w:rFonts w:hint="eastAsia" w:ascii="Times New Roman" w:hAnsi="Times New Roman" w:eastAsia="宋体" w:cs="Times New Roman"/>
                      <w:b w:val="0"/>
                      <w:bCs w:val="0"/>
                      <w:color w:val="auto"/>
                      <w:sz w:val="21"/>
                      <w:szCs w:val="21"/>
                      <w:vertAlign w:val="baseline"/>
                      <w:lang w:val="en-US" w:eastAsia="zh-CN"/>
                    </w:rPr>
                  </w:pPr>
                  <w:r>
                    <w:rPr>
                      <w:rFonts w:hint="eastAsia"/>
                      <w:b w:val="0"/>
                      <w:bCs w:val="0"/>
                      <w:color w:val="auto"/>
                      <w:sz w:val="21"/>
                      <w:szCs w:val="21"/>
                      <w:vertAlign w:val="baseline"/>
                      <w:lang w:val="en-US" w:eastAsia="zh-CN"/>
                    </w:rPr>
                    <w:t>居民</w:t>
                  </w:r>
                </w:p>
              </w:tc>
              <w:tc>
                <w:tcPr>
                  <w:tcW w:w="1330" w:type="dxa"/>
                  <w:vMerge w:val="continue"/>
                  <w:tcBorders>
                    <w:tl2br w:val="nil"/>
                    <w:tr2bl w:val="nil"/>
                  </w:tcBorders>
                  <w:vAlign w:val="center"/>
                </w:tcPr>
                <w:p w14:paraId="461AB9A3">
                  <w:pPr>
                    <w:numPr>
                      <w:ilvl w:val="0"/>
                      <w:numId w:val="0"/>
                    </w:numPr>
                    <w:jc w:val="center"/>
                    <w:rPr>
                      <w:b w:val="0"/>
                      <w:bCs w:val="0"/>
                      <w:color w:val="auto"/>
                      <w:sz w:val="21"/>
                      <w:szCs w:val="21"/>
                      <w:vertAlign w:val="baseline"/>
                    </w:rPr>
                  </w:pPr>
                </w:p>
              </w:tc>
            </w:tr>
            <w:tr w14:paraId="14F1CC1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101" w:type="dxa"/>
                  <w:vMerge w:val="continue"/>
                  <w:tcBorders>
                    <w:tl2br w:val="nil"/>
                    <w:tr2bl w:val="nil"/>
                  </w:tcBorders>
                  <w:vAlign w:val="center"/>
                </w:tcPr>
                <w:p w14:paraId="391928C8">
                  <w:pPr>
                    <w:numPr>
                      <w:ilvl w:val="0"/>
                      <w:numId w:val="0"/>
                    </w:numPr>
                    <w:jc w:val="center"/>
                    <w:rPr>
                      <w:b w:val="0"/>
                      <w:bCs w:val="0"/>
                      <w:color w:val="auto"/>
                      <w:sz w:val="21"/>
                      <w:szCs w:val="21"/>
                      <w:vertAlign w:val="baseline"/>
                    </w:rPr>
                  </w:pPr>
                </w:p>
              </w:tc>
              <w:tc>
                <w:tcPr>
                  <w:tcW w:w="2314" w:type="dxa"/>
                  <w:tcBorders>
                    <w:tl2br w:val="nil"/>
                    <w:tr2bl w:val="nil"/>
                  </w:tcBorders>
                  <w:vAlign w:val="center"/>
                </w:tcPr>
                <w:p w14:paraId="12371E49">
                  <w:pPr>
                    <w:numPr>
                      <w:ilvl w:val="0"/>
                      <w:numId w:val="0"/>
                    </w:numPr>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煤科院家属楼</w:t>
                  </w:r>
                </w:p>
              </w:tc>
              <w:tc>
                <w:tcPr>
                  <w:tcW w:w="893" w:type="dxa"/>
                  <w:tcBorders>
                    <w:tl2br w:val="nil"/>
                    <w:tr2bl w:val="nil"/>
                  </w:tcBorders>
                  <w:vAlign w:val="center"/>
                </w:tcPr>
                <w:p w14:paraId="16B0565D">
                  <w:pPr>
                    <w:numPr>
                      <w:ilvl w:val="0"/>
                      <w:numId w:val="0"/>
                    </w:numPr>
                    <w:ind w:left="0" w:leftChars="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eastAsia"/>
                      <w:b w:val="0"/>
                      <w:bCs w:val="0"/>
                      <w:color w:val="auto"/>
                      <w:sz w:val="21"/>
                      <w:szCs w:val="21"/>
                      <w:vertAlign w:val="baseline"/>
                      <w:lang w:val="en-US" w:eastAsia="zh-CN"/>
                    </w:rPr>
                    <w:t>西南</w:t>
                  </w:r>
                </w:p>
              </w:tc>
              <w:tc>
                <w:tcPr>
                  <w:tcW w:w="1080" w:type="dxa"/>
                  <w:tcBorders>
                    <w:tl2br w:val="nil"/>
                    <w:tr2bl w:val="nil"/>
                  </w:tcBorders>
                  <w:vAlign w:val="center"/>
                </w:tcPr>
                <w:p w14:paraId="35D29C26">
                  <w:pPr>
                    <w:numPr>
                      <w:ilvl w:val="0"/>
                      <w:numId w:val="0"/>
                    </w:numPr>
                    <w:ind w:left="0" w:leftChars="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eastAsia"/>
                      <w:b w:val="0"/>
                      <w:bCs w:val="0"/>
                      <w:color w:val="auto"/>
                      <w:sz w:val="21"/>
                      <w:szCs w:val="21"/>
                      <w:vertAlign w:val="baseline"/>
                      <w:lang w:val="en-US" w:eastAsia="zh-CN"/>
                    </w:rPr>
                    <w:t>约23</w:t>
                  </w:r>
                </w:p>
              </w:tc>
              <w:tc>
                <w:tcPr>
                  <w:tcW w:w="1213" w:type="dxa"/>
                  <w:tcBorders>
                    <w:tl2br w:val="nil"/>
                    <w:tr2bl w:val="nil"/>
                  </w:tcBorders>
                  <w:vAlign w:val="center"/>
                </w:tcPr>
                <w:p w14:paraId="055E59C7">
                  <w:pPr>
                    <w:numPr>
                      <w:ilvl w:val="0"/>
                      <w:numId w:val="0"/>
                    </w:numPr>
                    <w:ind w:left="0" w:leftChars="0" w:firstLine="0" w:firstLineChars="0"/>
                    <w:jc w:val="center"/>
                    <w:rPr>
                      <w:rFonts w:hint="eastAsia" w:ascii="Times New Roman" w:hAnsi="Times New Roman" w:eastAsia="宋体" w:cs="Times New Roman"/>
                      <w:b w:val="0"/>
                      <w:bCs w:val="0"/>
                      <w:color w:val="auto"/>
                      <w:sz w:val="21"/>
                      <w:szCs w:val="21"/>
                      <w:vertAlign w:val="baseline"/>
                      <w:lang w:val="en-US" w:eastAsia="zh-CN"/>
                    </w:rPr>
                  </w:pPr>
                  <w:r>
                    <w:rPr>
                      <w:rFonts w:hint="eastAsia"/>
                      <w:b w:val="0"/>
                      <w:bCs w:val="0"/>
                      <w:color w:val="auto"/>
                      <w:sz w:val="21"/>
                      <w:szCs w:val="21"/>
                      <w:vertAlign w:val="baseline"/>
                      <w:lang w:val="en-US" w:eastAsia="zh-CN"/>
                    </w:rPr>
                    <w:t>居民</w:t>
                  </w:r>
                </w:p>
              </w:tc>
              <w:tc>
                <w:tcPr>
                  <w:tcW w:w="1330" w:type="dxa"/>
                  <w:vMerge w:val="continue"/>
                  <w:tcBorders>
                    <w:tl2br w:val="nil"/>
                    <w:tr2bl w:val="nil"/>
                  </w:tcBorders>
                  <w:vAlign w:val="center"/>
                </w:tcPr>
                <w:p w14:paraId="24837EFB">
                  <w:pPr>
                    <w:numPr>
                      <w:ilvl w:val="0"/>
                      <w:numId w:val="0"/>
                    </w:numPr>
                    <w:jc w:val="center"/>
                    <w:rPr>
                      <w:b w:val="0"/>
                      <w:bCs w:val="0"/>
                      <w:color w:val="auto"/>
                      <w:sz w:val="21"/>
                      <w:szCs w:val="21"/>
                      <w:vertAlign w:val="baseline"/>
                    </w:rPr>
                  </w:pPr>
                </w:p>
              </w:tc>
            </w:tr>
            <w:tr w14:paraId="63DC6BB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101" w:type="dxa"/>
                  <w:vMerge w:val="continue"/>
                  <w:tcBorders>
                    <w:tl2br w:val="nil"/>
                    <w:tr2bl w:val="nil"/>
                  </w:tcBorders>
                  <w:vAlign w:val="center"/>
                </w:tcPr>
                <w:p w14:paraId="19C6AFA3">
                  <w:pPr>
                    <w:numPr>
                      <w:ilvl w:val="0"/>
                      <w:numId w:val="0"/>
                    </w:numPr>
                    <w:jc w:val="center"/>
                    <w:rPr>
                      <w:b w:val="0"/>
                      <w:bCs w:val="0"/>
                      <w:color w:val="auto"/>
                      <w:sz w:val="21"/>
                      <w:szCs w:val="21"/>
                      <w:vertAlign w:val="baseline"/>
                    </w:rPr>
                  </w:pPr>
                </w:p>
              </w:tc>
              <w:tc>
                <w:tcPr>
                  <w:tcW w:w="2314" w:type="dxa"/>
                  <w:tcBorders>
                    <w:tl2br w:val="nil"/>
                    <w:tr2bl w:val="nil"/>
                  </w:tcBorders>
                  <w:vAlign w:val="center"/>
                </w:tcPr>
                <w:p w14:paraId="2DDA99BE">
                  <w:pPr>
                    <w:numPr>
                      <w:ilvl w:val="0"/>
                      <w:numId w:val="0"/>
                    </w:numPr>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煤科院宾馆</w:t>
                  </w:r>
                </w:p>
              </w:tc>
              <w:tc>
                <w:tcPr>
                  <w:tcW w:w="893" w:type="dxa"/>
                  <w:tcBorders>
                    <w:tl2br w:val="nil"/>
                    <w:tr2bl w:val="nil"/>
                  </w:tcBorders>
                  <w:vAlign w:val="center"/>
                </w:tcPr>
                <w:p w14:paraId="0F2FF440">
                  <w:pPr>
                    <w:numPr>
                      <w:ilvl w:val="0"/>
                      <w:numId w:val="0"/>
                    </w:numPr>
                    <w:ind w:left="0" w:leftChars="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南</w:t>
                  </w:r>
                </w:p>
              </w:tc>
              <w:tc>
                <w:tcPr>
                  <w:tcW w:w="1080" w:type="dxa"/>
                  <w:tcBorders>
                    <w:tl2br w:val="nil"/>
                    <w:tr2bl w:val="nil"/>
                  </w:tcBorders>
                  <w:vAlign w:val="center"/>
                </w:tcPr>
                <w:p w14:paraId="40016A1F">
                  <w:pPr>
                    <w:numPr>
                      <w:ilvl w:val="0"/>
                      <w:numId w:val="0"/>
                    </w:numPr>
                    <w:ind w:left="0" w:leftChars="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eastAsia"/>
                      <w:b w:val="0"/>
                      <w:bCs w:val="0"/>
                      <w:color w:val="auto"/>
                      <w:sz w:val="21"/>
                      <w:szCs w:val="21"/>
                      <w:vertAlign w:val="baseline"/>
                      <w:lang w:val="en-US" w:eastAsia="zh-CN"/>
                    </w:rPr>
                    <w:t>约35</w:t>
                  </w:r>
                </w:p>
              </w:tc>
              <w:tc>
                <w:tcPr>
                  <w:tcW w:w="1213" w:type="dxa"/>
                  <w:tcBorders>
                    <w:tl2br w:val="nil"/>
                    <w:tr2bl w:val="nil"/>
                  </w:tcBorders>
                  <w:vAlign w:val="center"/>
                </w:tcPr>
                <w:p w14:paraId="24F919F9">
                  <w:pPr>
                    <w:numPr>
                      <w:ilvl w:val="0"/>
                      <w:numId w:val="0"/>
                    </w:numPr>
                    <w:ind w:left="0" w:leftChars="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旅客</w:t>
                  </w:r>
                </w:p>
              </w:tc>
              <w:tc>
                <w:tcPr>
                  <w:tcW w:w="1330" w:type="dxa"/>
                  <w:vMerge w:val="continue"/>
                  <w:tcBorders>
                    <w:tl2br w:val="nil"/>
                    <w:tr2bl w:val="nil"/>
                  </w:tcBorders>
                  <w:vAlign w:val="center"/>
                </w:tcPr>
                <w:p w14:paraId="223177F0">
                  <w:pPr>
                    <w:numPr>
                      <w:ilvl w:val="0"/>
                      <w:numId w:val="0"/>
                    </w:numPr>
                    <w:jc w:val="center"/>
                    <w:rPr>
                      <w:b w:val="0"/>
                      <w:bCs w:val="0"/>
                      <w:color w:val="auto"/>
                      <w:sz w:val="21"/>
                      <w:szCs w:val="21"/>
                      <w:vertAlign w:val="baseline"/>
                    </w:rPr>
                  </w:pPr>
                </w:p>
              </w:tc>
            </w:tr>
            <w:tr w14:paraId="3358C31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101" w:type="dxa"/>
                  <w:vMerge w:val="continue"/>
                  <w:tcBorders>
                    <w:tl2br w:val="nil"/>
                    <w:tr2bl w:val="nil"/>
                  </w:tcBorders>
                  <w:vAlign w:val="center"/>
                </w:tcPr>
                <w:p w14:paraId="4713A826">
                  <w:pPr>
                    <w:numPr>
                      <w:ilvl w:val="0"/>
                      <w:numId w:val="0"/>
                    </w:numPr>
                    <w:jc w:val="center"/>
                    <w:rPr>
                      <w:b w:val="0"/>
                      <w:bCs w:val="0"/>
                      <w:color w:val="auto"/>
                      <w:sz w:val="21"/>
                      <w:szCs w:val="21"/>
                      <w:vertAlign w:val="baseline"/>
                    </w:rPr>
                  </w:pPr>
                </w:p>
              </w:tc>
              <w:tc>
                <w:tcPr>
                  <w:tcW w:w="2314" w:type="dxa"/>
                  <w:tcBorders>
                    <w:tl2br w:val="nil"/>
                    <w:tr2bl w:val="nil"/>
                  </w:tcBorders>
                  <w:vAlign w:val="center"/>
                </w:tcPr>
                <w:p w14:paraId="10DD22DF">
                  <w:pPr>
                    <w:numPr>
                      <w:ilvl w:val="0"/>
                      <w:numId w:val="0"/>
                    </w:numPr>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城建三小区</w:t>
                  </w:r>
                </w:p>
              </w:tc>
              <w:tc>
                <w:tcPr>
                  <w:tcW w:w="893" w:type="dxa"/>
                  <w:tcBorders>
                    <w:tl2br w:val="nil"/>
                    <w:tr2bl w:val="nil"/>
                  </w:tcBorders>
                  <w:vAlign w:val="center"/>
                </w:tcPr>
                <w:p w14:paraId="5C91CE22">
                  <w:pPr>
                    <w:numPr>
                      <w:ilvl w:val="0"/>
                      <w:numId w:val="0"/>
                    </w:numPr>
                    <w:ind w:left="0" w:leftChars="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eastAsia"/>
                      <w:b w:val="0"/>
                      <w:bCs w:val="0"/>
                      <w:color w:val="auto"/>
                      <w:sz w:val="21"/>
                      <w:szCs w:val="21"/>
                      <w:vertAlign w:val="baseline"/>
                      <w:lang w:val="en-US" w:eastAsia="zh-CN"/>
                    </w:rPr>
                    <w:t>东南</w:t>
                  </w:r>
                </w:p>
              </w:tc>
              <w:tc>
                <w:tcPr>
                  <w:tcW w:w="1080" w:type="dxa"/>
                  <w:tcBorders>
                    <w:tl2br w:val="nil"/>
                    <w:tr2bl w:val="nil"/>
                  </w:tcBorders>
                  <w:vAlign w:val="center"/>
                </w:tcPr>
                <w:p w14:paraId="57237AD4">
                  <w:pPr>
                    <w:numPr>
                      <w:ilvl w:val="0"/>
                      <w:numId w:val="0"/>
                    </w:numPr>
                    <w:ind w:left="0" w:leftChars="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eastAsia"/>
                      <w:b w:val="0"/>
                      <w:bCs w:val="0"/>
                      <w:color w:val="auto"/>
                      <w:sz w:val="21"/>
                      <w:szCs w:val="21"/>
                      <w:vertAlign w:val="baseline"/>
                      <w:lang w:val="en-US" w:eastAsia="zh-CN"/>
                    </w:rPr>
                    <w:t>约78</w:t>
                  </w:r>
                </w:p>
              </w:tc>
              <w:tc>
                <w:tcPr>
                  <w:tcW w:w="1213" w:type="dxa"/>
                  <w:tcBorders>
                    <w:tl2br w:val="nil"/>
                    <w:tr2bl w:val="nil"/>
                  </w:tcBorders>
                  <w:vAlign w:val="center"/>
                </w:tcPr>
                <w:p w14:paraId="4A45E581">
                  <w:pPr>
                    <w:numPr>
                      <w:ilvl w:val="0"/>
                      <w:numId w:val="0"/>
                    </w:numPr>
                    <w:ind w:left="0" w:leftChars="0" w:firstLine="0" w:firstLineChars="0"/>
                    <w:jc w:val="center"/>
                    <w:rPr>
                      <w:rFonts w:hint="eastAsia" w:ascii="Times New Roman" w:hAnsi="Times New Roman" w:eastAsia="宋体" w:cs="Times New Roman"/>
                      <w:b w:val="0"/>
                      <w:bCs w:val="0"/>
                      <w:color w:val="auto"/>
                      <w:sz w:val="21"/>
                      <w:szCs w:val="21"/>
                      <w:vertAlign w:val="baseline"/>
                      <w:lang w:val="en-US" w:eastAsia="zh-CN"/>
                    </w:rPr>
                  </w:pPr>
                  <w:r>
                    <w:rPr>
                      <w:rFonts w:hint="eastAsia"/>
                      <w:b w:val="0"/>
                      <w:bCs w:val="0"/>
                      <w:color w:val="auto"/>
                      <w:sz w:val="21"/>
                      <w:szCs w:val="21"/>
                      <w:vertAlign w:val="baseline"/>
                      <w:lang w:val="en-US" w:eastAsia="zh-CN"/>
                    </w:rPr>
                    <w:t>居民</w:t>
                  </w:r>
                </w:p>
              </w:tc>
              <w:tc>
                <w:tcPr>
                  <w:tcW w:w="1330" w:type="dxa"/>
                  <w:vMerge w:val="continue"/>
                  <w:tcBorders>
                    <w:tl2br w:val="nil"/>
                    <w:tr2bl w:val="nil"/>
                  </w:tcBorders>
                  <w:vAlign w:val="center"/>
                </w:tcPr>
                <w:p w14:paraId="609423C3">
                  <w:pPr>
                    <w:numPr>
                      <w:ilvl w:val="0"/>
                      <w:numId w:val="0"/>
                    </w:numPr>
                    <w:jc w:val="center"/>
                    <w:rPr>
                      <w:b w:val="0"/>
                      <w:bCs w:val="0"/>
                      <w:color w:val="auto"/>
                      <w:sz w:val="21"/>
                      <w:szCs w:val="21"/>
                      <w:vertAlign w:val="baseline"/>
                    </w:rPr>
                  </w:pPr>
                </w:p>
              </w:tc>
            </w:tr>
            <w:tr w14:paraId="385F769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101" w:type="dxa"/>
                  <w:vMerge w:val="continue"/>
                  <w:tcBorders>
                    <w:tl2br w:val="nil"/>
                    <w:tr2bl w:val="nil"/>
                  </w:tcBorders>
                  <w:vAlign w:val="center"/>
                </w:tcPr>
                <w:p w14:paraId="181B10A8">
                  <w:pPr>
                    <w:numPr>
                      <w:ilvl w:val="0"/>
                      <w:numId w:val="0"/>
                    </w:numPr>
                    <w:jc w:val="center"/>
                    <w:rPr>
                      <w:b w:val="0"/>
                      <w:bCs w:val="0"/>
                      <w:color w:val="auto"/>
                      <w:sz w:val="21"/>
                      <w:szCs w:val="21"/>
                      <w:vertAlign w:val="baseline"/>
                    </w:rPr>
                  </w:pPr>
                </w:p>
              </w:tc>
              <w:tc>
                <w:tcPr>
                  <w:tcW w:w="2314" w:type="dxa"/>
                  <w:tcBorders>
                    <w:tl2br w:val="nil"/>
                    <w:tr2bl w:val="nil"/>
                  </w:tcBorders>
                  <w:vAlign w:val="center"/>
                </w:tcPr>
                <w:p w14:paraId="5062442B">
                  <w:pPr>
                    <w:numPr>
                      <w:ilvl w:val="0"/>
                      <w:numId w:val="0"/>
                    </w:numPr>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和平十四街社区</w:t>
                  </w:r>
                </w:p>
              </w:tc>
              <w:tc>
                <w:tcPr>
                  <w:tcW w:w="893" w:type="dxa"/>
                  <w:tcBorders>
                    <w:tl2br w:val="nil"/>
                    <w:tr2bl w:val="nil"/>
                  </w:tcBorders>
                  <w:vAlign w:val="center"/>
                </w:tcPr>
                <w:p w14:paraId="79C50F79">
                  <w:pPr>
                    <w:numPr>
                      <w:ilvl w:val="0"/>
                      <w:numId w:val="0"/>
                    </w:numPr>
                    <w:ind w:left="0" w:leftChars="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南</w:t>
                  </w:r>
                </w:p>
              </w:tc>
              <w:tc>
                <w:tcPr>
                  <w:tcW w:w="1080" w:type="dxa"/>
                  <w:tcBorders>
                    <w:tl2br w:val="nil"/>
                    <w:tr2bl w:val="nil"/>
                  </w:tcBorders>
                  <w:vAlign w:val="center"/>
                </w:tcPr>
                <w:p w14:paraId="058AD65A">
                  <w:pPr>
                    <w:numPr>
                      <w:ilvl w:val="0"/>
                      <w:numId w:val="0"/>
                    </w:numPr>
                    <w:ind w:left="0" w:leftChars="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eastAsia"/>
                      <w:b w:val="0"/>
                      <w:bCs w:val="0"/>
                      <w:color w:val="auto"/>
                      <w:sz w:val="21"/>
                      <w:szCs w:val="21"/>
                      <w:vertAlign w:val="baseline"/>
                      <w:lang w:val="en-US" w:eastAsia="zh-CN"/>
                    </w:rPr>
                    <w:t>约195</w:t>
                  </w:r>
                </w:p>
              </w:tc>
              <w:tc>
                <w:tcPr>
                  <w:tcW w:w="1213" w:type="dxa"/>
                  <w:tcBorders>
                    <w:tl2br w:val="nil"/>
                    <w:tr2bl w:val="nil"/>
                  </w:tcBorders>
                  <w:vAlign w:val="center"/>
                </w:tcPr>
                <w:p w14:paraId="393A59E0">
                  <w:pPr>
                    <w:numPr>
                      <w:ilvl w:val="0"/>
                      <w:numId w:val="0"/>
                    </w:numPr>
                    <w:ind w:left="0" w:leftChars="0" w:firstLine="0" w:firstLineChars="0"/>
                    <w:jc w:val="center"/>
                    <w:rPr>
                      <w:rFonts w:hint="eastAsia" w:ascii="Times New Roman" w:hAnsi="Times New Roman" w:eastAsia="宋体" w:cs="Times New Roman"/>
                      <w:b w:val="0"/>
                      <w:bCs w:val="0"/>
                      <w:color w:val="auto"/>
                      <w:sz w:val="21"/>
                      <w:szCs w:val="21"/>
                      <w:vertAlign w:val="baseline"/>
                      <w:lang w:val="en-US" w:eastAsia="zh-CN"/>
                    </w:rPr>
                  </w:pPr>
                  <w:r>
                    <w:rPr>
                      <w:rFonts w:hint="eastAsia"/>
                      <w:b w:val="0"/>
                      <w:bCs w:val="0"/>
                      <w:color w:val="auto"/>
                      <w:sz w:val="21"/>
                      <w:szCs w:val="21"/>
                      <w:vertAlign w:val="baseline"/>
                      <w:lang w:val="en-US" w:eastAsia="zh-CN"/>
                    </w:rPr>
                    <w:t>居民</w:t>
                  </w:r>
                </w:p>
              </w:tc>
              <w:tc>
                <w:tcPr>
                  <w:tcW w:w="1330" w:type="dxa"/>
                  <w:vMerge w:val="continue"/>
                  <w:tcBorders>
                    <w:tl2br w:val="nil"/>
                    <w:tr2bl w:val="nil"/>
                  </w:tcBorders>
                  <w:vAlign w:val="center"/>
                </w:tcPr>
                <w:p w14:paraId="4D8A37C6">
                  <w:pPr>
                    <w:numPr>
                      <w:ilvl w:val="0"/>
                      <w:numId w:val="0"/>
                    </w:numPr>
                    <w:jc w:val="center"/>
                    <w:rPr>
                      <w:b w:val="0"/>
                      <w:bCs w:val="0"/>
                      <w:color w:val="auto"/>
                      <w:sz w:val="21"/>
                      <w:szCs w:val="21"/>
                      <w:vertAlign w:val="baseline"/>
                    </w:rPr>
                  </w:pPr>
                </w:p>
              </w:tc>
            </w:tr>
            <w:tr w14:paraId="6683645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101" w:type="dxa"/>
                  <w:vMerge w:val="continue"/>
                  <w:tcBorders>
                    <w:tl2br w:val="nil"/>
                    <w:tr2bl w:val="nil"/>
                  </w:tcBorders>
                  <w:vAlign w:val="center"/>
                </w:tcPr>
                <w:p w14:paraId="4046A572">
                  <w:pPr>
                    <w:numPr>
                      <w:ilvl w:val="0"/>
                      <w:numId w:val="0"/>
                    </w:numPr>
                    <w:jc w:val="center"/>
                    <w:rPr>
                      <w:b w:val="0"/>
                      <w:bCs w:val="0"/>
                      <w:color w:val="auto"/>
                      <w:sz w:val="21"/>
                      <w:szCs w:val="21"/>
                      <w:vertAlign w:val="baseline"/>
                    </w:rPr>
                  </w:pPr>
                </w:p>
              </w:tc>
              <w:tc>
                <w:tcPr>
                  <w:tcW w:w="2314" w:type="dxa"/>
                  <w:tcBorders>
                    <w:tl2br w:val="nil"/>
                    <w:tr2bl w:val="nil"/>
                  </w:tcBorders>
                  <w:vAlign w:val="center"/>
                </w:tcPr>
                <w:p w14:paraId="307EB75A">
                  <w:pPr>
                    <w:numPr>
                      <w:ilvl w:val="0"/>
                      <w:numId w:val="0"/>
                    </w:numPr>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煤科院社区居委会</w:t>
                  </w:r>
                </w:p>
              </w:tc>
              <w:tc>
                <w:tcPr>
                  <w:tcW w:w="893" w:type="dxa"/>
                  <w:tcBorders>
                    <w:tl2br w:val="nil"/>
                    <w:tr2bl w:val="nil"/>
                  </w:tcBorders>
                  <w:vAlign w:val="center"/>
                </w:tcPr>
                <w:p w14:paraId="336BCA61">
                  <w:pPr>
                    <w:numPr>
                      <w:ilvl w:val="0"/>
                      <w:numId w:val="0"/>
                    </w:numPr>
                    <w:ind w:left="0" w:leftChars="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西南</w:t>
                  </w:r>
                </w:p>
              </w:tc>
              <w:tc>
                <w:tcPr>
                  <w:tcW w:w="1080" w:type="dxa"/>
                  <w:tcBorders>
                    <w:tl2br w:val="nil"/>
                    <w:tr2bl w:val="nil"/>
                  </w:tcBorders>
                  <w:vAlign w:val="center"/>
                </w:tcPr>
                <w:p w14:paraId="4246FE9A">
                  <w:pPr>
                    <w:numPr>
                      <w:ilvl w:val="0"/>
                      <w:numId w:val="0"/>
                    </w:numPr>
                    <w:ind w:left="0" w:leftChars="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eastAsia"/>
                      <w:b w:val="0"/>
                      <w:bCs w:val="0"/>
                      <w:color w:val="auto"/>
                      <w:sz w:val="21"/>
                      <w:szCs w:val="21"/>
                      <w:vertAlign w:val="baseline"/>
                      <w:lang w:val="en-US" w:eastAsia="zh-CN"/>
                    </w:rPr>
                    <w:t>约260</w:t>
                  </w:r>
                </w:p>
              </w:tc>
              <w:tc>
                <w:tcPr>
                  <w:tcW w:w="1213" w:type="dxa"/>
                  <w:tcBorders>
                    <w:tl2br w:val="nil"/>
                    <w:tr2bl w:val="nil"/>
                  </w:tcBorders>
                  <w:vAlign w:val="center"/>
                </w:tcPr>
                <w:p w14:paraId="1803089F">
                  <w:pPr>
                    <w:numPr>
                      <w:ilvl w:val="0"/>
                      <w:numId w:val="0"/>
                    </w:numPr>
                    <w:ind w:left="0" w:leftChars="0" w:firstLine="0" w:firstLineChars="0"/>
                    <w:jc w:val="center"/>
                    <w:rPr>
                      <w:rFonts w:hint="eastAsia" w:ascii="Times New Roman" w:hAnsi="Times New Roman" w:eastAsia="宋体" w:cs="Times New Roman"/>
                      <w:b w:val="0"/>
                      <w:bCs w:val="0"/>
                      <w:color w:val="auto"/>
                      <w:sz w:val="21"/>
                      <w:szCs w:val="21"/>
                      <w:vertAlign w:val="baseline"/>
                      <w:lang w:val="en-US" w:eastAsia="zh-CN"/>
                    </w:rPr>
                  </w:pPr>
                  <w:r>
                    <w:rPr>
                      <w:rFonts w:hint="eastAsia"/>
                      <w:b w:val="0"/>
                      <w:bCs w:val="0"/>
                      <w:color w:val="auto"/>
                      <w:sz w:val="21"/>
                      <w:szCs w:val="21"/>
                      <w:vertAlign w:val="baseline"/>
                      <w:lang w:val="en-US" w:eastAsia="zh-CN"/>
                    </w:rPr>
                    <w:t>办公</w:t>
                  </w:r>
                </w:p>
              </w:tc>
              <w:tc>
                <w:tcPr>
                  <w:tcW w:w="1330" w:type="dxa"/>
                  <w:vMerge w:val="continue"/>
                  <w:tcBorders>
                    <w:tl2br w:val="nil"/>
                    <w:tr2bl w:val="nil"/>
                  </w:tcBorders>
                  <w:vAlign w:val="center"/>
                </w:tcPr>
                <w:p w14:paraId="736EB118">
                  <w:pPr>
                    <w:numPr>
                      <w:ilvl w:val="0"/>
                      <w:numId w:val="0"/>
                    </w:numPr>
                    <w:jc w:val="center"/>
                    <w:rPr>
                      <w:b w:val="0"/>
                      <w:bCs w:val="0"/>
                      <w:color w:val="auto"/>
                      <w:sz w:val="21"/>
                      <w:szCs w:val="21"/>
                      <w:vertAlign w:val="baseline"/>
                    </w:rPr>
                  </w:pPr>
                </w:p>
              </w:tc>
            </w:tr>
          </w:tbl>
          <w:p w14:paraId="332DC40A">
            <w:pPr>
              <w:pStyle w:val="20"/>
              <w:numPr>
                <w:ilvl w:val="0"/>
                <w:numId w:val="15"/>
              </w:numPr>
              <w:adjustRightInd w:val="0"/>
              <w:snapToGrid w:val="0"/>
              <w:spacing w:before="0" w:beforeAutospacing="0" w:after="0" w:afterAutospacing="0" w:line="360" w:lineRule="auto"/>
              <w:rPr>
                <w:rFonts w:hint="default" w:ascii="Times New Roman" w:hAnsi="Times New Roman" w:eastAsia="宋体" w:cs="Times New Roman"/>
                <w:b/>
                <w:bCs/>
                <w:color w:val="auto"/>
                <w:sz w:val="22"/>
                <w:szCs w:val="22"/>
                <w:highlight w:val="none"/>
                <w:lang w:bidi="ar"/>
              </w:rPr>
            </w:pPr>
            <w:r>
              <w:rPr>
                <w:rFonts w:hint="default" w:ascii="Times New Roman" w:hAnsi="Times New Roman" w:eastAsia="宋体" w:cs="Times New Roman"/>
                <w:b/>
                <w:bCs/>
                <w:color w:val="auto"/>
                <w:sz w:val="22"/>
                <w:szCs w:val="22"/>
                <w:highlight w:val="none"/>
                <w:lang w:bidi="ar"/>
              </w:rPr>
              <w:t>声环境</w:t>
            </w:r>
          </w:p>
          <w:p w14:paraId="5842A38F">
            <w:pPr>
              <w:autoSpaceDE w:val="0"/>
              <w:autoSpaceDN w:val="0"/>
              <w:adjustRightInd w:val="0"/>
              <w:spacing w:line="360" w:lineRule="auto"/>
              <w:ind w:firstLine="480" w:firstLineChars="200"/>
              <w:rPr>
                <w:rFonts w:hint="default" w:ascii="Times New Roman" w:hAnsi="Times New Roman" w:eastAsia="宋体" w:cs="Times New Roman"/>
                <w:color w:val="auto"/>
                <w:sz w:val="24"/>
                <w:szCs w:val="32"/>
                <w:highlight w:val="none"/>
              </w:rPr>
            </w:pPr>
            <w:r>
              <w:rPr>
                <w:rFonts w:hint="default" w:ascii="Times New Roman" w:hAnsi="Times New Roman" w:eastAsia="宋体" w:cs="Times New Roman"/>
                <w:color w:val="auto"/>
                <w:sz w:val="24"/>
                <w:szCs w:val="32"/>
                <w:highlight w:val="none"/>
              </w:rPr>
              <w:t>项目厂界外50m范围内声环境保护目标</w:t>
            </w:r>
            <w:r>
              <w:rPr>
                <w:rFonts w:hint="eastAsia" w:cs="Times New Roman"/>
                <w:color w:val="auto"/>
                <w:sz w:val="24"/>
                <w:szCs w:val="32"/>
                <w:highlight w:val="none"/>
                <w:lang w:val="en-US" w:eastAsia="zh-CN"/>
              </w:rPr>
              <w:t>见下表</w:t>
            </w:r>
            <w:r>
              <w:rPr>
                <w:rFonts w:hint="default" w:ascii="Times New Roman" w:hAnsi="Times New Roman" w:eastAsia="宋体" w:cs="Times New Roman"/>
                <w:color w:val="auto"/>
                <w:sz w:val="24"/>
                <w:szCs w:val="32"/>
                <w:highlight w:val="none"/>
              </w:rPr>
              <w:t>。</w:t>
            </w:r>
          </w:p>
          <w:tbl>
            <w:tblPr>
              <w:tblStyle w:val="24"/>
              <w:tblW w:w="7931" w:type="dxa"/>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914"/>
              <w:gridCol w:w="826"/>
              <w:gridCol w:w="1067"/>
              <w:gridCol w:w="1013"/>
              <w:gridCol w:w="2010"/>
            </w:tblGrid>
            <w:tr w14:paraId="7437B07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101" w:type="dxa"/>
                  <w:tcBorders>
                    <w:tl2br w:val="nil"/>
                    <w:tr2bl w:val="nil"/>
                  </w:tcBorders>
                  <w:vAlign w:val="center"/>
                </w:tcPr>
                <w:p w14:paraId="4533106B">
                  <w:pPr>
                    <w:keepNext w:val="0"/>
                    <w:keepLines w:val="0"/>
                    <w:widowControl/>
                    <w:suppressLineNumbers w:val="0"/>
                    <w:jc w:val="center"/>
                    <w:rPr>
                      <w:b/>
                      <w:bCs/>
                      <w:color w:val="auto"/>
                      <w:sz w:val="21"/>
                      <w:szCs w:val="21"/>
                    </w:rPr>
                  </w:pPr>
                  <w:r>
                    <w:rPr>
                      <w:rFonts w:hint="eastAsia" w:ascii="宋体" w:hAnsi="宋体" w:eastAsia="宋体" w:cs="宋体"/>
                      <w:b/>
                      <w:bCs/>
                      <w:color w:val="auto"/>
                      <w:kern w:val="0"/>
                      <w:sz w:val="21"/>
                      <w:szCs w:val="21"/>
                      <w:lang w:val="en-US" w:eastAsia="zh-CN" w:bidi="ar"/>
                    </w:rPr>
                    <w:t>环境保护</w:t>
                  </w:r>
                </w:p>
                <w:p w14:paraId="73F81CBF">
                  <w:pPr>
                    <w:keepNext w:val="0"/>
                    <w:keepLines w:val="0"/>
                    <w:widowControl/>
                    <w:suppressLineNumbers w:val="0"/>
                    <w:jc w:val="center"/>
                    <w:rPr>
                      <w:b/>
                      <w:bCs/>
                      <w:color w:val="auto"/>
                      <w:sz w:val="21"/>
                      <w:szCs w:val="21"/>
                      <w:vertAlign w:val="baseline"/>
                    </w:rPr>
                  </w:pPr>
                  <w:r>
                    <w:rPr>
                      <w:rFonts w:hint="eastAsia" w:ascii="宋体" w:hAnsi="宋体" w:eastAsia="宋体" w:cs="宋体"/>
                      <w:b/>
                      <w:bCs/>
                      <w:color w:val="auto"/>
                      <w:kern w:val="0"/>
                      <w:sz w:val="21"/>
                      <w:szCs w:val="21"/>
                      <w:lang w:val="en-US" w:eastAsia="zh-CN" w:bidi="ar"/>
                    </w:rPr>
                    <w:t>要素</w:t>
                  </w:r>
                </w:p>
              </w:tc>
              <w:tc>
                <w:tcPr>
                  <w:tcW w:w="1914" w:type="dxa"/>
                  <w:tcBorders>
                    <w:tl2br w:val="nil"/>
                    <w:tr2bl w:val="nil"/>
                  </w:tcBorders>
                  <w:vAlign w:val="center"/>
                </w:tcPr>
                <w:p w14:paraId="757490FA">
                  <w:pPr>
                    <w:numPr>
                      <w:ilvl w:val="0"/>
                      <w:numId w:val="0"/>
                    </w:numPr>
                    <w:jc w:val="center"/>
                    <w:rPr>
                      <w:b/>
                      <w:bCs/>
                      <w:color w:val="auto"/>
                      <w:sz w:val="21"/>
                      <w:szCs w:val="21"/>
                      <w:vertAlign w:val="baseline"/>
                    </w:rPr>
                  </w:pPr>
                  <w:r>
                    <w:rPr>
                      <w:rFonts w:hint="eastAsia" w:ascii="宋体" w:hAnsi="宋体" w:eastAsia="宋体" w:cs="宋体"/>
                      <w:b/>
                      <w:bCs/>
                      <w:color w:val="auto"/>
                      <w:kern w:val="0"/>
                      <w:sz w:val="21"/>
                      <w:szCs w:val="21"/>
                      <w:lang w:val="en-US" w:eastAsia="zh-CN" w:bidi="ar"/>
                    </w:rPr>
                    <w:t>环境保护目标</w:t>
                  </w:r>
                </w:p>
              </w:tc>
              <w:tc>
                <w:tcPr>
                  <w:tcW w:w="826" w:type="dxa"/>
                  <w:tcBorders>
                    <w:tl2br w:val="nil"/>
                    <w:tr2bl w:val="nil"/>
                  </w:tcBorders>
                  <w:vAlign w:val="center"/>
                </w:tcPr>
                <w:p w14:paraId="3542BBA1">
                  <w:pPr>
                    <w:numPr>
                      <w:ilvl w:val="0"/>
                      <w:numId w:val="0"/>
                    </w:numPr>
                    <w:jc w:val="center"/>
                    <w:rPr>
                      <w:b/>
                      <w:bCs/>
                      <w:color w:val="auto"/>
                      <w:sz w:val="21"/>
                      <w:szCs w:val="21"/>
                      <w:vertAlign w:val="baseline"/>
                    </w:rPr>
                  </w:pPr>
                  <w:r>
                    <w:rPr>
                      <w:rFonts w:hint="eastAsia" w:ascii="宋体" w:hAnsi="宋体" w:eastAsia="宋体" w:cs="宋体"/>
                      <w:b/>
                      <w:bCs/>
                      <w:color w:val="auto"/>
                      <w:kern w:val="0"/>
                      <w:sz w:val="21"/>
                      <w:szCs w:val="21"/>
                      <w:lang w:val="en-US" w:eastAsia="zh-CN" w:bidi="ar"/>
                    </w:rPr>
                    <w:t>方位</w:t>
                  </w:r>
                </w:p>
              </w:tc>
              <w:tc>
                <w:tcPr>
                  <w:tcW w:w="1067" w:type="dxa"/>
                  <w:tcBorders>
                    <w:tl2br w:val="nil"/>
                    <w:tr2bl w:val="nil"/>
                  </w:tcBorders>
                  <w:vAlign w:val="center"/>
                </w:tcPr>
                <w:p w14:paraId="3DDDE7EC">
                  <w:pPr>
                    <w:numPr>
                      <w:ilvl w:val="0"/>
                      <w:numId w:val="0"/>
                    </w:numPr>
                    <w:jc w:val="center"/>
                    <w:rPr>
                      <w:rFonts w:hint="default" w:ascii="宋体" w:hAnsi="宋体" w:eastAsia="宋体" w:cs="宋体"/>
                      <w:b/>
                      <w:bCs/>
                      <w:color w:val="auto"/>
                      <w:kern w:val="0"/>
                      <w:sz w:val="21"/>
                      <w:szCs w:val="21"/>
                      <w:lang w:val="en-US" w:eastAsia="zh-CN" w:bidi="ar"/>
                    </w:rPr>
                  </w:pPr>
                  <w:r>
                    <w:rPr>
                      <w:rFonts w:hint="eastAsia" w:ascii="宋体" w:hAnsi="宋体" w:eastAsia="宋体" w:cs="宋体"/>
                      <w:b/>
                      <w:bCs/>
                      <w:color w:val="auto"/>
                      <w:kern w:val="0"/>
                      <w:sz w:val="21"/>
                      <w:szCs w:val="21"/>
                      <w:lang w:val="en-US" w:eastAsia="zh-CN" w:bidi="ar"/>
                    </w:rPr>
                    <w:t>距离</w:t>
                  </w:r>
                  <w:r>
                    <w:rPr>
                      <w:rFonts w:hint="eastAsia" w:ascii="宋体" w:hAnsi="宋体" w:cs="宋体"/>
                      <w:b/>
                      <w:bCs/>
                      <w:color w:val="auto"/>
                      <w:kern w:val="0"/>
                      <w:sz w:val="21"/>
                      <w:szCs w:val="21"/>
                      <w:lang w:val="en-US" w:eastAsia="zh-CN" w:bidi="ar"/>
                    </w:rPr>
                    <w:t>，m</w:t>
                  </w:r>
                </w:p>
              </w:tc>
              <w:tc>
                <w:tcPr>
                  <w:tcW w:w="1013" w:type="dxa"/>
                  <w:tcBorders>
                    <w:tl2br w:val="nil"/>
                    <w:tr2bl w:val="nil"/>
                  </w:tcBorders>
                  <w:vAlign w:val="center"/>
                </w:tcPr>
                <w:p w14:paraId="78F4A3E9">
                  <w:pPr>
                    <w:numPr>
                      <w:ilvl w:val="0"/>
                      <w:numId w:val="0"/>
                    </w:numPr>
                    <w:jc w:val="center"/>
                    <w:rPr>
                      <w:b/>
                      <w:bCs/>
                      <w:color w:val="auto"/>
                      <w:sz w:val="21"/>
                      <w:szCs w:val="21"/>
                      <w:vertAlign w:val="baseline"/>
                    </w:rPr>
                  </w:pPr>
                  <w:r>
                    <w:rPr>
                      <w:rFonts w:hint="eastAsia" w:ascii="宋体" w:hAnsi="宋体" w:eastAsia="宋体" w:cs="宋体"/>
                      <w:b/>
                      <w:bCs/>
                      <w:color w:val="auto"/>
                      <w:kern w:val="0"/>
                      <w:sz w:val="21"/>
                      <w:szCs w:val="21"/>
                      <w:lang w:val="en-US" w:eastAsia="zh-CN" w:bidi="ar"/>
                    </w:rPr>
                    <w:t>保护对象</w:t>
                  </w:r>
                </w:p>
              </w:tc>
              <w:tc>
                <w:tcPr>
                  <w:tcW w:w="2010" w:type="dxa"/>
                  <w:tcBorders>
                    <w:tl2br w:val="nil"/>
                    <w:tr2bl w:val="nil"/>
                  </w:tcBorders>
                  <w:vAlign w:val="center"/>
                </w:tcPr>
                <w:p w14:paraId="4DBBA397">
                  <w:pPr>
                    <w:keepNext w:val="0"/>
                    <w:keepLines w:val="0"/>
                    <w:widowControl/>
                    <w:suppressLineNumbers w:val="0"/>
                    <w:jc w:val="center"/>
                    <w:rPr>
                      <w:b/>
                      <w:bCs/>
                      <w:color w:val="auto"/>
                      <w:sz w:val="21"/>
                      <w:szCs w:val="21"/>
                      <w:vertAlign w:val="baseline"/>
                    </w:rPr>
                  </w:pPr>
                  <w:r>
                    <w:rPr>
                      <w:rFonts w:hint="eastAsia" w:ascii="宋体" w:hAnsi="宋体" w:eastAsia="宋体" w:cs="宋体"/>
                      <w:b/>
                      <w:bCs/>
                      <w:color w:val="auto"/>
                      <w:kern w:val="0"/>
                      <w:sz w:val="21"/>
                      <w:szCs w:val="21"/>
                      <w:lang w:val="en-US" w:eastAsia="zh-CN" w:bidi="ar"/>
                    </w:rPr>
                    <w:t>保护级别</w:t>
                  </w:r>
                </w:p>
              </w:tc>
            </w:tr>
            <w:tr w14:paraId="4C35A9D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101" w:type="dxa"/>
                  <w:vMerge w:val="restart"/>
                  <w:tcBorders>
                    <w:tl2br w:val="nil"/>
                    <w:tr2bl w:val="nil"/>
                  </w:tcBorders>
                  <w:vAlign w:val="center"/>
                </w:tcPr>
                <w:p w14:paraId="01659B83">
                  <w:pPr>
                    <w:numPr>
                      <w:ilvl w:val="0"/>
                      <w:numId w:val="0"/>
                    </w:numPr>
                    <w:jc w:val="center"/>
                    <w:rPr>
                      <w:rFonts w:hint="eastAsia" w:eastAsia="宋体"/>
                      <w:b w:val="0"/>
                      <w:bCs w:val="0"/>
                      <w:color w:val="auto"/>
                      <w:sz w:val="21"/>
                      <w:szCs w:val="21"/>
                      <w:vertAlign w:val="baseline"/>
                      <w:lang w:val="en-US" w:eastAsia="zh-CN"/>
                    </w:rPr>
                  </w:pPr>
                  <w:r>
                    <w:rPr>
                      <w:rFonts w:hint="eastAsia"/>
                      <w:b w:val="0"/>
                      <w:bCs w:val="0"/>
                      <w:color w:val="auto"/>
                      <w:sz w:val="21"/>
                      <w:szCs w:val="21"/>
                      <w:vertAlign w:val="baseline"/>
                      <w:lang w:val="en-US" w:eastAsia="zh-CN"/>
                    </w:rPr>
                    <w:t>声环境</w:t>
                  </w:r>
                </w:p>
              </w:tc>
              <w:tc>
                <w:tcPr>
                  <w:tcW w:w="1914" w:type="dxa"/>
                  <w:tcBorders>
                    <w:tl2br w:val="nil"/>
                    <w:tr2bl w:val="nil"/>
                  </w:tcBorders>
                  <w:shd w:val="clear" w:color="auto" w:fill="auto"/>
                  <w:vAlign w:val="center"/>
                </w:tcPr>
                <w:p w14:paraId="2D998B34">
                  <w:pPr>
                    <w:numPr>
                      <w:ilvl w:val="0"/>
                      <w:numId w:val="0"/>
                    </w:numPr>
                    <w:ind w:left="0" w:leftChars="0" w:firstLine="0" w:firstLineChars="0"/>
                    <w:jc w:val="center"/>
                    <w:rPr>
                      <w:rFonts w:hint="eastAsia" w:ascii="Times New Roman" w:hAnsi="Times New Roman" w:eastAsia="宋体" w:cs="Times New Roman"/>
                      <w:b w:val="0"/>
                      <w:bCs w:val="0"/>
                      <w:color w:val="auto"/>
                      <w:kern w:val="2"/>
                      <w:sz w:val="21"/>
                      <w:szCs w:val="21"/>
                      <w:vertAlign w:val="baseline"/>
                      <w:lang w:val="en-US" w:eastAsia="zh-CN" w:bidi="ar-SA"/>
                    </w:rPr>
                  </w:pPr>
                  <w:r>
                    <w:rPr>
                      <w:rFonts w:hint="eastAsia"/>
                      <w:b w:val="0"/>
                      <w:bCs w:val="0"/>
                      <w:color w:val="auto"/>
                      <w:sz w:val="21"/>
                      <w:szCs w:val="21"/>
                      <w:vertAlign w:val="baseline"/>
                      <w:lang w:val="en-US" w:eastAsia="zh-CN"/>
                    </w:rPr>
                    <w:t>和平街小区十五区</w:t>
                  </w:r>
                </w:p>
              </w:tc>
              <w:tc>
                <w:tcPr>
                  <w:tcW w:w="826" w:type="dxa"/>
                  <w:tcBorders>
                    <w:tl2br w:val="nil"/>
                    <w:tr2bl w:val="nil"/>
                  </w:tcBorders>
                  <w:shd w:val="clear" w:color="auto" w:fill="auto"/>
                  <w:vAlign w:val="center"/>
                </w:tcPr>
                <w:p w14:paraId="0202962F">
                  <w:pPr>
                    <w:numPr>
                      <w:ilvl w:val="0"/>
                      <w:numId w:val="0"/>
                    </w:numPr>
                    <w:ind w:left="0" w:leftChars="0" w:firstLine="0" w:firstLineChars="0"/>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b w:val="0"/>
                      <w:bCs w:val="0"/>
                      <w:color w:val="auto"/>
                      <w:sz w:val="21"/>
                      <w:szCs w:val="21"/>
                      <w:vertAlign w:val="baseline"/>
                      <w:lang w:val="en-US" w:eastAsia="zh-CN"/>
                    </w:rPr>
                    <w:t>东</w:t>
                  </w:r>
                </w:p>
              </w:tc>
              <w:tc>
                <w:tcPr>
                  <w:tcW w:w="1067" w:type="dxa"/>
                  <w:tcBorders>
                    <w:tl2br w:val="nil"/>
                    <w:tr2bl w:val="nil"/>
                  </w:tcBorders>
                  <w:shd w:val="clear" w:color="auto" w:fill="auto"/>
                  <w:vAlign w:val="center"/>
                </w:tcPr>
                <w:p w14:paraId="7AEEAACA">
                  <w:pPr>
                    <w:numPr>
                      <w:ilvl w:val="0"/>
                      <w:numId w:val="0"/>
                    </w:numPr>
                    <w:ind w:left="0" w:leftChars="0" w:firstLine="0" w:firstLineChars="0"/>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b w:val="0"/>
                      <w:bCs w:val="0"/>
                      <w:color w:val="auto"/>
                      <w:sz w:val="21"/>
                      <w:szCs w:val="21"/>
                      <w:vertAlign w:val="baseline"/>
                      <w:lang w:val="en-US" w:eastAsia="zh-CN"/>
                    </w:rPr>
                    <w:t>约35</w:t>
                  </w:r>
                </w:p>
              </w:tc>
              <w:tc>
                <w:tcPr>
                  <w:tcW w:w="1013" w:type="dxa"/>
                  <w:tcBorders>
                    <w:tl2br w:val="nil"/>
                    <w:tr2bl w:val="nil"/>
                  </w:tcBorders>
                  <w:shd w:val="clear" w:color="auto" w:fill="auto"/>
                  <w:vAlign w:val="center"/>
                </w:tcPr>
                <w:p w14:paraId="129812BE">
                  <w:pPr>
                    <w:numPr>
                      <w:ilvl w:val="0"/>
                      <w:numId w:val="0"/>
                    </w:numPr>
                    <w:jc w:val="center"/>
                    <w:rPr>
                      <w:rFonts w:hint="eastAsia"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居民</w:t>
                  </w:r>
                </w:p>
              </w:tc>
              <w:tc>
                <w:tcPr>
                  <w:tcW w:w="2010" w:type="dxa"/>
                  <w:vMerge w:val="restart"/>
                  <w:tcBorders>
                    <w:tl2br w:val="nil"/>
                    <w:tr2bl w:val="nil"/>
                  </w:tcBorders>
                  <w:vAlign w:val="center"/>
                </w:tcPr>
                <w:p w14:paraId="07109265">
                  <w:pPr>
                    <w:numPr>
                      <w:ilvl w:val="0"/>
                      <w:numId w:val="0"/>
                    </w:numPr>
                    <w:jc w:val="center"/>
                    <w:rPr>
                      <w:rFonts w:hint="eastAsia"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《声环境质量标准》（</w:t>
                  </w:r>
                  <w:r>
                    <w:rPr>
                      <w:rFonts w:hint="default" w:ascii="Times New Roman" w:hAnsi="Times New Roman" w:eastAsia="宋体" w:cs="Times New Roman"/>
                      <w:b w:val="0"/>
                      <w:bCs w:val="0"/>
                      <w:color w:val="auto"/>
                      <w:sz w:val="21"/>
                      <w:szCs w:val="21"/>
                      <w:vertAlign w:val="baseline"/>
                      <w:lang w:val="en-US" w:eastAsia="zh-CN"/>
                    </w:rPr>
                    <w:t>GB3096-2008</w:t>
                  </w:r>
                  <w:r>
                    <w:rPr>
                      <w:rFonts w:hint="eastAsia" w:ascii="Times New Roman" w:hAnsi="Times New Roman" w:eastAsia="宋体" w:cs="Times New Roman"/>
                      <w:b w:val="0"/>
                      <w:bCs w:val="0"/>
                      <w:color w:val="auto"/>
                      <w:sz w:val="21"/>
                      <w:szCs w:val="21"/>
                      <w:vertAlign w:val="baseline"/>
                      <w:lang w:val="en-US" w:eastAsia="zh-CN"/>
                    </w:rPr>
                    <w:t>）中</w:t>
                  </w:r>
                  <w:r>
                    <w:rPr>
                      <w:rFonts w:hint="default" w:ascii="Times New Roman" w:hAnsi="Times New Roman" w:eastAsia="宋体" w:cs="Times New Roman"/>
                      <w:b w:val="0"/>
                      <w:bCs w:val="0"/>
                      <w:color w:val="auto"/>
                      <w:sz w:val="21"/>
                      <w:szCs w:val="21"/>
                      <w:vertAlign w:val="baseline"/>
                      <w:lang w:val="en-US" w:eastAsia="zh-CN"/>
                    </w:rPr>
                    <w:t>1</w:t>
                  </w:r>
                  <w:r>
                    <w:rPr>
                      <w:rFonts w:hint="eastAsia" w:ascii="Times New Roman" w:hAnsi="Times New Roman" w:eastAsia="宋体" w:cs="Times New Roman"/>
                      <w:b w:val="0"/>
                      <w:bCs w:val="0"/>
                      <w:color w:val="auto"/>
                      <w:sz w:val="21"/>
                      <w:szCs w:val="21"/>
                      <w:vertAlign w:val="baseline"/>
                      <w:lang w:val="en-US" w:eastAsia="zh-CN"/>
                    </w:rPr>
                    <w:t>类标准限值</w:t>
                  </w:r>
                </w:p>
              </w:tc>
            </w:tr>
            <w:tr w14:paraId="618F431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101" w:type="dxa"/>
                  <w:vMerge w:val="continue"/>
                  <w:tcBorders>
                    <w:tl2br w:val="nil"/>
                    <w:tr2bl w:val="nil"/>
                  </w:tcBorders>
                  <w:vAlign w:val="center"/>
                </w:tcPr>
                <w:p w14:paraId="5607674B">
                  <w:pPr>
                    <w:numPr>
                      <w:ilvl w:val="0"/>
                      <w:numId w:val="0"/>
                    </w:numPr>
                    <w:jc w:val="center"/>
                    <w:rPr>
                      <w:b w:val="0"/>
                      <w:bCs w:val="0"/>
                      <w:color w:val="auto"/>
                      <w:sz w:val="21"/>
                      <w:szCs w:val="21"/>
                      <w:vertAlign w:val="baseline"/>
                    </w:rPr>
                  </w:pPr>
                </w:p>
              </w:tc>
              <w:tc>
                <w:tcPr>
                  <w:tcW w:w="1914" w:type="dxa"/>
                  <w:tcBorders>
                    <w:tl2br w:val="nil"/>
                    <w:tr2bl w:val="nil"/>
                  </w:tcBorders>
                  <w:vAlign w:val="center"/>
                </w:tcPr>
                <w:p w14:paraId="05C8C0BB">
                  <w:pPr>
                    <w:numPr>
                      <w:ilvl w:val="0"/>
                      <w:numId w:val="0"/>
                    </w:numPr>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煤科院家属楼</w:t>
                  </w:r>
                </w:p>
              </w:tc>
              <w:tc>
                <w:tcPr>
                  <w:tcW w:w="826" w:type="dxa"/>
                  <w:tcBorders>
                    <w:tl2br w:val="nil"/>
                    <w:tr2bl w:val="nil"/>
                  </w:tcBorders>
                  <w:vAlign w:val="center"/>
                </w:tcPr>
                <w:p w14:paraId="36ACECB6">
                  <w:pPr>
                    <w:numPr>
                      <w:ilvl w:val="0"/>
                      <w:numId w:val="0"/>
                    </w:numPr>
                    <w:ind w:left="0" w:leftChars="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eastAsia"/>
                      <w:b w:val="0"/>
                      <w:bCs w:val="0"/>
                      <w:color w:val="auto"/>
                      <w:sz w:val="21"/>
                      <w:szCs w:val="21"/>
                      <w:vertAlign w:val="baseline"/>
                      <w:lang w:val="en-US" w:eastAsia="zh-CN"/>
                    </w:rPr>
                    <w:t>西南</w:t>
                  </w:r>
                </w:p>
              </w:tc>
              <w:tc>
                <w:tcPr>
                  <w:tcW w:w="1067" w:type="dxa"/>
                  <w:tcBorders>
                    <w:tl2br w:val="nil"/>
                    <w:tr2bl w:val="nil"/>
                  </w:tcBorders>
                  <w:vAlign w:val="center"/>
                </w:tcPr>
                <w:p w14:paraId="7CFA3696">
                  <w:pPr>
                    <w:numPr>
                      <w:ilvl w:val="0"/>
                      <w:numId w:val="0"/>
                    </w:numPr>
                    <w:ind w:left="0" w:leftChars="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eastAsia"/>
                      <w:b w:val="0"/>
                      <w:bCs w:val="0"/>
                      <w:color w:val="auto"/>
                      <w:sz w:val="21"/>
                      <w:szCs w:val="21"/>
                      <w:vertAlign w:val="baseline"/>
                      <w:lang w:val="en-US" w:eastAsia="zh-CN"/>
                    </w:rPr>
                    <w:t>约23</w:t>
                  </w:r>
                </w:p>
              </w:tc>
              <w:tc>
                <w:tcPr>
                  <w:tcW w:w="1013" w:type="dxa"/>
                  <w:tcBorders>
                    <w:tl2br w:val="nil"/>
                    <w:tr2bl w:val="nil"/>
                  </w:tcBorders>
                  <w:vAlign w:val="center"/>
                </w:tcPr>
                <w:p w14:paraId="5DEBB052">
                  <w:pPr>
                    <w:numPr>
                      <w:ilvl w:val="0"/>
                      <w:numId w:val="0"/>
                    </w:numPr>
                    <w:ind w:left="0" w:leftChars="0" w:firstLine="0" w:firstLineChars="0"/>
                    <w:jc w:val="center"/>
                    <w:rPr>
                      <w:rFonts w:hint="eastAsia" w:ascii="Times New Roman" w:hAnsi="Times New Roman" w:eastAsia="宋体" w:cs="Times New Roman"/>
                      <w:b w:val="0"/>
                      <w:bCs w:val="0"/>
                      <w:color w:val="auto"/>
                      <w:sz w:val="21"/>
                      <w:szCs w:val="21"/>
                      <w:vertAlign w:val="baseline"/>
                      <w:lang w:val="en-US" w:eastAsia="zh-CN"/>
                    </w:rPr>
                  </w:pPr>
                  <w:r>
                    <w:rPr>
                      <w:rFonts w:hint="eastAsia"/>
                      <w:b w:val="0"/>
                      <w:bCs w:val="0"/>
                      <w:color w:val="auto"/>
                      <w:sz w:val="21"/>
                      <w:szCs w:val="21"/>
                      <w:vertAlign w:val="baseline"/>
                      <w:lang w:val="en-US" w:eastAsia="zh-CN"/>
                    </w:rPr>
                    <w:t>居民</w:t>
                  </w:r>
                </w:p>
              </w:tc>
              <w:tc>
                <w:tcPr>
                  <w:tcW w:w="2010" w:type="dxa"/>
                  <w:vMerge w:val="continue"/>
                  <w:tcBorders>
                    <w:tl2br w:val="nil"/>
                    <w:tr2bl w:val="nil"/>
                  </w:tcBorders>
                  <w:vAlign w:val="center"/>
                </w:tcPr>
                <w:p w14:paraId="03600323">
                  <w:pPr>
                    <w:numPr>
                      <w:ilvl w:val="0"/>
                      <w:numId w:val="0"/>
                    </w:numPr>
                    <w:jc w:val="center"/>
                    <w:rPr>
                      <w:b w:val="0"/>
                      <w:bCs w:val="0"/>
                      <w:color w:val="auto"/>
                      <w:sz w:val="21"/>
                      <w:szCs w:val="21"/>
                      <w:vertAlign w:val="baseline"/>
                    </w:rPr>
                  </w:pPr>
                </w:p>
              </w:tc>
            </w:tr>
            <w:tr w14:paraId="337C8AC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101" w:type="dxa"/>
                  <w:vMerge w:val="continue"/>
                  <w:tcBorders>
                    <w:tl2br w:val="nil"/>
                    <w:tr2bl w:val="nil"/>
                  </w:tcBorders>
                  <w:vAlign w:val="center"/>
                </w:tcPr>
                <w:p w14:paraId="0BDE1462">
                  <w:pPr>
                    <w:numPr>
                      <w:ilvl w:val="0"/>
                      <w:numId w:val="0"/>
                    </w:numPr>
                    <w:jc w:val="center"/>
                    <w:rPr>
                      <w:b w:val="0"/>
                      <w:bCs w:val="0"/>
                      <w:color w:val="auto"/>
                      <w:sz w:val="21"/>
                      <w:szCs w:val="21"/>
                      <w:vertAlign w:val="baseline"/>
                    </w:rPr>
                  </w:pPr>
                </w:p>
              </w:tc>
              <w:tc>
                <w:tcPr>
                  <w:tcW w:w="1914" w:type="dxa"/>
                  <w:tcBorders>
                    <w:tl2br w:val="nil"/>
                    <w:tr2bl w:val="nil"/>
                  </w:tcBorders>
                  <w:vAlign w:val="center"/>
                </w:tcPr>
                <w:p w14:paraId="25C4309F">
                  <w:pPr>
                    <w:numPr>
                      <w:ilvl w:val="0"/>
                      <w:numId w:val="0"/>
                    </w:numPr>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煤科院宾馆</w:t>
                  </w:r>
                </w:p>
              </w:tc>
              <w:tc>
                <w:tcPr>
                  <w:tcW w:w="826" w:type="dxa"/>
                  <w:tcBorders>
                    <w:tl2br w:val="nil"/>
                    <w:tr2bl w:val="nil"/>
                  </w:tcBorders>
                  <w:vAlign w:val="center"/>
                </w:tcPr>
                <w:p w14:paraId="07BA5108">
                  <w:pPr>
                    <w:numPr>
                      <w:ilvl w:val="0"/>
                      <w:numId w:val="0"/>
                    </w:numPr>
                    <w:ind w:left="0" w:leftChars="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南</w:t>
                  </w:r>
                </w:p>
              </w:tc>
              <w:tc>
                <w:tcPr>
                  <w:tcW w:w="1067" w:type="dxa"/>
                  <w:tcBorders>
                    <w:tl2br w:val="nil"/>
                    <w:tr2bl w:val="nil"/>
                  </w:tcBorders>
                  <w:vAlign w:val="center"/>
                </w:tcPr>
                <w:p w14:paraId="55126A21">
                  <w:pPr>
                    <w:numPr>
                      <w:ilvl w:val="0"/>
                      <w:numId w:val="0"/>
                    </w:numPr>
                    <w:ind w:left="0" w:leftChars="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eastAsia"/>
                      <w:b w:val="0"/>
                      <w:bCs w:val="0"/>
                      <w:color w:val="auto"/>
                      <w:sz w:val="21"/>
                      <w:szCs w:val="21"/>
                      <w:vertAlign w:val="baseline"/>
                      <w:lang w:val="en-US" w:eastAsia="zh-CN"/>
                    </w:rPr>
                    <w:t>约35</w:t>
                  </w:r>
                </w:p>
              </w:tc>
              <w:tc>
                <w:tcPr>
                  <w:tcW w:w="1013" w:type="dxa"/>
                  <w:tcBorders>
                    <w:tl2br w:val="nil"/>
                    <w:tr2bl w:val="nil"/>
                  </w:tcBorders>
                  <w:vAlign w:val="center"/>
                </w:tcPr>
                <w:p w14:paraId="764A20DB">
                  <w:pPr>
                    <w:numPr>
                      <w:ilvl w:val="0"/>
                      <w:numId w:val="0"/>
                    </w:numPr>
                    <w:ind w:left="0" w:leftChars="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旅客</w:t>
                  </w:r>
                </w:p>
              </w:tc>
              <w:tc>
                <w:tcPr>
                  <w:tcW w:w="2010" w:type="dxa"/>
                  <w:vMerge w:val="continue"/>
                  <w:tcBorders>
                    <w:tl2br w:val="nil"/>
                    <w:tr2bl w:val="nil"/>
                  </w:tcBorders>
                  <w:vAlign w:val="center"/>
                </w:tcPr>
                <w:p w14:paraId="1F856626">
                  <w:pPr>
                    <w:numPr>
                      <w:ilvl w:val="0"/>
                      <w:numId w:val="0"/>
                    </w:numPr>
                    <w:jc w:val="center"/>
                    <w:rPr>
                      <w:b w:val="0"/>
                      <w:bCs w:val="0"/>
                      <w:color w:val="auto"/>
                      <w:sz w:val="21"/>
                      <w:szCs w:val="21"/>
                      <w:vertAlign w:val="baseline"/>
                    </w:rPr>
                  </w:pPr>
                </w:p>
              </w:tc>
            </w:tr>
          </w:tbl>
          <w:p w14:paraId="44B57210">
            <w:pPr>
              <w:pStyle w:val="20"/>
              <w:numPr>
                <w:ilvl w:val="0"/>
                <w:numId w:val="15"/>
              </w:numPr>
              <w:adjustRightInd w:val="0"/>
              <w:snapToGrid w:val="0"/>
              <w:spacing w:before="0" w:beforeAutospacing="0" w:after="0" w:afterAutospacing="0" w:line="360" w:lineRule="auto"/>
              <w:rPr>
                <w:rFonts w:hint="default" w:ascii="Times New Roman" w:hAnsi="Times New Roman" w:eastAsia="宋体" w:cs="Times New Roman"/>
                <w:b/>
                <w:bCs/>
                <w:color w:val="auto"/>
                <w:sz w:val="22"/>
                <w:szCs w:val="22"/>
                <w:highlight w:val="none"/>
                <w:lang w:bidi="ar"/>
              </w:rPr>
            </w:pPr>
            <w:r>
              <w:rPr>
                <w:rFonts w:hint="default" w:ascii="Times New Roman" w:hAnsi="Times New Roman" w:eastAsia="宋体" w:cs="Times New Roman"/>
                <w:b/>
                <w:bCs/>
                <w:color w:val="auto"/>
                <w:szCs w:val="24"/>
                <w:highlight w:val="none"/>
              </w:rPr>
              <w:t>地下水</w:t>
            </w:r>
            <w:r>
              <w:rPr>
                <w:rFonts w:hint="default" w:ascii="Times New Roman" w:hAnsi="Times New Roman" w:eastAsia="宋体" w:cs="Times New Roman"/>
                <w:b/>
                <w:bCs/>
                <w:color w:val="auto"/>
                <w:sz w:val="22"/>
                <w:szCs w:val="22"/>
                <w:highlight w:val="none"/>
                <w:lang w:bidi="ar"/>
              </w:rPr>
              <w:t>环境</w:t>
            </w:r>
          </w:p>
          <w:p w14:paraId="5890B1FF">
            <w:pPr>
              <w:adjustRightInd w:val="0"/>
              <w:snapToGrid w:val="0"/>
              <w:spacing w:line="360" w:lineRule="auto"/>
              <w:ind w:firstLine="480" w:firstLineChars="200"/>
              <w:rPr>
                <w:rStyle w:val="31"/>
                <w:rFonts w:hint="default" w:ascii="Times New Roman" w:hAnsi="Times New Roman" w:eastAsia="宋体" w:cs="Times New Roman"/>
                <w:color w:val="auto"/>
                <w:highlight w:val="none"/>
              </w:rPr>
            </w:pPr>
            <w:r>
              <w:rPr>
                <w:rStyle w:val="31"/>
                <w:rFonts w:hint="eastAsia" w:ascii="Times New Roman" w:hAnsi="Times New Roman" w:eastAsia="宋体" w:cs="Times New Roman"/>
                <w:color w:val="auto"/>
                <w:highlight w:val="none"/>
                <w:lang w:val="en-US" w:eastAsia="zh-CN"/>
              </w:rPr>
              <w:t>本项目厂界外500m范围内无地下水集中式饮用水水源和热水、矿泉水、温泉等特殊地下水资源。</w:t>
            </w:r>
          </w:p>
          <w:p w14:paraId="25CA5E73">
            <w:pPr>
              <w:pStyle w:val="20"/>
              <w:numPr>
                <w:ilvl w:val="0"/>
                <w:numId w:val="15"/>
              </w:numPr>
              <w:adjustRightInd w:val="0"/>
              <w:snapToGrid w:val="0"/>
              <w:spacing w:before="0" w:beforeAutospacing="0" w:after="0" w:afterAutospacing="0" w:line="360" w:lineRule="auto"/>
              <w:rPr>
                <w:rFonts w:hint="default" w:ascii="Times New Roman" w:hAnsi="Times New Roman" w:eastAsia="宋体" w:cs="Times New Roman"/>
                <w:b/>
                <w:bCs/>
                <w:color w:val="auto"/>
                <w:szCs w:val="24"/>
                <w:highlight w:val="none"/>
              </w:rPr>
            </w:pPr>
            <w:r>
              <w:rPr>
                <w:rFonts w:hint="default" w:ascii="Times New Roman" w:hAnsi="Times New Roman" w:eastAsia="宋体" w:cs="Times New Roman"/>
                <w:b/>
                <w:bCs/>
                <w:color w:val="auto"/>
                <w:szCs w:val="24"/>
                <w:highlight w:val="none"/>
              </w:rPr>
              <w:t>生态环境</w:t>
            </w:r>
          </w:p>
          <w:p w14:paraId="717D9936">
            <w:pPr>
              <w:autoSpaceDE w:val="0"/>
              <w:autoSpaceDN w:val="0"/>
              <w:adjustRightInd w:val="0"/>
              <w:spacing w:line="360" w:lineRule="auto"/>
              <w:ind w:firstLine="480" w:firstLineChars="200"/>
              <w:rPr>
                <w:rFonts w:hint="default" w:ascii="Times New Roman" w:hAnsi="Times New Roman" w:eastAsia="宋体" w:cs="Times New Roman"/>
                <w:color w:val="auto"/>
                <w:sz w:val="24"/>
                <w:szCs w:val="32"/>
                <w:highlight w:val="none"/>
              </w:rPr>
            </w:pPr>
            <w:r>
              <w:rPr>
                <w:rFonts w:hint="default" w:ascii="Times New Roman" w:hAnsi="Times New Roman" w:eastAsia="宋体" w:cs="Times New Roman"/>
                <w:color w:val="auto"/>
                <w:sz w:val="24"/>
                <w:szCs w:val="32"/>
                <w:highlight w:val="none"/>
              </w:rPr>
              <w:t>本项目租用园区内现有房屋，不新增建设用地，</w:t>
            </w:r>
            <w:r>
              <w:rPr>
                <w:rFonts w:hint="eastAsia" w:cs="Times New Roman"/>
                <w:color w:val="auto"/>
                <w:sz w:val="24"/>
                <w:szCs w:val="32"/>
                <w:highlight w:val="none"/>
                <w:lang w:val="en-US" w:eastAsia="zh-CN"/>
              </w:rPr>
              <w:t>无生态环境保护目标</w:t>
            </w:r>
            <w:r>
              <w:rPr>
                <w:rFonts w:hint="default" w:ascii="Times New Roman" w:hAnsi="Times New Roman" w:eastAsia="宋体" w:cs="Times New Roman"/>
                <w:color w:val="auto"/>
                <w:sz w:val="24"/>
                <w:szCs w:val="32"/>
                <w:highlight w:val="none"/>
              </w:rPr>
              <w:t>。</w:t>
            </w:r>
          </w:p>
        </w:tc>
      </w:tr>
      <w:tr w14:paraId="0B2259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 w:hRule="atLeast"/>
          <w:jc w:val="center"/>
        </w:trPr>
        <w:tc>
          <w:tcPr>
            <w:tcW w:w="800" w:type="dxa"/>
            <w:tcMar>
              <w:left w:w="28" w:type="dxa"/>
              <w:right w:w="28" w:type="dxa"/>
            </w:tcMar>
            <w:vAlign w:val="center"/>
          </w:tcPr>
          <w:p w14:paraId="5E2B765B">
            <w:pPr>
              <w:adjustRightInd w:val="0"/>
              <w:snapToGrid w:val="0"/>
              <w:jc w:val="center"/>
              <w:rPr>
                <w:rFonts w:hint="default" w:ascii="Times New Roman" w:hAnsi="Times New Roman" w:eastAsia="宋体" w:cs="Times New Roman"/>
                <w:color w:val="auto"/>
                <w:kern w:val="0"/>
                <w:sz w:val="24"/>
                <w:highlight w:val="none"/>
              </w:rPr>
            </w:pPr>
            <w:r>
              <w:rPr>
                <w:rFonts w:hint="default" w:ascii="Times New Roman" w:hAnsi="Times New Roman" w:eastAsia="宋体" w:cs="Times New Roman"/>
                <w:color w:val="auto"/>
                <w:kern w:val="0"/>
                <w:sz w:val="24"/>
                <w:highlight w:val="none"/>
              </w:rPr>
              <w:t>污染物排放控</w:t>
            </w:r>
          </w:p>
          <w:p w14:paraId="446860F8">
            <w:pPr>
              <w:adjustRightInd w:val="0"/>
              <w:snapToGrid w:val="0"/>
              <w:jc w:val="center"/>
              <w:rPr>
                <w:rFonts w:hint="default" w:ascii="Times New Roman" w:hAnsi="Times New Roman" w:eastAsia="宋体" w:cs="Times New Roman"/>
                <w:color w:val="auto"/>
                <w:kern w:val="0"/>
                <w:sz w:val="24"/>
                <w:highlight w:val="none"/>
              </w:rPr>
            </w:pPr>
            <w:r>
              <w:rPr>
                <w:rFonts w:hint="default" w:ascii="Times New Roman" w:hAnsi="Times New Roman" w:eastAsia="宋体" w:cs="Times New Roman"/>
                <w:color w:val="auto"/>
                <w:kern w:val="0"/>
                <w:sz w:val="24"/>
                <w:highlight w:val="none"/>
              </w:rPr>
              <w:t>制标准</w:t>
            </w:r>
          </w:p>
        </w:tc>
        <w:tc>
          <w:tcPr>
            <w:tcW w:w="8147" w:type="dxa"/>
            <w:vAlign w:val="center"/>
          </w:tcPr>
          <w:p w14:paraId="735CD0C0">
            <w:pPr>
              <w:adjustRightInd w:val="0"/>
              <w:snapToGrid w:val="0"/>
              <w:spacing w:line="360" w:lineRule="auto"/>
              <w:rPr>
                <w:rStyle w:val="31"/>
                <w:rFonts w:hint="default" w:ascii="Times New Roman" w:hAnsi="Times New Roman" w:eastAsia="宋体" w:cs="Times New Roman"/>
                <w:color w:val="auto"/>
                <w:highlight w:val="none"/>
              </w:rPr>
            </w:pPr>
            <w:r>
              <w:rPr>
                <w:rFonts w:hint="default" w:ascii="Times New Roman" w:hAnsi="Times New Roman" w:eastAsia="宋体" w:cs="Times New Roman"/>
                <w:b/>
                <w:color w:val="auto"/>
                <w:sz w:val="24"/>
                <w:highlight w:val="none"/>
              </w:rPr>
              <w:t>一、大气污染物排放标准</w:t>
            </w:r>
          </w:p>
          <w:p w14:paraId="60684F31">
            <w:pPr>
              <w:autoSpaceDE w:val="0"/>
              <w:autoSpaceDN w:val="0"/>
              <w:adjustRightInd w:val="0"/>
              <w:spacing w:line="360" w:lineRule="auto"/>
              <w:ind w:firstLine="480" w:firstLineChars="200"/>
              <w:rPr>
                <w:rFonts w:hint="eastAsia" w:ascii="Times New Roman" w:hAnsi="Times New Roman" w:cs="Times New Roman"/>
                <w:color w:val="auto"/>
                <w:sz w:val="24"/>
                <w:szCs w:val="32"/>
                <w:highlight w:val="none"/>
                <w:lang w:val="en-US" w:eastAsia="zh-CN"/>
              </w:rPr>
            </w:pPr>
            <w:r>
              <w:rPr>
                <w:rFonts w:hint="eastAsia" w:ascii="Times New Roman" w:hAnsi="Times New Roman" w:eastAsia="宋体" w:cs="Times New Roman"/>
                <w:color w:val="auto"/>
                <w:sz w:val="24"/>
                <w:szCs w:val="32"/>
                <w:highlight w:val="none"/>
                <w:lang w:val="en-US" w:eastAsia="zh-CN"/>
              </w:rPr>
              <w:t>本项目</w:t>
            </w:r>
            <w:r>
              <w:rPr>
                <w:rFonts w:hint="eastAsia" w:ascii="Times New Roman" w:hAnsi="Times New Roman" w:cs="Times New Roman"/>
                <w:color w:val="auto"/>
                <w:sz w:val="24"/>
                <w:szCs w:val="32"/>
                <w:highlight w:val="none"/>
                <w:lang w:val="en-US" w:eastAsia="zh-CN"/>
              </w:rPr>
              <w:t>研发</w:t>
            </w:r>
            <w:r>
              <w:rPr>
                <w:rFonts w:hint="eastAsia" w:ascii="Times New Roman" w:hAnsi="Times New Roman" w:eastAsia="宋体" w:cs="Times New Roman"/>
                <w:color w:val="auto"/>
                <w:sz w:val="24"/>
                <w:szCs w:val="32"/>
                <w:highlight w:val="none"/>
                <w:lang w:val="en-US" w:eastAsia="zh-CN"/>
              </w:rPr>
              <w:t>实验过程</w:t>
            </w:r>
            <w:r>
              <w:rPr>
                <w:rFonts w:hint="eastAsia" w:ascii="Times New Roman" w:hAnsi="Times New Roman" w:cs="Times New Roman"/>
                <w:color w:val="auto"/>
                <w:sz w:val="24"/>
                <w:szCs w:val="32"/>
                <w:highlight w:val="none"/>
                <w:lang w:val="en-US" w:eastAsia="zh-CN"/>
              </w:rPr>
              <w:t>中部分设备容器使用乙醇擦洗产生的挥发性有机物无组织排放；正负极浆料制备、涂布干燥过程使用N-甲基吡咯烷酮产生的挥发性有机物经转轮式NMP回收系统处理后无组织排放；前驱体干燥使用试验型喷雾干燥机，前驱体颗粒物经设备自带的旋风收尘、布袋收集后无组织排放。</w:t>
            </w:r>
          </w:p>
          <w:p w14:paraId="1B064D53">
            <w:pPr>
              <w:autoSpaceDE w:val="0"/>
              <w:autoSpaceDN w:val="0"/>
              <w:adjustRightInd w:val="0"/>
              <w:spacing w:line="360" w:lineRule="auto"/>
              <w:ind w:firstLine="480" w:firstLineChars="200"/>
              <w:rPr>
                <w:rFonts w:hint="eastAsia" w:ascii="Times New Roman" w:hAnsi="Times New Roman" w:eastAsia="宋体" w:cs="Times New Roman"/>
                <w:color w:val="auto"/>
                <w:sz w:val="24"/>
                <w:szCs w:val="32"/>
                <w:highlight w:val="none"/>
                <w:lang w:val="en-US" w:eastAsia="zh-CN"/>
              </w:rPr>
            </w:pPr>
            <w:r>
              <w:rPr>
                <w:rFonts w:hint="eastAsia" w:ascii="Times New Roman" w:hAnsi="Times New Roman" w:cs="Times New Roman"/>
                <w:color w:val="auto"/>
                <w:sz w:val="24"/>
                <w:szCs w:val="32"/>
                <w:highlight w:val="none"/>
                <w:lang w:val="en-US" w:eastAsia="zh-CN"/>
              </w:rPr>
              <w:t>本项目颗粒物、挥发性有机物无组织排放标准</w:t>
            </w:r>
            <w:r>
              <w:rPr>
                <w:rFonts w:hint="eastAsia" w:ascii="Times New Roman" w:hAnsi="Times New Roman" w:eastAsia="宋体" w:cs="Times New Roman"/>
                <w:color w:val="auto"/>
                <w:sz w:val="24"/>
                <w:szCs w:val="32"/>
                <w:highlight w:val="none"/>
                <w:lang w:val="en-US" w:eastAsia="zh-CN"/>
              </w:rPr>
              <w:t>见下表。</w:t>
            </w:r>
          </w:p>
          <w:p w14:paraId="4369C000">
            <w:pPr>
              <w:numPr>
                <w:ilvl w:val="0"/>
                <w:numId w:val="14"/>
              </w:numPr>
              <w:jc w:val="center"/>
              <w:rPr>
                <w:rFonts w:hint="default" w:ascii="Times New Roman" w:hAnsi="Times New Roman" w:eastAsia="宋体" w:cs="Times New Roman"/>
                <w:b/>
                <w:color w:val="auto"/>
                <w:sz w:val="24"/>
                <w:highlight w:val="none"/>
                <w:lang w:val="en-US" w:eastAsia="zh-CN"/>
              </w:rPr>
            </w:pPr>
            <w:r>
              <w:rPr>
                <w:rFonts w:hint="eastAsia" w:ascii="Times New Roman" w:hAnsi="Times New Roman" w:eastAsia="宋体" w:cs="Times New Roman"/>
                <w:b/>
                <w:color w:val="auto"/>
                <w:sz w:val="24"/>
                <w:highlight w:val="none"/>
                <w:lang w:val="en-US" w:eastAsia="zh-CN"/>
              </w:rPr>
              <w:t>项目废气执行标准</w:t>
            </w:r>
          </w:p>
          <w:tbl>
            <w:tblPr>
              <w:tblStyle w:val="24"/>
              <w:tblW w:w="4997"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53"/>
              <w:gridCol w:w="1613"/>
              <w:gridCol w:w="1447"/>
              <w:gridCol w:w="3614"/>
            </w:tblGrid>
            <w:tr w14:paraId="6CE64BB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53" w:type="dxa"/>
                  <w:tcBorders>
                    <w:tl2br w:val="nil"/>
                    <w:tr2bl w:val="nil"/>
                  </w:tcBorders>
                  <w:vAlign w:val="center"/>
                </w:tcPr>
                <w:p w14:paraId="50737E3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color w:val="auto"/>
                      <w:sz w:val="21"/>
                      <w:szCs w:val="21"/>
                      <w:vertAlign w:val="baseline"/>
                      <w:lang w:val="en-US" w:eastAsia="zh-CN"/>
                    </w:rPr>
                  </w:pPr>
                  <w:r>
                    <w:rPr>
                      <w:rFonts w:hint="eastAsia"/>
                      <w:b/>
                      <w:bCs/>
                      <w:color w:val="auto"/>
                      <w:sz w:val="21"/>
                      <w:szCs w:val="21"/>
                      <w:vertAlign w:val="baseline"/>
                      <w:lang w:val="en-US" w:eastAsia="zh-CN"/>
                    </w:rPr>
                    <w:t>排放形式</w:t>
                  </w:r>
                </w:p>
              </w:tc>
              <w:tc>
                <w:tcPr>
                  <w:tcW w:w="1613" w:type="dxa"/>
                  <w:tcBorders>
                    <w:tl2br w:val="nil"/>
                    <w:tr2bl w:val="nil"/>
                  </w:tcBorders>
                  <w:vAlign w:val="center"/>
                </w:tcPr>
                <w:p w14:paraId="3ED9B64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color w:val="auto"/>
                      <w:sz w:val="21"/>
                      <w:szCs w:val="21"/>
                      <w:vertAlign w:val="baseline"/>
                      <w:lang w:val="en-US" w:eastAsia="zh-CN"/>
                    </w:rPr>
                  </w:pPr>
                  <w:r>
                    <w:rPr>
                      <w:rFonts w:hint="eastAsia"/>
                      <w:b/>
                      <w:bCs/>
                      <w:color w:val="auto"/>
                      <w:sz w:val="21"/>
                      <w:szCs w:val="21"/>
                      <w:vertAlign w:val="baseline"/>
                      <w:lang w:val="en-US" w:eastAsia="zh-CN"/>
                    </w:rPr>
                    <w:t>污染物</w:t>
                  </w:r>
                </w:p>
              </w:tc>
              <w:tc>
                <w:tcPr>
                  <w:tcW w:w="1447" w:type="dxa"/>
                  <w:tcBorders>
                    <w:tl2br w:val="nil"/>
                    <w:tr2bl w:val="nil"/>
                  </w:tcBorders>
                  <w:vAlign w:val="center"/>
                </w:tcPr>
                <w:p w14:paraId="3ACBE4F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color w:val="auto"/>
                      <w:sz w:val="21"/>
                      <w:szCs w:val="21"/>
                      <w:vertAlign w:val="baseline"/>
                      <w:lang w:val="en-US" w:eastAsia="zh-CN"/>
                    </w:rPr>
                  </w:pPr>
                  <w:r>
                    <w:rPr>
                      <w:rFonts w:hint="eastAsia"/>
                      <w:b/>
                      <w:bCs/>
                      <w:color w:val="auto"/>
                      <w:sz w:val="21"/>
                      <w:szCs w:val="21"/>
                      <w:vertAlign w:val="baseline"/>
                      <w:lang w:val="en-US" w:eastAsia="zh-CN"/>
                    </w:rPr>
                    <w:t>标准限值</w:t>
                  </w:r>
                </w:p>
              </w:tc>
              <w:tc>
                <w:tcPr>
                  <w:tcW w:w="3614" w:type="dxa"/>
                  <w:tcBorders>
                    <w:tl2br w:val="nil"/>
                    <w:tr2bl w:val="nil"/>
                  </w:tcBorders>
                  <w:vAlign w:val="center"/>
                </w:tcPr>
                <w:p w14:paraId="5085953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color w:val="auto"/>
                      <w:sz w:val="21"/>
                      <w:szCs w:val="21"/>
                      <w:vertAlign w:val="baseline"/>
                      <w:lang w:val="en-US" w:eastAsia="zh-CN"/>
                    </w:rPr>
                  </w:pPr>
                  <w:r>
                    <w:rPr>
                      <w:rFonts w:hint="eastAsia"/>
                      <w:b/>
                      <w:bCs/>
                      <w:color w:val="auto"/>
                      <w:sz w:val="21"/>
                      <w:szCs w:val="21"/>
                      <w:vertAlign w:val="baseline"/>
                      <w:lang w:val="en-US" w:eastAsia="zh-CN"/>
                    </w:rPr>
                    <w:t>执行标准</w:t>
                  </w:r>
                </w:p>
              </w:tc>
            </w:tr>
            <w:tr w14:paraId="166ABFA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53" w:type="dxa"/>
                  <w:vMerge w:val="restart"/>
                  <w:tcBorders>
                    <w:tl2br w:val="nil"/>
                    <w:tr2bl w:val="nil"/>
                  </w:tcBorders>
                  <w:vAlign w:val="center"/>
                </w:tcPr>
                <w:p w14:paraId="0B1E6BD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无组织</w:t>
                  </w:r>
                </w:p>
              </w:tc>
              <w:tc>
                <w:tcPr>
                  <w:tcW w:w="1613" w:type="dxa"/>
                  <w:tcBorders>
                    <w:tl2br w:val="nil"/>
                    <w:tr2bl w:val="nil"/>
                  </w:tcBorders>
                  <w:vAlign w:val="center"/>
                </w:tcPr>
                <w:p w14:paraId="1024E5E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非甲烷总烃</w:t>
                  </w:r>
                </w:p>
              </w:tc>
              <w:tc>
                <w:tcPr>
                  <w:tcW w:w="1447" w:type="dxa"/>
                  <w:tcBorders>
                    <w:tl2br w:val="nil"/>
                    <w:tr2bl w:val="nil"/>
                  </w:tcBorders>
                  <w:vAlign w:val="center"/>
                </w:tcPr>
                <w:p w14:paraId="4CC74EA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1.0mg/m</w:t>
                  </w:r>
                  <w:r>
                    <w:rPr>
                      <w:rFonts w:hint="eastAsia"/>
                      <w:color w:val="auto"/>
                      <w:sz w:val="21"/>
                      <w:szCs w:val="21"/>
                      <w:vertAlign w:val="superscript"/>
                      <w:lang w:val="en-US" w:eastAsia="zh-CN"/>
                    </w:rPr>
                    <w:t>3</w:t>
                  </w:r>
                </w:p>
              </w:tc>
              <w:tc>
                <w:tcPr>
                  <w:tcW w:w="3614" w:type="dxa"/>
                  <w:vMerge w:val="restart"/>
                  <w:tcBorders>
                    <w:tl2br w:val="nil"/>
                    <w:tr2bl w:val="nil"/>
                  </w:tcBorders>
                  <w:vAlign w:val="center"/>
                </w:tcPr>
                <w:p w14:paraId="694FB08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《大气污染物综合排放标准》DB11/501-2017中“表3生产工艺废气及其他废气大气污染物排放限值-单位周界无组织排放监控点浓度限值”</w:t>
                  </w:r>
                </w:p>
              </w:tc>
            </w:tr>
            <w:tr w14:paraId="49B880E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53" w:type="dxa"/>
                  <w:vMerge w:val="continue"/>
                  <w:tcBorders>
                    <w:tl2br w:val="nil"/>
                    <w:tr2bl w:val="nil"/>
                  </w:tcBorders>
                  <w:vAlign w:val="center"/>
                </w:tcPr>
                <w:p w14:paraId="36E1EFA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 w:val="21"/>
                      <w:szCs w:val="21"/>
                      <w:vertAlign w:val="baseline"/>
                      <w:lang w:val="en-US" w:eastAsia="zh-CN"/>
                    </w:rPr>
                  </w:pPr>
                </w:p>
              </w:tc>
              <w:tc>
                <w:tcPr>
                  <w:tcW w:w="1613" w:type="dxa"/>
                  <w:tcBorders>
                    <w:tl2br w:val="nil"/>
                    <w:tr2bl w:val="nil"/>
                  </w:tcBorders>
                  <w:vAlign w:val="center"/>
                </w:tcPr>
                <w:p w14:paraId="0E6BBD2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颗粒物</w:t>
                  </w:r>
                </w:p>
              </w:tc>
              <w:tc>
                <w:tcPr>
                  <w:tcW w:w="1447" w:type="dxa"/>
                  <w:tcBorders>
                    <w:tl2br w:val="nil"/>
                    <w:tr2bl w:val="nil"/>
                  </w:tcBorders>
                  <w:vAlign w:val="center"/>
                </w:tcPr>
                <w:p w14:paraId="079687D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0.30mg/m</w:t>
                  </w:r>
                  <w:r>
                    <w:rPr>
                      <w:rFonts w:hint="eastAsia"/>
                      <w:color w:val="auto"/>
                      <w:sz w:val="21"/>
                      <w:szCs w:val="21"/>
                      <w:vertAlign w:val="superscript"/>
                      <w:lang w:val="en-US" w:eastAsia="zh-CN"/>
                    </w:rPr>
                    <w:t>3</w:t>
                  </w:r>
                </w:p>
              </w:tc>
              <w:tc>
                <w:tcPr>
                  <w:tcW w:w="3614" w:type="dxa"/>
                  <w:vMerge w:val="continue"/>
                  <w:tcBorders>
                    <w:tl2br w:val="nil"/>
                    <w:tr2bl w:val="nil"/>
                  </w:tcBorders>
                  <w:vAlign w:val="center"/>
                </w:tcPr>
                <w:p w14:paraId="7343409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 w:val="21"/>
                      <w:szCs w:val="21"/>
                      <w:vertAlign w:val="baseline"/>
                      <w:lang w:val="en-US" w:eastAsia="zh-CN"/>
                    </w:rPr>
                  </w:pPr>
                </w:p>
              </w:tc>
            </w:tr>
          </w:tbl>
          <w:p w14:paraId="5CFA7DFC">
            <w:pPr>
              <w:adjustRightInd w:val="0"/>
              <w:spacing w:line="360" w:lineRule="auto"/>
              <w:rPr>
                <w:rFonts w:hint="default" w:ascii="Times New Roman" w:hAnsi="Times New Roman" w:eastAsia="宋体" w:cs="Times New Roman"/>
                <w:b/>
                <w:color w:val="auto"/>
                <w:sz w:val="24"/>
                <w:highlight w:val="none"/>
              </w:rPr>
            </w:pPr>
            <w:r>
              <w:rPr>
                <w:rFonts w:hint="default" w:ascii="Times New Roman" w:hAnsi="Times New Roman" w:eastAsia="宋体" w:cs="Times New Roman"/>
                <w:color w:val="auto"/>
                <w:sz w:val="24"/>
                <w:highlight w:val="none"/>
              </w:rPr>
              <w:t>二</w:t>
            </w:r>
            <w:r>
              <w:rPr>
                <w:rFonts w:hint="default" w:ascii="Times New Roman" w:hAnsi="Times New Roman" w:eastAsia="宋体" w:cs="Times New Roman"/>
                <w:b/>
                <w:color w:val="auto"/>
                <w:sz w:val="24"/>
                <w:highlight w:val="none"/>
              </w:rPr>
              <w:t>、水污染物排放标准</w:t>
            </w:r>
          </w:p>
          <w:p w14:paraId="10C013F3">
            <w:pPr>
              <w:pStyle w:val="6"/>
              <w:adjustRightInd w:val="0"/>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本项目废水最终排入</w:t>
            </w:r>
            <w:r>
              <w:rPr>
                <w:rFonts w:hint="eastAsia" w:cs="Times New Roman"/>
                <w:color w:val="auto"/>
                <w:sz w:val="24"/>
                <w:szCs w:val="24"/>
                <w:highlight w:val="none"/>
                <w:lang w:eastAsia="zh-CN"/>
              </w:rPr>
              <w:t>高碑店再生水厂</w:t>
            </w:r>
            <w:r>
              <w:rPr>
                <w:rFonts w:hint="default" w:ascii="Times New Roman" w:hAnsi="Times New Roman" w:eastAsia="宋体" w:cs="Times New Roman"/>
                <w:color w:val="auto"/>
                <w:sz w:val="24"/>
                <w:szCs w:val="24"/>
                <w:highlight w:val="none"/>
              </w:rPr>
              <w:t>，根据北京市《水污染物综合排放标准》（DB11/307-2013）中的规定，水污染物排放执行</w:t>
            </w:r>
            <w:r>
              <w:rPr>
                <w:rFonts w:hint="eastAsia"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排入公共污水处理系统的水污染物排放限值</w:t>
            </w:r>
            <w:r>
              <w:rPr>
                <w:rFonts w:hint="eastAsia"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。具体限值见下表。</w:t>
            </w:r>
          </w:p>
          <w:p w14:paraId="33CA1E3B">
            <w:pPr>
              <w:numPr>
                <w:ilvl w:val="0"/>
                <w:numId w:val="14"/>
              </w:numPr>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color w:val="auto"/>
                <w:sz w:val="24"/>
                <w:highlight w:val="none"/>
              </w:rPr>
              <w:t xml:space="preserve"> 排入公共污水处理系统的水污染物排放限值</w:t>
            </w:r>
            <w:r>
              <w:rPr>
                <w:rFonts w:hint="default" w:ascii="Times New Roman" w:hAnsi="Times New Roman" w:eastAsia="宋体" w:cs="Times New Roman"/>
                <w:b/>
                <w:bCs/>
                <w:color w:val="auto"/>
                <w:sz w:val="24"/>
                <w:highlight w:val="none"/>
              </w:rPr>
              <w:t>（摘录）</w:t>
            </w:r>
          </w:p>
          <w:tbl>
            <w:tblPr>
              <w:tblStyle w:val="23"/>
              <w:tblW w:w="4853" w:type="pct"/>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56"/>
              <w:gridCol w:w="3283"/>
              <w:gridCol w:w="3059"/>
            </w:tblGrid>
            <w:tr w14:paraId="0E6CC0AC">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9" w:hRule="atLeast"/>
                <w:tblHeader/>
                <w:jc w:val="center"/>
              </w:trPr>
              <w:tc>
                <w:tcPr>
                  <w:tcW w:w="880" w:type="pct"/>
                  <w:tcBorders>
                    <w:tl2br w:val="nil"/>
                    <w:tr2bl w:val="nil"/>
                  </w:tcBorders>
                  <w:vAlign w:val="center"/>
                </w:tcPr>
                <w:p w14:paraId="6BF685D0">
                  <w:pPr>
                    <w:adjustRightInd w:val="0"/>
                    <w:snapToGrid w:val="0"/>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序号</w:t>
                  </w:r>
                </w:p>
              </w:tc>
              <w:tc>
                <w:tcPr>
                  <w:tcW w:w="2132" w:type="pct"/>
                  <w:tcBorders>
                    <w:tl2br w:val="nil"/>
                    <w:tr2bl w:val="nil"/>
                  </w:tcBorders>
                  <w:vAlign w:val="center"/>
                </w:tcPr>
                <w:p w14:paraId="6B78683B">
                  <w:pPr>
                    <w:adjustRightInd w:val="0"/>
                    <w:snapToGrid w:val="0"/>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污染物或项目名称</w:t>
                  </w:r>
                </w:p>
              </w:tc>
              <w:tc>
                <w:tcPr>
                  <w:tcW w:w="1986" w:type="pct"/>
                  <w:tcBorders>
                    <w:tl2br w:val="nil"/>
                    <w:tr2bl w:val="nil"/>
                  </w:tcBorders>
                  <w:vAlign w:val="center"/>
                </w:tcPr>
                <w:p w14:paraId="0543A064">
                  <w:pPr>
                    <w:adjustRightInd w:val="0"/>
                    <w:snapToGrid w:val="0"/>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排放限值（</w:t>
                  </w:r>
                  <w:r>
                    <w:rPr>
                      <w:rFonts w:hint="default" w:ascii="Times New Roman" w:hAnsi="Times New Roman" w:eastAsia="宋体" w:cs="Times New Roman"/>
                      <w:b/>
                      <w:bCs/>
                      <w:color w:val="auto"/>
                      <w:sz w:val="24"/>
                      <w:highlight w:val="none"/>
                    </w:rPr>
                    <w:t>mg/L</w:t>
                  </w:r>
                  <w:r>
                    <w:rPr>
                      <w:rFonts w:hint="default" w:ascii="Times New Roman" w:hAnsi="Times New Roman" w:eastAsia="宋体" w:cs="Times New Roman"/>
                      <w:b/>
                      <w:color w:val="auto"/>
                      <w:szCs w:val="21"/>
                      <w:highlight w:val="none"/>
                    </w:rPr>
                    <w:t>）</w:t>
                  </w:r>
                </w:p>
              </w:tc>
            </w:tr>
            <w:tr w14:paraId="249EC73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9" w:hRule="atLeast"/>
                <w:tblHeader/>
                <w:jc w:val="center"/>
              </w:trPr>
              <w:tc>
                <w:tcPr>
                  <w:tcW w:w="880" w:type="pct"/>
                  <w:tcBorders>
                    <w:tl2br w:val="nil"/>
                    <w:tr2bl w:val="nil"/>
                  </w:tcBorders>
                  <w:vAlign w:val="center"/>
                </w:tcPr>
                <w:p w14:paraId="7D283DA1">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w:t>
                  </w:r>
                </w:p>
              </w:tc>
              <w:tc>
                <w:tcPr>
                  <w:tcW w:w="2132" w:type="pct"/>
                  <w:tcBorders>
                    <w:tl2br w:val="nil"/>
                    <w:tr2bl w:val="nil"/>
                  </w:tcBorders>
                  <w:vAlign w:val="center"/>
                </w:tcPr>
                <w:p w14:paraId="0BD13DB5">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eastAsia="zh-CN"/>
                    </w:rPr>
                    <w:t>pH</w:t>
                  </w:r>
                  <w:r>
                    <w:rPr>
                      <w:rFonts w:hint="default" w:ascii="Times New Roman" w:hAnsi="Times New Roman" w:eastAsia="宋体" w:cs="Times New Roman"/>
                      <w:color w:val="auto"/>
                      <w:szCs w:val="21"/>
                      <w:highlight w:val="none"/>
                    </w:rPr>
                    <w:t>（无量纲）</w:t>
                  </w:r>
                </w:p>
              </w:tc>
              <w:tc>
                <w:tcPr>
                  <w:tcW w:w="1986" w:type="pct"/>
                  <w:tcBorders>
                    <w:tl2br w:val="nil"/>
                    <w:tr2bl w:val="nil"/>
                  </w:tcBorders>
                  <w:vAlign w:val="center"/>
                </w:tcPr>
                <w:p w14:paraId="7538F1BD">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6.5～9</w:t>
                  </w:r>
                </w:p>
              </w:tc>
            </w:tr>
            <w:tr w14:paraId="162494E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8" w:hRule="atLeast"/>
                <w:tblHeader/>
                <w:jc w:val="center"/>
              </w:trPr>
              <w:tc>
                <w:tcPr>
                  <w:tcW w:w="880" w:type="pct"/>
                  <w:tcBorders>
                    <w:tl2br w:val="nil"/>
                    <w:tr2bl w:val="nil"/>
                  </w:tcBorders>
                  <w:vAlign w:val="center"/>
                </w:tcPr>
                <w:p w14:paraId="7A4D3DA7">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2</w:t>
                  </w:r>
                </w:p>
              </w:tc>
              <w:tc>
                <w:tcPr>
                  <w:tcW w:w="2132" w:type="pct"/>
                  <w:tcBorders>
                    <w:tl2br w:val="nil"/>
                    <w:tr2bl w:val="nil"/>
                  </w:tcBorders>
                  <w:vAlign w:val="center"/>
                </w:tcPr>
                <w:p w14:paraId="0043241C">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悬浮物</w:t>
                  </w:r>
                </w:p>
              </w:tc>
              <w:tc>
                <w:tcPr>
                  <w:tcW w:w="1986" w:type="pct"/>
                  <w:tcBorders>
                    <w:tl2br w:val="nil"/>
                    <w:tr2bl w:val="nil"/>
                  </w:tcBorders>
                  <w:vAlign w:val="center"/>
                </w:tcPr>
                <w:p w14:paraId="2ACD0424">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400</w:t>
                  </w:r>
                </w:p>
              </w:tc>
            </w:tr>
            <w:tr w14:paraId="6A71B984">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9" w:hRule="atLeast"/>
                <w:tblHeader/>
                <w:jc w:val="center"/>
              </w:trPr>
              <w:tc>
                <w:tcPr>
                  <w:tcW w:w="880" w:type="pct"/>
                  <w:tcBorders>
                    <w:tl2br w:val="nil"/>
                    <w:tr2bl w:val="nil"/>
                  </w:tcBorders>
                  <w:vAlign w:val="center"/>
                </w:tcPr>
                <w:p w14:paraId="1470154B">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3</w:t>
                  </w:r>
                </w:p>
              </w:tc>
              <w:tc>
                <w:tcPr>
                  <w:tcW w:w="2132" w:type="pct"/>
                  <w:tcBorders>
                    <w:tl2br w:val="nil"/>
                    <w:tr2bl w:val="nil"/>
                  </w:tcBorders>
                  <w:vAlign w:val="center"/>
                </w:tcPr>
                <w:p w14:paraId="2AED8F67">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五日生化需氧量</w:t>
                  </w:r>
                </w:p>
              </w:tc>
              <w:tc>
                <w:tcPr>
                  <w:tcW w:w="1986" w:type="pct"/>
                  <w:tcBorders>
                    <w:tl2br w:val="nil"/>
                    <w:tr2bl w:val="nil"/>
                  </w:tcBorders>
                  <w:vAlign w:val="center"/>
                </w:tcPr>
                <w:p w14:paraId="76A31BE3">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300</w:t>
                  </w:r>
                </w:p>
              </w:tc>
            </w:tr>
            <w:tr w14:paraId="239EEEEE">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1" w:hRule="atLeast"/>
                <w:tblHeader/>
                <w:jc w:val="center"/>
              </w:trPr>
              <w:tc>
                <w:tcPr>
                  <w:tcW w:w="880" w:type="pct"/>
                  <w:tcBorders>
                    <w:tl2br w:val="nil"/>
                    <w:tr2bl w:val="nil"/>
                  </w:tcBorders>
                  <w:vAlign w:val="center"/>
                </w:tcPr>
                <w:p w14:paraId="27E6E614">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w:t>
                  </w:r>
                </w:p>
              </w:tc>
              <w:tc>
                <w:tcPr>
                  <w:tcW w:w="2132" w:type="pct"/>
                  <w:tcBorders>
                    <w:tl2br w:val="nil"/>
                    <w:tr2bl w:val="nil"/>
                  </w:tcBorders>
                  <w:vAlign w:val="center"/>
                </w:tcPr>
                <w:p w14:paraId="60156109">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化学需氧量</w:t>
                  </w:r>
                </w:p>
              </w:tc>
              <w:tc>
                <w:tcPr>
                  <w:tcW w:w="1986" w:type="pct"/>
                  <w:tcBorders>
                    <w:tl2br w:val="nil"/>
                    <w:tr2bl w:val="nil"/>
                  </w:tcBorders>
                  <w:vAlign w:val="center"/>
                </w:tcPr>
                <w:p w14:paraId="2F3872F5">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500</w:t>
                  </w:r>
                </w:p>
              </w:tc>
            </w:tr>
            <w:tr w14:paraId="15263D6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5" w:hRule="atLeast"/>
                <w:tblHeader/>
                <w:jc w:val="center"/>
              </w:trPr>
              <w:tc>
                <w:tcPr>
                  <w:tcW w:w="880" w:type="pct"/>
                  <w:tcBorders>
                    <w:tl2br w:val="nil"/>
                    <w:tr2bl w:val="nil"/>
                  </w:tcBorders>
                  <w:vAlign w:val="center"/>
                </w:tcPr>
                <w:p w14:paraId="2340F6B5">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5</w:t>
                  </w:r>
                </w:p>
              </w:tc>
              <w:tc>
                <w:tcPr>
                  <w:tcW w:w="2132" w:type="pct"/>
                  <w:tcBorders>
                    <w:tl2br w:val="nil"/>
                    <w:tr2bl w:val="nil"/>
                  </w:tcBorders>
                  <w:vAlign w:val="center"/>
                </w:tcPr>
                <w:p w14:paraId="0E4533DB">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氨氮</w:t>
                  </w:r>
                </w:p>
              </w:tc>
              <w:tc>
                <w:tcPr>
                  <w:tcW w:w="1986" w:type="pct"/>
                  <w:tcBorders>
                    <w:tl2br w:val="nil"/>
                    <w:tr2bl w:val="nil"/>
                  </w:tcBorders>
                  <w:vAlign w:val="center"/>
                </w:tcPr>
                <w:p w14:paraId="0FE31195">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45</w:t>
                  </w:r>
                </w:p>
              </w:tc>
            </w:tr>
            <w:tr w14:paraId="37258D02">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5" w:hRule="atLeast"/>
                <w:tblHeader/>
                <w:jc w:val="center"/>
              </w:trPr>
              <w:tc>
                <w:tcPr>
                  <w:tcW w:w="880" w:type="pct"/>
                  <w:tcBorders>
                    <w:tl2br w:val="nil"/>
                    <w:tr2bl w:val="nil"/>
                  </w:tcBorders>
                  <w:vAlign w:val="center"/>
                </w:tcPr>
                <w:p w14:paraId="74F22B61">
                  <w:pPr>
                    <w:adjustRightInd w:val="0"/>
                    <w:snapToGrid w:val="0"/>
                    <w:jc w:val="center"/>
                    <w:rPr>
                      <w:rFonts w:hint="eastAsia"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6</w:t>
                  </w:r>
                </w:p>
              </w:tc>
              <w:tc>
                <w:tcPr>
                  <w:tcW w:w="2132" w:type="pct"/>
                  <w:tcBorders>
                    <w:tl2br w:val="nil"/>
                    <w:tr2bl w:val="nil"/>
                  </w:tcBorders>
                  <w:vAlign w:val="center"/>
                </w:tcPr>
                <w:p w14:paraId="5DAF5209">
                  <w:pPr>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可溶性固体总量</w:t>
                  </w:r>
                </w:p>
              </w:tc>
              <w:tc>
                <w:tcPr>
                  <w:tcW w:w="1986" w:type="pct"/>
                  <w:tcBorders>
                    <w:tl2br w:val="nil"/>
                    <w:tr2bl w:val="nil"/>
                  </w:tcBorders>
                  <w:vAlign w:val="center"/>
                </w:tcPr>
                <w:p w14:paraId="1B4DC0B2">
                  <w:pPr>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1600</w:t>
                  </w:r>
                </w:p>
              </w:tc>
            </w:tr>
          </w:tbl>
          <w:p w14:paraId="0C928397">
            <w:pPr>
              <w:adjustRightInd w:val="0"/>
              <w:snapToGrid w:val="0"/>
              <w:spacing w:before="120" w:beforeLines="50" w:line="360" w:lineRule="auto"/>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三、噪声排放标准</w:t>
            </w:r>
          </w:p>
          <w:p w14:paraId="5FD6F046">
            <w:pPr>
              <w:pStyle w:val="6"/>
              <w:adjustRightInd w:val="0"/>
              <w:snapToGrid w:val="0"/>
              <w:spacing w:line="360" w:lineRule="auto"/>
              <w:ind w:firstLineChars="20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项目施工期厂界噪声排放标准执行《建筑施工噪声排放标准》（GB12523-20</w:t>
            </w:r>
            <w:r>
              <w:rPr>
                <w:rFonts w:hint="eastAsia" w:cs="Times New Roman"/>
                <w:color w:val="auto"/>
                <w:kern w:val="2"/>
                <w:sz w:val="24"/>
                <w:szCs w:val="24"/>
                <w:highlight w:val="none"/>
                <w:lang w:val="en-US" w:eastAsia="zh-CN" w:bidi="ar-SA"/>
              </w:rPr>
              <w:t>25</w:t>
            </w:r>
            <w:r>
              <w:rPr>
                <w:rFonts w:hint="default" w:ascii="Times New Roman" w:hAnsi="Times New Roman" w:eastAsia="宋体" w:cs="Times New Roman"/>
                <w:color w:val="auto"/>
                <w:kern w:val="2"/>
                <w:sz w:val="24"/>
                <w:szCs w:val="24"/>
                <w:highlight w:val="none"/>
                <w:lang w:val="en-US" w:eastAsia="zh-CN" w:bidi="ar-SA"/>
              </w:rPr>
              <w:t>）中标准限值。</w:t>
            </w:r>
          </w:p>
          <w:p w14:paraId="77EDFC02">
            <w:pPr>
              <w:pStyle w:val="6"/>
              <w:adjustRightInd w:val="0"/>
              <w:snapToGrid w:val="0"/>
              <w:spacing w:line="360" w:lineRule="auto"/>
              <w:ind w:firstLineChars="20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项目边界运营期厂界噪声执行《工业企业厂界环境噪声排放标准》（GB12348-2008）中规定的</w:t>
            </w:r>
            <w:r>
              <w:rPr>
                <w:rFonts w:hint="eastAsia" w:cs="Times New Roman"/>
                <w:color w:val="auto"/>
                <w:kern w:val="2"/>
                <w:sz w:val="24"/>
                <w:szCs w:val="24"/>
                <w:highlight w:val="none"/>
                <w:lang w:val="en-US" w:eastAsia="zh-CN" w:bidi="ar-SA"/>
              </w:rPr>
              <w:t>1</w:t>
            </w:r>
            <w:r>
              <w:rPr>
                <w:rFonts w:hint="default" w:ascii="Times New Roman" w:hAnsi="Times New Roman" w:eastAsia="宋体" w:cs="Times New Roman"/>
                <w:color w:val="auto"/>
                <w:kern w:val="2"/>
                <w:sz w:val="24"/>
                <w:szCs w:val="24"/>
                <w:highlight w:val="none"/>
                <w:lang w:val="en-US" w:eastAsia="zh-CN" w:bidi="ar-SA"/>
              </w:rPr>
              <w:t>类标准要求，具体标准值详见下表。</w:t>
            </w:r>
          </w:p>
          <w:p w14:paraId="7A9D1F44">
            <w:pPr>
              <w:numPr>
                <w:ilvl w:val="0"/>
                <w:numId w:val="14"/>
              </w:numPr>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本项目噪声排放标准 单位：dB（A）</w:t>
            </w:r>
          </w:p>
          <w:tbl>
            <w:tblPr>
              <w:tblStyle w:val="23"/>
              <w:tblW w:w="4766" w:type="pct"/>
              <w:jc w:val="center"/>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28" w:type="dxa"/>
                <w:bottom w:w="0" w:type="dxa"/>
                <w:right w:w="28" w:type="dxa"/>
              </w:tblCellMar>
            </w:tblPr>
            <w:tblGrid>
              <w:gridCol w:w="1265"/>
              <w:gridCol w:w="3082"/>
              <w:gridCol w:w="3214"/>
            </w:tblGrid>
            <w:tr w14:paraId="11895B37">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28" w:type="dxa"/>
                  <w:bottom w:w="0" w:type="dxa"/>
                  <w:right w:w="28" w:type="dxa"/>
                </w:tblCellMar>
              </w:tblPrEx>
              <w:trPr>
                <w:cantSplit/>
                <w:trHeight w:val="552" w:hRule="atLeast"/>
                <w:jc w:val="center"/>
              </w:trPr>
              <w:tc>
                <w:tcPr>
                  <w:tcW w:w="2874" w:type="pct"/>
                  <w:gridSpan w:val="2"/>
                  <w:tcBorders>
                    <w:tl2br w:val="nil"/>
                    <w:tr2bl w:val="nil"/>
                  </w:tcBorders>
                  <mc:AlternateContent>
                    <mc:Choice Requires="wpsCustomData">
                      <wpsCustomData:diagonals>
                        <wpsCustomData:diagonal from="10000" to="30000">
                          <wpsCustomData:border w:val="single" w:color="000000" w:sz="4" w:space="0"/>
                        </wpsCustomData:diagonal>
                      </wpsCustomData:diagonals>
                    </mc:Choice>
                  </mc:AlternateContent>
                </w:tcPr>
                <w:p w14:paraId="78C568AA">
                  <w:pPr>
                    <w:ind w:right="420"/>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lang w:val="en-US" w:eastAsia="zh-CN"/>
                    </w:rPr>
                    <w:t xml:space="preserve">     </w:t>
                  </w:r>
                  <w:r>
                    <w:rPr>
                      <w:rFonts w:hint="eastAsia" w:cs="Times New Roman"/>
                      <w:b/>
                      <w:color w:val="auto"/>
                      <w:szCs w:val="21"/>
                      <w:highlight w:val="none"/>
                      <w:lang w:val="en-US" w:eastAsia="zh-CN"/>
                    </w:rPr>
                    <w:t xml:space="preserve">        </w:t>
                  </w:r>
                </w:p>
                <w:p w14:paraId="484D306D">
                  <w:pPr>
                    <w:snapToGrid w:val="0"/>
                    <w:spacing w:line="240" w:lineRule="auto"/>
                    <w:ind w:firstLine="422" w:firstLineChars="200"/>
                    <w:jc w:val="left"/>
                    <mc:AlternateContent>
                      <mc:Choice Requires="wpsCustomData">
                        <wpsCustomData:diagonalParaType/>
                      </mc:Choice>
                    </mc:AlternateContent>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项目阶段</w:t>
                  </w:r>
                </w:p>
                <w:p w14:paraId="6F63C732">
                  <w:pPr>
                    <w:ind w:firstLine="1054" w:firstLineChars="500"/>
                    <w:jc w:val="left"/>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时段</w:t>
                  </w:r>
                </w:p>
              </w:tc>
              <w:tc>
                <w:tcPr>
                  <w:tcW w:w="2125" w:type="pct"/>
                  <w:tcBorders>
                    <w:tl2br w:val="nil"/>
                    <w:tr2bl w:val="nil"/>
                  </w:tcBorders>
                  <w:vAlign w:val="center"/>
                </w:tcPr>
                <w:p w14:paraId="37AC2A69">
                  <w:pPr>
                    <w:jc w:val="center"/>
                    <w:rPr>
                      <w:rFonts w:hint="default" w:ascii="Times New Roman" w:hAnsi="Times New Roman" w:eastAsia="宋体" w:cs="Times New Roman"/>
                      <w:b/>
                      <w:color w:val="auto"/>
                      <w:szCs w:val="21"/>
                      <w:highlight w:val="none"/>
                      <w:lang w:val="en-US" w:eastAsia="zh-CN"/>
                    </w:rPr>
                  </w:pPr>
                  <w:r>
                    <w:rPr>
                      <w:rFonts w:hint="default" w:ascii="Times New Roman" w:hAnsi="Times New Roman" w:eastAsia="宋体" w:cs="Times New Roman"/>
                      <w:b/>
                      <w:color w:val="auto"/>
                      <w:szCs w:val="21"/>
                      <w:highlight w:val="none"/>
                    </w:rPr>
                    <w:t>昼间</w:t>
                  </w:r>
                </w:p>
              </w:tc>
            </w:tr>
            <w:tr w14:paraId="2CF2AD55">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28" w:type="dxa"/>
                  <w:bottom w:w="0" w:type="dxa"/>
                  <w:right w:w="28" w:type="dxa"/>
                </w:tblCellMar>
              </w:tblPrEx>
              <w:trPr>
                <w:cantSplit/>
                <w:trHeight w:val="195" w:hRule="atLeast"/>
                <w:jc w:val="center"/>
              </w:trPr>
              <w:tc>
                <w:tcPr>
                  <w:tcW w:w="2874" w:type="pct"/>
                  <w:gridSpan w:val="2"/>
                  <w:tcBorders>
                    <w:tl2br w:val="nil"/>
                    <w:tr2bl w:val="nil"/>
                  </w:tcBorders>
                  <w:vAlign w:val="center"/>
                </w:tcPr>
                <w:p w14:paraId="7AF89663">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施工期</w:t>
                  </w:r>
                </w:p>
              </w:tc>
              <w:tc>
                <w:tcPr>
                  <w:tcW w:w="2125" w:type="pct"/>
                  <w:tcBorders>
                    <w:tl2br w:val="nil"/>
                    <w:tr2bl w:val="nil"/>
                  </w:tcBorders>
                  <w:vAlign w:val="center"/>
                </w:tcPr>
                <w:p w14:paraId="72B0203C">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70</w:t>
                  </w:r>
                </w:p>
              </w:tc>
            </w:tr>
            <w:tr w14:paraId="31C4C925">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28" w:type="dxa"/>
                  <w:bottom w:w="0" w:type="dxa"/>
                  <w:right w:w="28" w:type="dxa"/>
                </w:tblCellMar>
              </w:tblPrEx>
              <w:trPr>
                <w:cantSplit/>
                <w:trHeight w:val="195" w:hRule="atLeast"/>
                <w:jc w:val="center"/>
              </w:trPr>
              <w:tc>
                <w:tcPr>
                  <w:tcW w:w="836" w:type="pct"/>
                  <w:tcBorders>
                    <w:tl2br w:val="nil"/>
                    <w:tr2bl w:val="nil"/>
                  </w:tcBorders>
                  <w:vAlign w:val="center"/>
                </w:tcPr>
                <w:p w14:paraId="46B404C0">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运行期</w:t>
                  </w:r>
                </w:p>
              </w:tc>
              <w:tc>
                <w:tcPr>
                  <w:tcW w:w="2038" w:type="pct"/>
                  <w:tcBorders>
                    <w:tl2br w:val="nil"/>
                    <w:tr2bl w:val="nil"/>
                  </w:tcBorders>
                  <w:vAlign w:val="center"/>
                </w:tcPr>
                <w:p w14:paraId="455CB604">
                  <w:pPr>
                    <w:ind w:firstLine="210" w:firstLineChars="100"/>
                    <w:jc w:val="both"/>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厂界东侧、南侧、西侧、北侧</w:t>
                  </w:r>
                </w:p>
              </w:tc>
              <w:tc>
                <w:tcPr>
                  <w:tcW w:w="2125" w:type="pct"/>
                  <w:tcBorders>
                    <w:tl2br w:val="nil"/>
                    <w:tr2bl w:val="nil"/>
                  </w:tcBorders>
                  <w:vAlign w:val="center"/>
                </w:tcPr>
                <w:p w14:paraId="5D069FF8">
                  <w:pPr>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55</w:t>
                  </w:r>
                </w:p>
              </w:tc>
            </w:tr>
            <w:tr w14:paraId="39E21380">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28" w:type="dxa"/>
                  <w:bottom w:w="0" w:type="dxa"/>
                  <w:right w:w="28" w:type="dxa"/>
                </w:tblCellMar>
              </w:tblPrEx>
              <w:trPr>
                <w:cantSplit/>
                <w:trHeight w:val="195" w:hRule="atLeast"/>
                <w:jc w:val="center"/>
              </w:trPr>
              <w:tc>
                <w:tcPr>
                  <w:tcW w:w="5000" w:type="pct"/>
                  <w:gridSpan w:val="3"/>
                  <w:tcBorders>
                    <w:tl2br w:val="nil"/>
                    <w:tr2bl w:val="nil"/>
                  </w:tcBorders>
                  <w:vAlign w:val="center"/>
                </w:tcPr>
                <w:p w14:paraId="4183993D">
                  <w:pPr>
                    <w:jc w:val="left"/>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注：本项目施工期夜间不施工；运行期</w:t>
                  </w:r>
                  <w:r>
                    <w:rPr>
                      <w:rFonts w:hint="default" w:ascii="Times New Roman" w:hAnsi="Times New Roman" w:eastAsia="宋体" w:cs="Times New Roman"/>
                      <w:color w:val="auto"/>
                      <w:highlight w:val="none"/>
                      <w:lang w:val="en-US" w:eastAsia="zh-CN"/>
                    </w:rPr>
                    <w:t>夜间不</w:t>
                  </w:r>
                  <w:r>
                    <w:rPr>
                      <w:rFonts w:hint="default" w:ascii="Times New Roman" w:hAnsi="Times New Roman" w:eastAsia="宋体" w:cs="Times New Roman"/>
                      <w:color w:val="auto"/>
                      <w:highlight w:val="none"/>
                    </w:rPr>
                    <w:t>运行。</w:t>
                  </w:r>
                </w:p>
              </w:tc>
            </w:tr>
          </w:tbl>
          <w:p w14:paraId="36B4B485">
            <w:pPr>
              <w:adjustRightInd w:val="0"/>
              <w:spacing w:before="120" w:beforeLines="50" w:line="360" w:lineRule="auto"/>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四、固体废物排放标准或规定</w:t>
            </w:r>
          </w:p>
          <w:p w14:paraId="4D7E26C3">
            <w:pPr>
              <w:adjustRightInd w:val="0"/>
              <w:spacing w:line="360" w:lineRule="auto"/>
              <w:ind w:firstLine="480" w:firstLineChars="200"/>
              <w:rPr>
                <w:rFonts w:hint="default" w:ascii="Times New Roman" w:hAnsi="Times New Roman" w:eastAsia="宋体" w:cs="Times New Roman"/>
                <w:bCs/>
                <w:color w:val="auto"/>
                <w:sz w:val="24"/>
                <w:highlight w:val="none"/>
              </w:rPr>
            </w:pPr>
            <w:r>
              <w:rPr>
                <w:rFonts w:hint="default" w:ascii="Times New Roman" w:hAnsi="Times New Roman" w:eastAsia="宋体" w:cs="Times New Roman"/>
                <w:bCs/>
                <w:color w:val="auto"/>
                <w:sz w:val="24"/>
                <w:highlight w:val="none"/>
              </w:rPr>
              <w:t>固体废物执行《中华人民共和国固体废物污染环境防治法》（2020 年 4 月 29 日修订）中有关规定。</w:t>
            </w:r>
          </w:p>
          <w:p w14:paraId="7BA1D583">
            <w:pPr>
              <w:adjustRightInd w:val="0"/>
              <w:spacing w:line="360" w:lineRule="auto"/>
              <w:ind w:firstLine="480" w:firstLineChars="200"/>
              <w:rPr>
                <w:rFonts w:hint="default" w:ascii="Times New Roman" w:hAnsi="Times New Roman" w:eastAsia="宋体" w:cs="Times New Roman"/>
                <w:bCs/>
                <w:color w:val="auto"/>
                <w:sz w:val="24"/>
                <w:highlight w:val="none"/>
              </w:rPr>
            </w:pPr>
            <w:r>
              <w:rPr>
                <w:rFonts w:hint="default" w:ascii="Times New Roman" w:hAnsi="Times New Roman" w:eastAsia="宋体" w:cs="Times New Roman"/>
                <w:bCs/>
                <w:color w:val="auto"/>
                <w:sz w:val="24"/>
                <w:highlight w:val="none"/>
              </w:rPr>
              <w:t>（1）生活垃圾</w:t>
            </w:r>
          </w:p>
          <w:p w14:paraId="0A88F828">
            <w:pPr>
              <w:adjustRightInd w:val="0"/>
              <w:spacing w:line="360" w:lineRule="auto"/>
              <w:ind w:firstLine="480" w:firstLineChars="200"/>
              <w:rPr>
                <w:rFonts w:hint="default" w:ascii="Times New Roman" w:hAnsi="Times New Roman" w:eastAsia="宋体" w:cs="Times New Roman"/>
                <w:bCs/>
                <w:color w:val="auto"/>
                <w:sz w:val="24"/>
                <w:highlight w:val="none"/>
              </w:rPr>
            </w:pPr>
            <w:r>
              <w:rPr>
                <w:rFonts w:hint="default" w:ascii="Times New Roman" w:hAnsi="Times New Roman" w:eastAsia="宋体" w:cs="Times New Roman"/>
                <w:bCs/>
                <w:color w:val="auto"/>
                <w:sz w:val="24"/>
                <w:highlight w:val="none"/>
              </w:rPr>
              <w:t>执行《中华人民共和国固体废物污染环境防治法》（2020年版）及《北京市生活垃圾管理条例》（2020年5月1日起施行，2020年9月25日第二次修正）中的有关规定。</w:t>
            </w:r>
          </w:p>
          <w:p w14:paraId="43A4C9DB">
            <w:pPr>
              <w:adjustRightInd w:val="0"/>
              <w:spacing w:line="360" w:lineRule="auto"/>
              <w:ind w:firstLine="480" w:firstLineChars="200"/>
              <w:rPr>
                <w:rFonts w:hint="default" w:ascii="Times New Roman" w:hAnsi="Times New Roman" w:eastAsia="宋体" w:cs="Times New Roman"/>
                <w:bCs/>
                <w:color w:val="auto"/>
                <w:sz w:val="24"/>
                <w:highlight w:val="none"/>
              </w:rPr>
            </w:pPr>
            <w:r>
              <w:rPr>
                <w:rFonts w:hint="default" w:ascii="Times New Roman" w:hAnsi="Times New Roman" w:eastAsia="宋体" w:cs="Times New Roman"/>
                <w:bCs/>
                <w:color w:val="auto"/>
                <w:sz w:val="24"/>
                <w:highlight w:val="none"/>
              </w:rPr>
              <w:t>（2）一般工业固体废物</w:t>
            </w:r>
          </w:p>
          <w:p w14:paraId="23E0C0A9">
            <w:pPr>
              <w:adjustRightInd w:val="0"/>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bCs/>
                <w:color w:val="auto"/>
                <w:sz w:val="24"/>
                <w:highlight w:val="none"/>
              </w:rPr>
              <w:t>一般工业固体废物处置执行《中华人民共和国固体废物污染环境防治法》（2020年9月1日起施行）、《一般工业固体废物贮存和填埋污染控制标准》（GB18599-2020）中的有关规定。</w:t>
            </w:r>
          </w:p>
          <w:p w14:paraId="004BCEAB">
            <w:pPr>
              <w:adjustRightInd w:val="0"/>
              <w:spacing w:line="360" w:lineRule="auto"/>
              <w:ind w:firstLine="480" w:firstLineChars="200"/>
              <w:rPr>
                <w:rFonts w:hint="default" w:ascii="Times New Roman" w:hAnsi="Times New Roman" w:eastAsia="宋体" w:cs="Times New Roman"/>
                <w:bCs/>
                <w:color w:val="auto"/>
                <w:sz w:val="24"/>
                <w:highlight w:val="none"/>
              </w:rPr>
            </w:pPr>
            <w:r>
              <w:rPr>
                <w:rFonts w:hint="default" w:ascii="Times New Roman" w:hAnsi="Times New Roman" w:eastAsia="宋体" w:cs="Times New Roman"/>
                <w:bCs/>
                <w:color w:val="auto"/>
                <w:sz w:val="24"/>
                <w:highlight w:val="none"/>
              </w:rPr>
              <w:t>（3）危险废物</w:t>
            </w:r>
          </w:p>
          <w:p w14:paraId="77441D3B">
            <w:pPr>
              <w:adjustRightInd w:val="0"/>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bCs/>
                <w:color w:val="auto"/>
                <w:sz w:val="24"/>
                <w:highlight w:val="none"/>
              </w:rPr>
              <w:t>危险废物收集、储存、转运执行《北京市危险废物污染环境防治条例》、（2020年9月1日实施）、《危险废物收集贮存运输技术规范》（HJ2025-2012）、《危险废物贮存污染控制标准》（GB18597-2023）、《危险废物污染防治技术政策》（环发[2021]199号）</w:t>
            </w:r>
            <w:r>
              <w:rPr>
                <w:rFonts w:hint="eastAsia" w:cs="Times New Roman"/>
                <w:bCs/>
                <w:color w:val="auto"/>
                <w:sz w:val="24"/>
                <w:highlight w:val="none"/>
                <w:lang w:eastAsia="zh-CN"/>
              </w:rPr>
              <w:t>、</w:t>
            </w:r>
            <w:r>
              <w:rPr>
                <w:rFonts w:hint="default" w:ascii="Times New Roman" w:hAnsi="Times New Roman" w:eastAsia="宋体" w:cs="Times New Roman"/>
                <w:bCs/>
                <w:color w:val="auto"/>
                <w:sz w:val="24"/>
                <w:highlight w:val="none"/>
              </w:rPr>
              <w:t>《危险废物转移管理办法》（2022年1月1日起施行）、《实验室危险废物污染防治技术规范》（DB11 /T 1368—2016）中的有关规定。</w:t>
            </w:r>
          </w:p>
        </w:tc>
      </w:tr>
      <w:tr w14:paraId="02F92C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800" w:type="dxa"/>
            <w:tcMar>
              <w:left w:w="28" w:type="dxa"/>
              <w:right w:w="28" w:type="dxa"/>
            </w:tcMar>
            <w:vAlign w:val="center"/>
          </w:tcPr>
          <w:p w14:paraId="1A677B0F">
            <w:pPr>
              <w:adjustRightInd w:val="0"/>
              <w:snapToGrid w:val="0"/>
              <w:jc w:val="center"/>
              <w:rPr>
                <w:rFonts w:hint="default" w:ascii="Times New Roman" w:hAnsi="Times New Roman" w:eastAsia="宋体" w:cs="Times New Roman"/>
                <w:color w:val="auto"/>
                <w:kern w:val="0"/>
                <w:sz w:val="24"/>
                <w:highlight w:val="none"/>
              </w:rPr>
            </w:pPr>
            <w:r>
              <w:rPr>
                <w:rFonts w:hint="default" w:ascii="Times New Roman" w:hAnsi="Times New Roman" w:eastAsia="宋体" w:cs="Times New Roman"/>
                <w:color w:val="auto"/>
                <w:kern w:val="0"/>
                <w:sz w:val="24"/>
                <w:highlight w:val="none"/>
              </w:rPr>
              <w:t>总量控制指标</w:t>
            </w:r>
          </w:p>
        </w:tc>
        <w:tc>
          <w:tcPr>
            <w:tcW w:w="8147" w:type="dxa"/>
            <w:vAlign w:val="center"/>
          </w:tcPr>
          <w:p w14:paraId="6FE04509">
            <w:pPr>
              <w:adjustRightInd w:val="0"/>
              <w:spacing w:line="360" w:lineRule="auto"/>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一、污染物排放总量控制原则</w:t>
            </w:r>
          </w:p>
          <w:p w14:paraId="66491CD1">
            <w:pPr>
              <w:adjustRightInd w:val="0"/>
              <w:snapToGrid w:val="0"/>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根据北京市环境保护局关于转发环境保护部《建设项目主要污染物排放总量指标审核及管理暂行办法》的通知（京环发〔2015〕19号）以及《北京市环境保护局关于建设项目主要污染物排放总量指标审核及管理的补充通知》（京环发〔2016〕24号），本市实施建设项目总量指标审核和管理的污染物范围包括：二氧化硫、氮氧化物、烟粉尘、挥发性有机物（工业及汽车维修行业）及化学需氧量、氨氮。</w:t>
            </w:r>
          </w:p>
          <w:p w14:paraId="6FF3A9E1">
            <w:pPr>
              <w:pStyle w:val="6"/>
              <w:adjustRightInd w:val="0"/>
              <w:snapToGrid w:val="0"/>
              <w:spacing w:line="360" w:lineRule="auto"/>
              <w:ind w:firstLine="0"/>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rPr>
              <w:t>二、建设项目污染物排放总量核算</w:t>
            </w:r>
          </w:p>
          <w:p w14:paraId="0C699706">
            <w:pPr>
              <w:adjustRightInd w:val="0"/>
              <w:snapToGrid w:val="0"/>
              <w:spacing w:line="360" w:lineRule="auto"/>
              <w:ind w:firstLine="480" w:firstLineChars="200"/>
              <w:jc w:val="left"/>
              <w:rPr>
                <w:rFonts w:hint="default" w:ascii="Times New Roman" w:hAnsi="Times New Roman" w:eastAsia="宋体" w:cs="Times New Roman"/>
                <w:color w:val="auto"/>
                <w:kern w:val="0"/>
                <w:sz w:val="24"/>
                <w:highlight w:val="none"/>
              </w:rPr>
            </w:pPr>
            <w:r>
              <w:rPr>
                <w:rFonts w:hint="default" w:ascii="Times New Roman" w:hAnsi="Times New Roman" w:eastAsia="宋体" w:cs="Times New Roman"/>
                <w:color w:val="auto"/>
                <w:sz w:val="24"/>
                <w:highlight w:val="none"/>
              </w:rPr>
              <w:t>本项目主要进行</w:t>
            </w:r>
            <w:r>
              <w:rPr>
                <w:rFonts w:hint="eastAsia" w:cs="Times New Roman"/>
                <w:color w:val="auto"/>
                <w:sz w:val="24"/>
                <w:highlight w:val="none"/>
                <w:lang w:val="en-US" w:eastAsia="zh-CN"/>
              </w:rPr>
              <w:t>实验研发</w:t>
            </w:r>
            <w:r>
              <w:rPr>
                <w:rFonts w:hint="default" w:ascii="Times New Roman" w:hAnsi="Times New Roman" w:eastAsia="宋体" w:cs="Times New Roman"/>
                <w:color w:val="auto"/>
                <w:sz w:val="24"/>
                <w:highlight w:val="none"/>
              </w:rPr>
              <w:t>，根</w:t>
            </w:r>
            <w:r>
              <w:rPr>
                <w:rFonts w:hint="default" w:ascii="Times New Roman" w:hAnsi="Times New Roman" w:eastAsia="宋体" w:cs="Times New Roman"/>
                <w:color w:val="auto"/>
                <w:kern w:val="0"/>
                <w:sz w:val="24"/>
                <w:highlight w:val="none"/>
              </w:rPr>
              <w:t>据项目特点，本项目需要申请总量控制指标的污染物为：</w:t>
            </w:r>
            <w:r>
              <w:rPr>
                <w:rFonts w:hint="default" w:ascii="Times New Roman" w:hAnsi="Times New Roman" w:eastAsia="宋体" w:cs="Times New Roman"/>
                <w:color w:val="auto"/>
                <w:sz w:val="24"/>
                <w:highlight w:val="none"/>
              </w:rPr>
              <w:t>化学需氧量、氨氮。</w:t>
            </w:r>
            <w:r>
              <w:rPr>
                <w:rFonts w:hint="default" w:ascii="Times New Roman" w:hAnsi="Times New Roman" w:eastAsia="宋体" w:cs="Times New Roman"/>
                <w:color w:val="auto"/>
                <w:kern w:val="0"/>
                <w:sz w:val="24"/>
                <w:highlight w:val="none"/>
              </w:rPr>
              <w:t>根据《北京市环境保护局关于建设项目主要污染物排放总量指标审核及管理的补充通知》（京环发〔2016〕24号）附件1，</w:t>
            </w:r>
            <w:r>
              <w:rPr>
                <w:rFonts w:hint="eastAsia" w:cs="Times New Roman"/>
                <w:color w:val="auto"/>
                <w:kern w:val="0"/>
                <w:sz w:val="24"/>
                <w:highlight w:val="none"/>
                <w:lang w:eastAsia="zh-CN"/>
              </w:rPr>
              <w:t>“</w:t>
            </w:r>
            <w:r>
              <w:rPr>
                <w:rFonts w:hint="default" w:ascii="Times New Roman" w:hAnsi="Times New Roman" w:eastAsia="宋体" w:cs="Times New Roman"/>
                <w:color w:val="auto"/>
                <w:kern w:val="0"/>
                <w:sz w:val="24"/>
                <w:highlight w:val="none"/>
              </w:rPr>
              <w:t>为了使污染物源强的核算更接近实际的排放情况，在污染物源强的核算过程中优先使用实测法，类比分析法、物料衡算法及排放系数法次之。同时在核算过程中应选择不少于两种方法对污染物源强的产生进行核算，当核算的污染物排放总量差别较大时还应继续采用其他方法进行校验，以便得到更接近实际情况的排放量核算数据</w:t>
            </w:r>
            <w:r>
              <w:rPr>
                <w:rFonts w:hint="eastAsia" w:cs="Times New Roman"/>
                <w:color w:val="auto"/>
                <w:kern w:val="0"/>
                <w:sz w:val="24"/>
                <w:highlight w:val="none"/>
                <w:lang w:eastAsia="zh-CN"/>
              </w:rPr>
              <w:t>”</w:t>
            </w:r>
            <w:r>
              <w:rPr>
                <w:rFonts w:hint="default" w:ascii="Times New Roman" w:hAnsi="Times New Roman" w:eastAsia="宋体" w:cs="Times New Roman"/>
                <w:color w:val="auto"/>
                <w:kern w:val="0"/>
                <w:sz w:val="24"/>
                <w:highlight w:val="none"/>
              </w:rPr>
              <w:t>。</w:t>
            </w:r>
          </w:p>
          <w:p w14:paraId="4A3E67B9">
            <w:pPr>
              <w:numPr>
                <w:ilvl w:val="0"/>
                <w:numId w:val="16"/>
              </w:numPr>
              <w:adjustRightInd w:val="0"/>
              <w:snapToGrid w:val="0"/>
              <w:spacing w:line="360" w:lineRule="auto"/>
              <w:ind w:left="0" w:firstLine="482" w:firstLineChars="200"/>
              <w:jc w:val="left"/>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水污染物总量核算</w:t>
            </w:r>
          </w:p>
          <w:p w14:paraId="618C58D5">
            <w:pPr>
              <w:pStyle w:val="6"/>
              <w:numPr>
                <w:ilvl w:val="0"/>
                <w:numId w:val="17"/>
              </w:numPr>
              <w:adjustRightInd w:val="0"/>
              <w:snapToGrid w:val="0"/>
              <w:spacing w:line="360" w:lineRule="auto"/>
              <w:ind w:firstLine="480" w:firstLineChars="200"/>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排污系数法</w:t>
            </w:r>
          </w:p>
          <w:p w14:paraId="7A303A48">
            <w:pPr>
              <w:adjustRightInd w:val="0"/>
              <w:snapToGrid w:val="0"/>
              <w:spacing w:line="360" w:lineRule="auto"/>
              <w:ind w:firstLine="420"/>
              <w:jc w:val="left"/>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根据本报告</w:t>
            </w:r>
            <w:r>
              <w:rPr>
                <w:rFonts w:hint="eastAsia"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四、主要环境影响和保护措施</w:t>
            </w:r>
            <w:r>
              <w:rPr>
                <w:rFonts w:hint="eastAsia"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章节中废水源强核算结果，本项目COD</w:t>
            </w:r>
            <w:r>
              <w:rPr>
                <w:rFonts w:hint="default" w:ascii="Times New Roman" w:hAnsi="Times New Roman" w:eastAsia="宋体" w:cs="Times New Roman"/>
                <w:color w:val="auto"/>
                <w:sz w:val="24"/>
                <w:highlight w:val="none"/>
                <w:vertAlign w:val="subscript"/>
                <w:lang w:val="en-US" w:eastAsia="zh-CN"/>
              </w:rPr>
              <w:t>Cr</w:t>
            </w:r>
            <w:r>
              <w:rPr>
                <w:rFonts w:hint="default" w:ascii="Times New Roman" w:hAnsi="Times New Roman" w:eastAsia="宋体" w:cs="Times New Roman"/>
                <w:color w:val="auto"/>
                <w:sz w:val="24"/>
                <w:highlight w:val="none"/>
                <w:lang w:val="en-US" w:eastAsia="zh-CN"/>
              </w:rPr>
              <w:t>排放量为</w:t>
            </w:r>
            <w:r>
              <w:rPr>
                <w:rFonts w:hint="eastAsia" w:cs="Times New Roman"/>
                <w:color w:val="auto"/>
                <w:sz w:val="24"/>
                <w:highlight w:val="none"/>
                <w:lang w:val="en-US" w:eastAsia="zh-CN"/>
              </w:rPr>
              <w:t>0.0366</w:t>
            </w:r>
            <w:r>
              <w:rPr>
                <w:rFonts w:hint="default" w:ascii="Times New Roman" w:hAnsi="Times New Roman" w:eastAsia="宋体" w:cs="Times New Roman"/>
                <w:color w:val="auto"/>
                <w:sz w:val="24"/>
                <w:highlight w:val="none"/>
                <w:lang w:val="en-US" w:eastAsia="zh-CN"/>
              </w:rPr>
              <w:t>t/a，氨氮排放量为0.</w:t>
            </w:r>
            <w:r>
              <w:rPr>
                <w:rFonts w:hint="eastAsia" w:cs="Times New Roman"/>
                <w:color w:val="auto"/>
                <w:sz w:val="24"/>
                <w:highlight w:val="none"/>
                <w:lang w:val="en-US" w:eastAsia="zh-CN"/>
              </w:rPr>
              <w:t>0037</w:t>
            </w:r>
            <w:r>
              <w:rPr>
                <w:rFonts w:hint="default" w:ascii="Times New Roman" w:hAnsi="Times New Roman" w:eastAsia="宋体" w:cs="Times New Roman"/>
                <w:color w:val="auto"/>
                <w:sz w:val="24"/>
                <w:highlight w:val="none"/>
                <w:lang w:val="en-US" w:eastAsia="zh-CN"/>
              </w:rPr>
              <w:t>t/a。</w:t>
            </w:r>
          </w:p>
          <w:p w14:paraId="6989F43A">
            <w:pPr>
              <w:adjustRightInd w:val="0"/>
              <w:spacing w:line="360" w:lineRule="auto"/>
              <w:ind w:firstLine="480" w:firstLineChars="200"/>
              <w:textAlignment w:val="baseline"/>
              <w:rPr>
                <w:rFonts w:hint="default" w:ascii="Times New Roman" w:hAnsi="Times New Roman" w:eastAsia="宋体" w:cs="Times New Roman"/>
                <w:bCs/>
                <w:color w:val="auto"/>
                <w:sz w:val="24"/>
                <w:highlight w:val="none"/>
              </w:rPr>
            </w:pPr>
            <w:r>
              <w:rPr>
                <w:rFonts w:hint="default" w:ascii="Times New Roman" w:hAnsi="Times New Roman" w:eastAsia="宋体" w:cs="Times New Roman"/>
                <w:bCs/>
                <w:color w:val="auto"/>
                <w:sz w:val="24"/>
                <w:highlight w:val="none"/>
              </w:rPr>
              <w:t>（2）类比分析法</w:t>
            </w:r>
          </w:p>
          <w:p w14:paraId="132DBF7C">
            <w:pPr>
              <w:snapToGrid w:val="0"/>
              <w:spacing w:line="360" w:lineRule="auto"/>
              <w:ind w:firstLine="480" w:firstLineChars="200"/>
              <w:jc w:val="left"/>
              <w:rPr>
                <w:bCs/>
                <w:color w:val="auto"/>
                <w:sz w:val="24"/>
              </w:rPr>
            </w:pPr>
            <w:r>
              <w:rPr>
                <w:rFonts w:hint="default" w:ascii="Times New Roman" w:hAnsi="Times New Roman" w:eastAsia="宋体" w:cs="Times New Roman"/>
                <w:color w:val="auto"/>
                <w:sz w:val="24"/>
                <w:highlight w:val="none"/>
                <w:lang w:val="en-US" w:eastAsia="zh-CN"/>
              </w:rPr>
              <w:t>本项目废水类比</w:t>
            </w:r>
            <w:r>
              <w:rPr>
                <w:rFonts w:hint="eastAsia" w:ascii="Times New Roman" w:hAnsi="Times New Roman" w:eastAsia="宋体" w:cs="Times New Roman"/>
                <w:color w:val="auto"/>
                <w:sz w:val="24"/>
                <w:highlight w:val="none"/>
                <w:lang w:val="en-US" w:eastAsia="zh-CN"/>
              </w:rPr>
              <w:t>北京诚天检测技术服务有限公司</w:t>
            </w:r>
            <w:r>
              <w:rPr>
                <w:rFonts w:hint="eastAsia" w:cs="Times New Roman"/>
                <w:color w:val="auto"/>
                <w:sz w:val="24"/>
                <w:highlight w:val="none"/>
                <w:lang w:val="en-US" w:eastAsia="zh-CN"/>
              </w:rPr>
              <w:t>于</w:t>
            </w:r>
            <w:r>
              <w:rPr>
                <w:rFonts w:hint="default" w:ascii="Times New Roman" w:hAnsi="Times New Roman" w:eastAsia="宋体" w:cs="Times New Roman"/>
                <w:color w:val="auto"/>
                <w:sz w:val="24"/>
                <w:highlight w:val="none"/>
                <w:lang w:val="en-US" w:eastAsia="zh-CN"/>
              </w:rPr>
              <w:t>2023</w:t>
            </w:r>
            <w:r>
              <w:rPr>
                <w:rFonts w:hint="eastAsia" w:ascii="Times New Roman" w:hAnsi="Times New Roman" w:eastAsia="宋体" w:cs="Times New Roman"/>
                <w:color w:val="auto"/>
                <w:sz w:val="24"/>
                <w:highlight w:val="none"/>
                <w:lang w:val="en-US" w:eastAsia="zh-CN"/>
              </w:rPr>
              <w:t>年</w:t>
            </w:r>
            <w:r>
              <w:rPr>
                <w:rFonts w:hint="default" w:ascii="Times New Roman" w:hAnsi="Times New Roman" w:eastAsia="宋体" w:cs="Times New Roman"/>
                <w:color w:val="auto"/>
                <w:sz w:val="24"/>
                <w:highlight w:val="none"/>
                <w:lang w:val="en-US" w:eastAsia="zh-CN"/>
              </w:rPr>
              <w:t>6</w:t>
            </w:r>
            <w:r>
              <w:rPr>
                <w:rFonts w:hint="eastAsia" w:ascii="Times New Roman" w:hAnsi="Times New Roman" w:eastAsia="宋体" w:cs="Times New Roman"/>
                <w:color w:val="auto"/>
                <w:sz w:val="24"/>
                <w:highlight w:val="none"/>
                <w:lang w:val="en-US" w:eastAsia="zh-CN"/>
              </w:rPr>
              <w:t>月</w:t>
            </w:r>
            <w:r>
              <w:rPr>
                <w:rFonts w:hint="eastAsia" w:cs="Times New Roman"/>
                <w:color w:val="auto"/>
                <w:sz w:val="24"/>
                <w:highlight w:val="none"/>
                <w:lang w:val="en-US" w:eastAsia="zh-CN"/>
              </w:rPr>
              <w:t>检测的</w:t>
            </w:r>
            <w:r>
              <w:rPr>
                <w:rFonts w:hint="eastAsia" w:ascii="Times New Roman" w:hAnsi="Times New Roman" w:eastAsia="宋体" w:cs="Times New Roman"/>
                <w:color w:val="auto"/>
                <w:sz w:val="24"/>
                <w:highlight w:val="none"/>
                <w:lang w:val="en-US" w:eastAsia="zh-CN"/>
              </w:rPr>
              <w:t>中检科（北京）测试技术有限公司废水总排口</w:t>
            </w:r>
            <w:r>
              <w:rPr>
                <w:rFonts w:hint="eastAsia" w:cs="Times New Roman"/>
                <w:color w:val="auto"/>
                <w:sz w:val="24"/>
                <w:highlight w:val="none"/>
                <w:lang w:val="en-US" w:eastAsia="zh-CN"/>
              </w:rPr>
              <w:t>检测数据。</w:t>
            </w:r>
            <w:r>
              <w:rPr>
                <w:rFonts w:hint="default" w:ascii="Times New Roman" w:hAnsi="Times New Roman" w:eastAsia="宋体" w:cs="Times New Roman"/>
                <w:color w:val="auto"/>
                <w:sz w:val="24"/>
                <w:highlight w:val="none"/>
                <w:lang w:val="en-US" w:eastAsia="zh-CN"/>
              </w:rPr>
              <w:t>该项目与本项目产生废水类别、排放方式类似，具有可类比性</w:t>
            </w:r>
            <w:r>
              <w:rPr>
                <w:rFonts w:hint="eastAsia" w:cs="Times New Roman"/>
                <w:color w:val="auto"/>
                <w:sz w:val="24"/>
                <w:highlight w:val="none"/>
                <w:lang w:val="en-US" w:eastAsia="zh-CN"/>
              </w:rPr>
              <w:t>，</w:t>
            </w:r>
            <w:r>
              <w:rPr>
                <w:rFonts w:hint="eastAsia"/>
                <w:color w:val="auto"/>
                <w:sz w:val="24"/>
                <w:lang w:val="en-US" w:eastAsia="zh-CN"/>
              </w:rPr>
              <w:t>类比情况</w:t>
            </w:r>
            <w:r>
              <w:rPr>
                <w:rFonts w:hint="eastAsia"/>
                <w:color w:val="auto"/>
                <w:sz w:val="24"/>
              </w:rPr>
              <w:t>见下表。</w:t>
            </w:r>
          </w:p>
          <w:p w14:paraId="4E795595">
            <w:pPr>
              <w:numPr>
                <w:ilvl w:val="0"/>
                <w:numId w:val="14"/>
              </w:numPr>
              <w:spacing w:line="360" w:lineRule="auto"/>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类比项目与本项目对比一览表</w:t>
            </w:r>
          </w:p>
          <w:tbl>
            <w:tblPr>
              <w:tblStyle w:val="24"/>
              <w:tblW w:w="797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84"/>
              <w:gridCol w:w="2727"/>
              <w:gridCol w:w="2913"/>
              <w:gridCol w:w="1154"/>
            </w:tblGrid>
            <w:tr w14:paraId="05793D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1184" w:type="dxa"/>
                  <w:tcBorders>
                    <w:tl2br w:val="nil"/>
                    <w:tr2bl w:val="nil"/>
                  </w:tcBorders>
                  <w:vAlign w:val="center"/>
                </w:tcPr>
                <w:p w14:paraId="5CBA5508">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jc w:val="center"/>
                    <w:textAlignment w:val="auto"/>
                    <w:rPr>
                      <w:rFonts w:hint="eastAsia" w:eastAsia="宋体"/>
                      <w:b/>
                      <w:bCs/>
                      <w:color w:val="auto"/>
                      <w:sz w:val="21"/>
                      <w:szCs w:val="21"/>
                      <w:highlight w:val="none"/>
                      <w:lang w:val="en-US" w:eastAsia="zh-CN"/>
                    </w:rPr>
                  </w:pPr>
                  <w:r>
                    <w:rPr>
                      <w:rFonts w:hint="eastAsia" w:eastAsia="宋体"/>
                      <w:b/>
                      <w:bCs/>
                      <w:color w:val="auto"/>
                      <w:sz w:val="21"/>
                      <w:szCs w:val="21"/>
                      <w:highlight w:val="none"/>
                      <w:lang w:val="en-US" w:eastAsia="zh-CN"/>
                    </w:rPr>
                    <w:t>名称</w:t>
                  </w:r>
                </w:p>
              </w:tc>
              <w:tc>
                <w:tcPr>
                  <w:tcW w:w="2727" w:type="dxa"/>
                  <w:tcBorders>
                    <w:tl2br w:val="nil"/>
                    <w:tr2bl w:val="nil"/>
                  </w:tcBorders>
                  <w:vAlign w:val="center"/>
                </w:tcPr>
                <w:p w14:paraId="514DC42C">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jc w:val="center"/>
                    <w:textAlignment w:val="auto"/>
                    <w:rPr>
                      <w:rFonts w:hint="eastAsia" w:eastAsia="宋体"/>
                      <w:b/>
                      <w:bCs/>
                      <w:color w:val="auto"/>
                      <w:sz w:val="21"/>
                      <w:szCs w:val="21"/>
                      <w:highlight w:val="none"/>
                      <w:lang w:eastAsia="zh-CN"/>
                    </w:rPr>
                  </w:pPr>
                  <w:r>
                    <w:rPr>
                      <w:rFonts w:hint="eastAsia" w:eastAsia="宋体"/>
                      <w:b/>
                      <w:bCs/>
                      <w:color w:val="auto"/>
                      <w:sz w:val="21"/>
                      <w:szCs w:val="21"/>
                      <w:highlight w:val="none"/>
                      <w:lang w:eastAsia="zh-CN"/>
                    </w:rPr>
                    <w:t>类比项目</w:t>
                  </w:r>
                </w:p>
              </w:tc>
              <w:tc>
                <w:tcPr>
                  <w:tcW w:w="2913" w:type="dxa"/>
                  <w:tcBorders>
                    <w:tl2br w:val="nil"/>
                    <w:tr2bl w:val="nil"/>
                  </w:tcBorders>
                  <w:vAlign w:val="center"/>
                </w:tcPr>
                <w:p w14:paraId="3D598893">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jc w:val="center"/>
                    <w:textAlignment w:val="auto"/>
                    <w:rPr>
                      <w:rFonts w:hint="eastAsia" w:eastAsia="宋体"/>
                      <w:b/>
                      <w:bCs/>
                      <w:color w:val="auto"/>
                      <w:sz w:val="21"/>
                      <w:szCs w:val="21"/>
                      <w:highlight w:val="none"/>
                      <w:lang w:eastAsia="zh-CN"/>
                    </w:rPr>
                  </w:pPr>
                  <w:r>
                    <w:rPr>
                      <w:rFonts w:hint="eastAsia" w:eastAsia="宋体"/>
                      <w:b/>
                      <w:bCs/>
                      <w:color w:val="auto"/>
                      <w:sz w:val="21"/>
                      <w:szCs w:val="21"/>
                      <w:highlight w:val="none"/>
                      <w:lang w:eastAsia="zh-CN"/>
                    </w:rPr>
                    <w:t>本项目</w:t>
                  </w:r>
                </w:p>
              </w:tc>
              <w:tc>
                <w:tcPr>
                  <w:tcW w:w="1154" w:type="dxa"/>
                  <w:tcBorders>
                    <w:tl2br w:val="nil"/>
                    <w:tr2bl w:val="nil"/>
                  </w:tcBorders>
                  <w:vAlign w:val="center"/>
                </w:tcPr>
                <w:p w14:paraId="3DE4B572">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jc w:val="center"/>
                    <w:textAlignment w:val="auto"/>
                    <w:rPr>
                      <w:rFonts w:hint="default" w:eastAsia="宋体"/>
                      <w:b/>
                      <w:bCs/>
                      <w:color w:val="auto"/>
                      <w:sz w:val="21"/>
                      <w:szCs w:val="21"/>
                      <w:highlight w:val="none"/>
                      <w:lang w:val="en-US" w:eastAsia="zh-CN"/>
                    </w:rPr>
                  </w:pPr>
                  <w:r>
                    <w:rPr>
                      <w:rFonts w:hint="eastAsia" w:eastAsia="宋体"/>
                      <w:b/>
                      <w:bCs/>
                      <w:color w:val="auto"/>
                      <w:sz w:val="21"/>
                      <w:szCs w:val="21"/>
                      <w:highlight w:val="none"/>
                      <w:lang w:val="en-US" w:eastAsia="zh-CN"/>
                    </w:rPr>
                    <w:t>可类比性</w:t>
                  </w:r>
                </w:p>
              </w:tc>
            </w:tr>
            <w:tr w14:paraId="5FB40A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84" w:type="dxa"/>
                  <w:tcBorders>
                    <w:tl2br w:val="nil"/>
                    <w:tr2bl w:val="nil"/>
                  </w:tcBorders>
                  <w:vAlign w:val="center"/>
                </w:tcPr>
                <w:p w14:paraId="7F84FCD9">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jc w:val="center"/>
                    <w:textAlignment w:val="auto"/>
                    <w:rPr>
                      <w:rFonts w:hint="eastAsia" w:eastAsia="宋体"/>
                      <w:color w:val="auto"/>
                      <w:sz w:val="21"/>
                      <w:szCs w:val="21"/>
                      <w:highlight w:val="none"/>
                      <w:lang w:eastAsia="zh-CN"/>
                    </w:rPr>
                  </w:pPr>
                  <w:r>
                    <w:rPr>
                      <w:rFonts w:hint="eastAsia" w:eastAsia="宋体"/>
                      <w:color w:val="auto"/>
                      <w:sz w:val="21"/>
                      <w:szCs w:val="21"/>
                      <w:highlight w:val="none"/>
                      <w:lang w:eastAsia="zh-CN"/>
                    </w:rPr>
                    <w:t>项目</w:t>
                  </w:r>
                  <w:r>
                    <w:rPr>
                      <w:rFonts w:hint="eastAsia" w:eastAsia="宋体"/>
                      <w:color w:val="auto"/>
                      <w:sz w:val="21"/>
                      <w:szCs w:val="21"/>
                      <w:highlight w:val="none"/>
                      <w:lang w:val="en-US" w:eastAsia="zh-CN"/>
                    </w:rPr>
                    <w:t>性质</w:t>
                  </w:r>
                </w:p>
              </w:tc>
              <w:tc>
                <w:tcPr>
                  <w:tcW w:w="2727" w:type="dxa"/>
                  <w:tcBorders>
                    <w:tl2br w:val="nil"/>
                    <w:tr2bl w:val="nil"/>
                  </w:tcBorders>
                  <w:vAlign w:val="center"/>
                </w:tcPr>
                <w:p w14:paraId="6D45E169">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jc w:val="center"/>
                    <w:textAlignment w:val="auto"/>
                    <w:rPr>
                      <w:rFonts w:hint="eastAsia" w:eastAsia="宋体"/>
                      <w:color w:val="auto"/>
                      <w:sz w:val="21"/>
                      <w:szCs w:val="21"/>
                      <w:highlight w:val="none"/>
                      <w:lang w:eastAsia="zh-CN"/>
                    </w:rPr>
                  </w:pPr>
                  <w:r>
                    <w:rPr>
                      <w:rFonts w:hint="eastAsia" w:eastAsia="宋体"/>
                      <w:color w:val="auto"/>
                      <w:sz w:val="21"/>
                      <w:szCs w:val="21"/>
                      <w:highlight w:val="none"/>
                      <w:lang w:val="en-US" w:eastAsia="zh-CN"/>
                    </w:rPr>
                    <w:t>新建</w:t>
                  </w:r>
                </w:p>
              </w:tc>
              <w:tc>
                <w:tcPr>
                  <w:tcW w:w="2913" w:type="dxa"/>
                  <w:tcBorders>
                    <w:tl2br w:val="nil"/>
                    <w:tr2bl w:val="nil"/>
                  </w:tcBorders>
                  <w:vAlign w:val="center"/>
                </w:tcPr>
                <w:p w14:paraId="52E66987">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jc w:val="center"/>
                    <w:textAlignment w:val="auto"/>
                    <w:rPr>
                      <w:rFonts w:hint="eastAsia" w:eastAsia="宋体"/>
                      <w:color w:val="auto"/>
                      <w:sz w:val="21"/>
                      <w:szCs w:val="21"/>
                      <w:highlight w:val="none"/>
                      <w:lang w:eastAsia="zh-CN"/>
                    </w:rPr>
                  </w:pPr>
                  <w:r>
                    <w:rPr>
                      <w:rFonts w:hint="eastAsia" w:eastAsia="宋体"/>
                      <w:color w:val="auto"/>
                      <w:sz w:val="21"/>
                      <w:szCs w:val="21"/>
                      <w:highlight w:val="none"/>
                      <w:lang w:val="en-US" w:eastAsia="zh-CN"/>
                    </w:rPr>
                    <w:t>新建</w:t>
                  </w:r>
                </w:p>
              </w:tc>
              <w:tc>
                <w:tcPr>
                  <w:tcW w:w="1154" w:type="dxa"/>
                  <w:tcBorders>
                    <w:tl2br w:val="nil"/>
                    <w:tr2bl w:val="nil"/>
                  </w:tcBorders>
                  <w:vAlign w:val="center"/>
                </w:tcPr>
                <w:p w14:paraId="0F7EE80D">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jc w:val="center"/>
                    <w:textAlignment w:val="auto"/>
                    <w:rPr>
                      <w:rFonts w:hint="eastAsia" w:eastAsia="宋体"/>
                      <w:color w:val="auto"/>
                      <w:sz w:val="21"/>
                      <w:szCs w:val="21"/>
                      <w:highlight w:val="none"/>
                      <w:lang w:val="en-US" w:eastAsia="zh-CN"/>
                    </w:rPr>
                  </w:pPr>
                  <w:r>
                    <w:rPr>
                      <w:rFonts w:hint="default" w:eastAsia="宋体"/>
                      <w:color w:val="auto"/>
                      <w:sz w:val="21"/>
                      <w:szCs w:val="21"/>
                      <w:highlight w:val="none"/>
                      <w:lang w:val="en-US" w:eastAsia="zh-CN"/>
                    </w:rPr>
                    <w:t>可类比</w:t>
                  </w:r>
                </w:p>
              </w:tc>
            </w:tr>
            <w:tr w14:paraId="2D17AA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1184" w:type="dxa"/>
                  <w:tcBorders>
                    <w:tl2br w:val="nil"/>
                    <w:tr2bl w:val="nil"/>
                  </w:tcBorders>
                  <w:vAlign w:val="center"/>
                </w:tcPr>
                <w:p w14:paraId="759387B3">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jc w:val="center"/>
                    <w:textAlignment w:val="auto"/>
                    <w:rPr>
                      <w:rFonts w:hint="default" w:eastAsia="宋体"/>
                      <w:color w:val="auto"/>
                      <w:sz w:val="21"/>
                      <w:szCs w:val="21"/>
                      <w:highlight w:val="none"/>
                      <w:lang w:val="en-US" w:eastAsia="zh-CN"/>
                    </w:rPr>
                  </w:pPr>
                  <w:r>
                    <w:rPr>
                      <w:rFonts w:hint="eastAsia" w:eastAsia="宋体"/>
                      <w:color w:val="auto"/>
                      <w:sz w:val="21"/>
                      <w:szCs w:val="21"/>
                      <w:highlight w:val="none"/>
                      <w:lang w:val="en-US" w:eastAsia="zh-CN"/>
                    </w:rPr>
                    <w:t>项目内容</w:t>
                  </w:r>
                </w:p>
              </w:tc>
              <w:tc>
                <w:tcPr>
                  <w:tcW w:w="2727" w:type="dxa"/>
                  <w:tcBorders>
                    <w:tl2br w:val="nil"/>
                    <w:tr2bl w:val="nil"/>
                  </w:tcBorders>
                  <w:shd w:val="clear" w:color="auto" w:fill="auto"/>
                  <w:vAlign w:val="center"/>
                </w:tcPr>
                <w:p w14:paraId="731DD141">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jc w:val="center"/>
                    <w:textAlignment w:val="auto"/>
                    <w:rPr>
                      <w:rFonts w:hint="default" w:eastAsia="宋体"/>
                      <w:color w:val="auto"/>
                      <w:sz w:val="21"/>
                      <w:szCs w:val="21"/>
                      <w:highlight w:val="none"/>
                      <w:lang w:val="en-US" w:eastAsia="zh-CN"/>
                    </w:rPr>
                  </w:pPr>
                  <w:r>
                    <w:rPr>
                      <w:rFonts w:hint="eastAsia" w:eastAsia="宋体"/>
                      <w:color w:val="auto"/>
                      <w:sz w:val="21"/>
                      <w:szCs w:val="21"/>
                      <w:highlight w:val="none"/>
                      <w:lang w:val="en-US" w:eastAsia="zh-CN"/>
                    </w:rPr>
                    <w:t>检测实验</w:t>
                  </w:r>
                </w:p>
              </w:tc>
              <w:tc>
                <w:tcPr>
                  <w:tcW w:w="2913" w:type="dxa"/>
                  <w:tcBorders>
                    <w:tl2br w:val="nil"/>
                    <w:tr2bl w:val="nil"/>
                  </w:tcBorders>
                  <w:vAlign w:val="center"/>
                </w:tcPr>
                <w:p w14:paraId="3C7B283D">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jc w:val="center"/>
                    <w:textAlignment w:val="auto"/>
                    <w:rPr>
                      <w:rFonts w:hint="default" w:eastAsia="宋体"/>
                      <w:color w:val="auto"/>
                      <w:sz w:val="21"/>
                      <w:szCs w:val="21"/>
                      <w:highlight w:val="none"/>
                      <w:lang w:val="en-US" w:eastAsia="zh-CN"/>
                    </w:rPr>
                  </w:pPr>
                  <w:r>
                    <w:rPr>
                      <w:rFonts w:hint="eastAsia" w:eastAsia="宋体"/>
                      <w:color w:val="auto"/>
                      <w:sz w:val="21"/>
                      <w:szCs w:val="21"/>
                      <w:highlight w:val="none"/>
                      <w:lang w:val="en-US" w:eastAsia="zh-CN"/>
                    </w:rPr>
                    <w:t>研发实验</w:t>
                  </w:r>
                </w:p>
              </w:tc>
              <w:tc>
                <w:tcPr>
                  <w:tcW w:w="1154" w:type="dxa"/>
                  <w:tcBorders>
                    <w:tl2br w:val="nil"/>
                    <w:tr2bl w:val="nil"/>
                  </w:tcBorders>
                  <w:vAlign w:val="center"/>
                </w:tcPr>
                <w:p w14:paraId="61827B17">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jc w:val="center"/>
                    <w:textAlignment w:val="auto"/>
                    <w:rPr>
                      <w:rFonts w:hint="eastAsia" w:eastAsia="宋体"/>
                      <w:color w:val="auto"/>
                      <w:sz w:val="21"/>
                      <w:szCs w:val="21"/>
                      <w:highlight w:val="none"/>
                      <w:lang w:val="en-US" w:eastAsia="zh-CN"/>
                    </w:rPr>
                  </w:pPr>
                  <w:r>
                    <w:rPr>
                      <w:rFonts w:hint="default" w:eastAsia="宋体"/>
                      <w:color w:val="auto"/>
                      <w:sz w:val="21"/>
                      <w:szCs w:val="21"/>
                      <w:highlight w:val="none"/>
                      <w:lang w:val="en-US" w:eastAsia="zh-CN"/>
                    </w:rPr>
                    <w:t>可类比</w:t>
                  </w:r>
                </w:p>
              </w:tc>
            </w:tr>
            <w:tr w14:paraId="1B2239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2" w:hRule="atLeast"/>
                <w:jc w:val="center"/>
              </w:trPr>
              <w:tc>
                <w:tcPr>
                  <w:tcW w:w="1184" w:type="dxa"/>
                  <w:tcBorders>
                    <w:tl2br w:val="nil"/>
                    <w:tr2bl w:val="nil"/>
                  </w:tcBorders>
                  <w:vAlign w:val="center"/>
                </w:tcPr>
                <w:p w14:paraId="32CDB953">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jc w:val="center"/>
                    <w:textAlignment w:val="auto"/>
                    <w:rPr>
                      <w:rFonts w:hint="default" w:eastAsia="宋体"/>
                      <w:color w:val="auto"/>
                      <w:sz w:val="21"/>
                      <w:szCs w:val="21"/>
                      <w:highlight w:val="none"/>
                      <w:lang w:val="en-US" w:eastAsia="zh-CN"/>
                    </w:rPr>
                  </w:pPr>
                  <w:r>
                    <w:rPr>
                      <w:rFonts w:hint="eastAsia" w:eastAsia="宋体"/>
                      <w:color w:val="auto"/>
                      <w:sz w:val="21"/>
                      <w:szCs w:val="21"/>
                      <w:highlight w:val="none"/>
                      <w:lang w:val="en-US" w:eastAsia="zh-CN"/>
                    </w:rPr>
                    <w:t>废水类别</w:t>
                  </w:r>
                </w:p>
              </w:tc>
              <w:tc>
                <w:tcPr>
                  <w:tcW w:w="2727" w:type="dxa"/>
                  <w:tcBorders>
                    <w:tl2br w:val="nil"/>
                    <w:tr2bl w:val="nil"/>
                  </w:tcBorders>
                  <w:shd w:val="clear" w:color="auto" w:fill="auto"/>
                  <w:vAlign w:val="center"/>
                </w:tcPr>
                <w:p w14:paraId="0500A112">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jc w:val="center"/>
                    <w:textAlignment w:val="auto"/>
                    <w:rPr>
                      <w:rFonts w:hint="eastAsia" w:eastAsia="宋体"/>
                      <w:color w:val="auto"/>
                      <w:sz w:val="21"/>
                      <w:szCs w:val="21"/>
                      <w:highlight w:val="none"/>
                      <w:lang w:val="en-US" w:eastAsia="zh-CN"/>
                    </w:rPr>
                  </w:pPr>
                  <w:r>
                    <w:rPr>
                      <w:rFonts w:hint="eastAsia" w:eastAsia="宋体"/>
                      <w:color w:val="auto"/>
                      <w:sz w:val="21"/>
                      <w:szCs w:val="21"/>
                      <w:highlight w:val="none"/>
                      <w:lang w:val="en-US" w:eastAsia="zh-CN"/>
                    </w:rPr>
                    <w:t>实验器具清洗废水、纯水制备浓排水、生活污水</w:t>
                  </w:r>
                </w:p>
              </w:tc>
              <w:tc>
                <w:tcPr>
                  <w:tcW w:w="2913" w:type="dxa"/>
                  <w:tcBorders>
                    <w:tl2br w:val="nil"/>
                    <w:tr2bl w:val="nil"/>
                  </w:tcBorders>
                  <w:vAlign w:val="center"/>
                </w:tcPr>
                <w:p w14:paraId="55ACB0A2">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jc w:val="center"/>
                    <w:textAlignment w:val="auto"/>
                    <w:rPr>
                      <w:rFonts w:hint="default" w:eastAsia="宋体"/>
                      <w:color w:val="auto"/>
                      <w:sz w:val="21"/>
                      <w:szCs w:val="21"/>
                      <w:highlight w:val="none"/>
                      <w:lang w:val="en-US" w:eastAsia="zh-CN"/>
                    </w:rPr>
                  </w:pPr>
                  <w:r>
                    <w:rPr>
                      <w:rFonts w:hint="default" w:eastAsia="宋体"/>
                      <w:color w:val="auto"/>
                      <w:sz w:val="21"/>
                      <w:szCs w:val="21"/>
                      <w:highlight w:val="none"/>
                      <w:lang w:val="en-US" w:eastAsia="zh-CN"/>
                    </w:rPr>
                    <w:t>员工生活污水、</w:t>
                  </w:r>
                  <w:r>
                    <w:rPr>
                      <w:rFonts w:hint="eastAsia"/>
                      <w:color w:val="auto"/>
                      <w:sz w:val="21"/>
                      <w:szCs w:val="21"/>
                      <w:highlight w:val="none"/>
                      <w:lang w:val="en-US" w:eastAsia="zh-CN"/>
                    </w:rPr>
                    <w:t>设备</w:t>
                  </w:r>
                  <w:r>
                    <w:rPr>
                      <w:rFonts w:hint="eastAsia" w:eastAsia="宋体"/>
                      <w:color w:val="auto"/>
                      <w:sz w:val="21"/>
                      <w:szCs w:val="21"/>
                      <w:highlight w:val="none"/>
                      <w:lang w:val="en-US" w:eastAsia="zh-CN"/>
                    </w:rPr>
                    <w:t>容器第</w:t>
                  </w:r>
                  <w:r>
                    <w:rPr>
                      <w:rFonts w:hint="eastAsia"/>
                      <w:color w:val="auto"/>
                      <w:sz w:val="21"/>
                      <w:szCs w:val="21"/>
                      <w:highlight w:val="none"/>
                      <w:lang w:val="en-US" w:eastAsia="zh-CN"/>
                    </w:rPr>
                    <w:t>二遍</w:t>
                  </w:r>
                  <w:r>
                    <w:rPr>
                      <w:rFonts w:hint="default" w:eastAsia="宋体"/>
                      <w:color w:val="auto"/>
                      <w:sz w:val="21"/>
                      <w:szCs w:val="21"/>
                      <w:highlight w:val="none"/>
                      <w:lang w:val="en-US" w:eastAsia="zh-CN"/>
                    </w:rPr>
                    <w:t>清洗废水</w:t>
                  </w:r>
                </w:p>
              </w:tc>
              <w:tc>
                <w:tcPr>
                  <w:tcW w:w="1154" w:type="dxa"/>
                  <w:tcBorders>
                    <w:tl2br w:val="nil"/>
                    <w:tr2bl w:val="nil"/>
                  </w:tcBorders>
                  <w:vAlign w:val="center"/>
                </w:tcPr>
                <w:p w14:paraId="44C8C763">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jc w:val="center"/>
                    <w:textAlignment w:val="auto"/>
                    <w:rPr>
                      <w:rFonts w:hint="default" w:eastAsia="宋体"/>
                      <w:color w:val="auto"/>
                      <w:sz w:val="21"/>
                      <w:szCs w:val="21"/>
                      <w:highlight w:val="none"/>
                      <w:lang w:val="en-US" w:eastAsia="zh-CN"/>
                    </w:rPr>
                  </w:pPr>
                  <w:r>
                    <w:rPr>
                      <w:rFonts w:hint="default" w:eastAsia="宋体"/>
                      <w:color w:val="auto"/>
                      <w:sz w:val="21"/>
                      <w:szCs w:val="21"/>
                      <w:highlight w:val="none"/>
                      <w:lang w:val="en-US" w:eastAsia="zh-CN"/>
                    </w:rPr>
                    <w:t>可类比</w:t>
                  </w:r>
                </w:p>
              </w:tc>
            </w:tr>
            <w:tr w14:paraId="02B50F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53" w:hRule="atLeast"/>
                <w:jc w:val="center"/>
              </w:trPr>
              <w:tc>
                <w:tcPr>
                  <w:tcW w:w="1184" w:type="dxa"/>
                  <w:tcBorders>
                    <w:tl2br w:val="nil"/>
                    <w:tr2bl w:val="nil"/>
                  </w:tcBorders>
                  <w:vAlign w:val="center"/>
                </w:tcPr>
                <w:p w14:paraId="747BB6A5">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jc w:val="center"/>
                    <w:textAlignment w:val="auto"/>
                    <w:rPr>
                      <w:rFonts w:hint="eastAsia" w:eastAsia="宋体"/>
                      <w:color w:val="auto"/>
                      <w:sz w:val="21"/>
                      <w:szCs w:val="21"/>
                      <w:highlight w:val="none"/>
                      <w:lang w:val="en-US" w:eastAsia="zh-CN"/>
                    </w:rPr>
                  </w:pPr>
                  <w:r>
                    <w:rPr>
                      <w:rFonts w:hint="eastAsia" w:eastAsia="宋体"/>
                      <w:color w:val="auto"/>
                      <w:sz w:val="21"/>
                      <w:szCs w:val="21"/>
                      <w:highlight w:val="none"/>
                      <w:lang w:val="en-US" w:eastAsia="zh-CN"/>
                    </w:rPr>
                    <w:t>废水处理措施及排放方式</w:t>
                  </w:r>
                </w:p>
              </w:tc>
              <w:tc>
                <w:tcPr>
                  <w:tcW w:w="2727" w:type="dxa"/>
                  <w:tcBorders>
                    <w:tl2br w:val="nil"/>
                    <w:tr2bl w:val="nil"/>
                  </w:tcBorders>
                  <w:vAlign w:val="center"/>
                </w:tcPr>
                <w:p w14:paraId="1469C967">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jc w:val="center"/>
                    <w:textAlignment w:val="auto"/>
                    <w:rPr>
                      <w:rFonts w:hint="default" w:eastAsia="宋体"/>
                      <w:color w:val="auto"/>
                      <w:sz w:val="21"/>
                      <w:szCs w:val="21"/>
                      <w:highlight w:val="none"/>
                      <w:lang w:val="en-US" w:eastAsia="zh-CN"/>
                    </w:rPr>
                  </w:pPr>
                  <w:r>
                    <w:rPr>
                      <w:rFonts w:hint="eastAsia" w:eastAsia="宋体"/>
                      <w:color w:val="auto"/>
                      <w:sz w:val="21"/>
                      <w:szCs w:val="21"/>
                      <w:highlight w:val="none"/>
                      <w:lang w:val="en-US" w:eastAsia="zh-CN"/>
                    </w:rPr>
                    <w:t>经园区化粪池预处理后排入经开污水处理</w:t>
                  </w:r>
                  <w:r>
                    <w:rPr>
                      <w:rFonts w:hint="eastAsia"/>
                      <w:color w:val="auto"/>
                      <w:sz w:val="21"/>
                      <w:szCs w:val="21"/>
                      <w:highlight w:val="none"/>
                      <w:lang w:val="en-US" w:eastAsia="zh-CN"/>
                    </w:rPr>
                    <w:t>厂</w:t>
                  </w:r>
                </w:p>
              </w:tc>
              <w:tc>
                <w:tcPr>
                  <w:tcW w:w="2913" w:type="dxa"/>
                  <w:tcBorders>
                    <w:tl2br w:val="nil"/>
                    <w:tr2bl w:val="nil"/>
                  </w:tcBorders>
                  <w:vAlign w:val="center"/>
                </w:tcPr>
                <w:p w14:paraId="5CCCF640">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jc w:val="center"/>
                    <w:textAlignment w:val="auto"/>
                    <w:rPr>
                      <w:rFonts w:hint="eastAsia" w:eastAsia="宋体"/>
                      <w:color w:val="auto"/>
                      <w:sz w:val="21"/>
                      <w:szCs w:val="21"/>
                      <w:highlight w:val="none"/>
                      <w:lang w:val="en-US" w:eastAsia="zh-CN"/>
                    </w:rPr>
                  </w:pPr>
                  <w:r>
                    <w:rPr>
                      <w:rFonts w:hint="default" w:eastAsia="宋体"/>
                      <w:color w:val="auto"/>
                      <w:sz w:val="21"/>
                      <w:szCs w:val="21"/>
                      <w:highlight w:val="none"/>
                      <w:lang w:val="en-US" w:eastAsia="zh-CN"/>
                    </w:rPr>
                    <w:t>化粪池预处理，然后排入市政污水管网</w:t>
                  </w:r>
                </w:p>
              </w:tc>
              <w:tc>
                <w:tcPr>
                  <w:tcW w:w="1154" w:type="dxa"/>
                  <w:tcBorders>
                    <w:tl2br w:val="nil"/>
                    <w:tr2bl w:val="nil"/>
                  </w:tcBorders>
                  <w:vAlign w:val="center"/>
                </w:tcPr>
                <w:p w14:paraId="6E9ABCEE">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jc w:val="center"/>
                    <w:textAlignment w:val="auto"/>
                    <w:rPr>
                      <w:rFonts w:hint="default" w:eastAsia="宋体"/>
                      <w:color w:val="auto"/>
                      <w:sz w:val="21"/>
                      <w:szCs w:val="21"/>
                      <w:highlight w:val="none"/>
                      <w:lang w:val="en-US" w:eastAsia="zh-CN"/>
                    </w:rPr>
                  </w:pPr>
                  <w:r>
                    <w:rPr>
                      <w:rFonts w:hint="default" w:eastAsia="宋体"/>
                      <w:color w:val="auto"/>
                      <w:sz w:val="21"/>
                      <w:szCs w:val="21"/>
                      <w:highlight w:val="none"/>
                      <w:lang w:val="en-US" w:eastAsia="zh-CN"/>
                    </w:rPr>
                    <w:t>可类比</w:t>
                  </w:r>
                </w:p>
              </w:tc>
            </w:tr>
          </w:tbl>
          <w:p w14:paraId="3DDBC982">
            <w:pPr>
              <w:snapToGrid w:val="0"/>
              <w:spacing w:line="360" w:lineRule="auto"/>
              <w:ind w:firstLine="480" w:firstLineChars="200"/>
              <w:jc w:val="left"/>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类比项目检测报告中废水污染物排放浓度为：COD</w:t>
            </w:r>
            <w:r>
              <w:rPr>
                <w:rFonts w:hint="default" w:ascii="Times New Roman" w:hAnsi="Times New Roman" w:eastAsia="宋体" w:cs="Times New Roman"/>
                <w:color w:val="auto"/>
                <w:sz w:val="24"/>
                <w:highlight w:val="none"/>
                <w:vertAlign w:val="subscript"/>
                <w:lang w:val="en-US" w:eastAsia="zh-CN"/>
              </w:rPr>
              <w:t>Cr</w:t>
            </w:r>
            <w:r>
              <w:rPr>
                <w:rFonts w:hint="default" w:ascii="Times New Roman" w:hAnsi="Times New Roman" w:eastAsia="宋体" w:cs="Times New Roman"/>
                <w:color w:val="auto"/>
                <w:sz w:val="24"/>
                <w:highlight w:val="none"/>
                <w:lang w:val="en-US" w:eastAsia="zh-CN"/>
              </w:rPr>
              <w:t>：</w:t>
            </w:r>
            <w:r>
              <w:rPr>
                <w:rFonts w:hint="eastAsia" w:cs="Times New Roman"/>
                <w:color w:val="auto"/>
                <w:sz w:val="24"/>
                <w:highlight w:val="none"/>
                <w:lang w:val="en-US" w:eastAsia="zh-CN"/>
              </w:rPr>
              <w:t>245</w:t>
            </w:r>
            <w:r>
              <w:rPr>
                <w:rFonts w:hint="default" w:ascii="Times New Roman" w:hAnsi="Times New Roman" w:eastAsia="宋体" w:cs="Times New Roman"/>
                <w:color w:val="auto"/>
                <w:sz w:val="24"/>
                <w:highlight w:val="none"/>
                <w:lang w:val="en-US" w:eastAsia="zh-CN"/>
              </w:rPr>
              <w:t>mg/L，氨氮：</w:t>
            </w:r>
            <w:r>
              <w:rPr>
                <w:rFonts w:hint="eastAsia" w:cs="Times New Roman"/>
                <w:color w:val="auto"/>
                <w:sz w:val="24"/>
                <w:highlight w:val="none"/>
                <w:lang w:val="en-US" w:eastAsia="zh-CN"/>
              </w:rPr>
              <w:t>39.6</w:t>
            </w:r>
            <w:r>
              <w:rPr>
                <w:rFonts w:hint="default" w:ascii="Times New Roman" w:hAnsi="Times New Roman" w:eastAsia="宋体" w:cs="Times New Roman"/>
                <w:color w:val="auto"/>
                <w:sz w:val="24"/>
                <w:highlight w:val="none"/>
                <w:lang w:val="en-US" w:eastAsia="zh-CN"/>
              </w:rPr>
              <w:t>mg/L</w:t>
            </w:r>
            <w:r>
              <w:rPr>
                <w:rFonts w:hint="eastAsia"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则本项目COD</w:t>
            </w:r>
            <w:r>
              <w:rPr>
                <w:rFonts w:hint="default" w:ascii="Times New Roman" w:hAnsi="Times New Roman" w:eastAsia="宋体" w:cs="Times New Roman"/>
                <w:color w:val="auto"/>
                <w:sz w:val="24"/>
                <w:highlight w:val="none"/>
                <w:vertAlign w:val="subscript"/>
                <w:lang w:val="en-US" w:eastAsia="zh-CN"/>
              </w:rPr>
              <w:t>Cr</w:t>
            </w:r>
            <w:r>
              <w:rPr>
                <w:rFonts w:hint="default" w:ascii="Times New Roman" w:hAnsi="Times New Roman" w:eastAsia="宋体" w:cs="Times New Roman"/>
                <w:color w:val="auto"/>
                <w:sz w:val="24"/>
                <w:highlight w:val="none"/>
                <w:lang w:val="en-US" w:eastAsia="zh-CN"/>
              </w:rPr>
              <w:t>、氨氮排放量如下：</w:t>
            </w:r>
          </w:p>
          <w:p w14:paraId="5A48FA8A">
            <w:pPr>
              <w:snapToGrid w:val="0"/>
              <w:spacing w:line="360" w:lineRule="auto"/>
              <w:ind w:firstLine="480" w:firstLineChars="200"/>
              <w:jc w:val="left"/>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COD</w:t>
            </w:r>
            <w:r>
              <w:rPr>
                <w:rFonts w:hint="default" w:ascii="Times New Roman" w:hAnsi="Times New Roman" w:eastAsia="宋体" w:cs="Times New Roman"/>
                <w:color w:val="auto"/>
                <w:sz w:val="24"/>
                <w:highlight w:val="none"/>
                <w:vertAlign w:val="subscript"/>
                <w:lang w:val="en-US" w:eastAsia="zh-CN"/>
              </w:rPr>
              <w:t>Cr</w:t>
            </w:r>
            <w:r>
              <w:rPr>
                <w:rFonts w:hint="default" w:ascii="Times New Roman" w:hAnsi="Times New Roman" w:eastAsia="宋体" w:cs="Times New Roman"/>
                <w:color w:val="auto"/>
                <w:sz w:val="24"/>
                <w:highlight w:val="none"/>
                <w:lang w:val="en-US" w:eastAsia="zh-CN"/>
              </w:rPr>
              <w:t>=</w:t>
            </w:r>
            <w:r>
              <w:rPr>
                <w:rFonts w:hint="eastAsia" w:cs="Times New Roman"/>
                <w:color w:val="auto"/>
                <w:sz w:val="24"/>
                <w:highlight w:val="none"/>
                <w:lang w:val="en-US" w:eastAsia="zh-CN"/>
              </w:rPr>
              <w:t>96.4376</w:t>
            </w:r>
            <w:r>
              <w:rPr>
                <w:rFonts w:hint="default" w:ascii="Times New Roman" w:hAnsi="Times New Roman" w:eastAsia="宋体" w:cs="Times New Roman"/>
                <w:color w:val="auto"/>
                <w:sz w:val="24"/>
                <w:highlight w:val="none"/>
                <w:lang w:val="en-US" w:eastAsia="zh-CN"/>
              </w:rPr>
              <w:t>m</w:t>
            </w:r>
            <w:r>
              <w:rPr>
                <w:rFonts w:hint="default" w:ascii="Times New Roman" w:hAnsi="Times New Roman" w:eastAsia="宋体" w:cs="Times New Roman"/>
                <w:color w:val="auto"/>
                <w:sz w:val="24"/>
                <w:highlight w:val="none"/>
                <w:vertAlign w:val="superscript"/>
                <w:lang w:val="en-US" w:eastAsia="zh-CN"/>
              </w:rPr>
              <w:t>3</w:t>
            </w:r>
            <w:r>
              <w:rPr>
                <w:rFonts w:hint="default" w:ascii="Times New Roman" w:hAnsi="Times New Roman" w:eastAsia="宋体" w:cs="Times New Roman"/>
                <w:color w:val="auto"/>
                <w:sz w:val="24"/>
                <w:highlight w:val="none"/>
                <w:lang w:val="en-US" w:eastAsia="zh-CN"/>
              </w:rPr>
              <w:t>/a×</w:t>
            </w:r>
            <w:r>
              <w:rPr>
                <w:rFonts w:hint="eastAsia" w:cs="Times New Roman"/>
                <w:color w:val="auto"/>
                <w:sz w:val="24"/>
                <w:highlight w:val="none"/>
                <w:lang w:val="en-US" w:eastAsia="zh-CN"/>
              </w:rPr>
              <w:t>245</w:t>
            </w:r>
            <w:r>
              <w:rPr>
                <w:rFonts w:hint="default" w:ascii="Times New Roman" w:hAnsi="Times New Roman" w:eastAsia="宋体" w:cs="Times New Roman"/>
                <w:color w:val="auto"/>
                <w:sz w:val="24"/>
                <w:highlight w:val="none"/>
                <w:lang w:val="en-US" w:eastAsia="zh-CN"/>
              </w:rPr>
              <w:t>mg/L×10</w:t>
            </w:r>
            <w:r>
              <w:rPr>
                <w:rFonts w:hint="default" w:ascii="Times New Roman" w:hAnsi="Times New Roman" w:eastAsia="宋体" w:cs="Times New Roman"/>
                <w:color w:val="auto"/>
                <w:sz w:val="24"/>
                <w:highlight w:val="none"/>
                <w:vertAlign w:val="superscript"/>
                <w:lang w:val="en-US" w:eastAsia="zh-CN"/>
              </w:rPr>
              <w:t>-6</w:t>
            </w:r>
            <w:r>
              <w:rPr>
                <w:rFonts w:hint="default" w:ascii="Times New Roman" w:hAnsi="Times New Roman" w:eastAsia="宋体" w:cs="Times New Roman"/>
                <w:color w:val="auto"/>
                <w:sz w:val="24"/>
                <w:highlight w:val="none"/>
                <w:lang w:val="en-US" w:eastAsia="zh-CN"/>
              </w:rPr>
              <w:t>=</w:t>
            </w:r>
            <w:r>
              <w:rPr>
                <w:rFonts w:hint="eastAsia" w:cs="Times New Roman"/>
                <w:color w:val="auto"/>
                <w:sz w:val="24"/>
                <w:highlight w:val="none"/>
                <w:lang w:val="en-US" w:eastAsia="zh-CN"/>
              </w:rPr>
              <w:t>0.02363</w:t>
            </w:r>
            <w:r>
              <w:rPr>
                <w:rFonts w:hint="default" w:ascii="Times New Roman" w:hAnsi="Times New Roman" w:eastAsia="宋体" w:cs="Times New Roman"/>
                <w:color w:val="auto"/>
                <w:sz w:val="24"/>
                <w:highlight w:val="none"/>
                <w:lang w:val="en-US" w:eastAsia="zh-CN"/>
              </w:rPr>
              <w:t>t/a</w:t>
            </w:r>
          </w:p>
          <w:p w14:paraId="3E53B4E1">
            <w:pPr>
              <w:snapToGrid w:val="0"/>
              <w:spacing w:line="360" w:lineRule="auto"/>
              <w:ind w:firstLine="480" w:firstLineChars="200"/>
              <w:jc w:val="left"/>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氨氮=</w:t>
            </w:r>
            <w:r>
              <w:rPr>
                <w:rFonts w:hint="eastAsia" w:cs="Times New Roman"/>
                <w:color w:val="auto"/>
                <w:sz w:val="24"/>
                <w:highlight w:val="none"/>
                <w:lang w:val="en-US" w:eastAsia="zh-CN"/>
              </w:rPr>
              <w:t>96.4376</w:t>
            </w:r>
            <w:r>
              <w:rPr>
                <w:rFonts w:hint="default" w:ascii="Times New Roman" w:hAnsi="Times New Roman" w:eastAsia="宋体" w:cs="Times New Roman"/>
                <w:color w:val="auto"/>
                <w:sz w:val="24"/>
                <w:highlight w:val="none"/>
                <w:lang w:val="en-US" w:eastAsia="zh-CN"/>
              </w:rPr>
              <w:t>m</w:t>
            </w:r>
            <w:r>
              <w:rPr>
                <w:rFonts w:hint="default" w:ascii="Times New Roman" w:hAnsi="Times New Roman" w:eastAsia="宋体" w:cs="Times New Roman"/>
                <w:color w:val="auto"/>
                <w:sz w:val="24"/>
                <w:highlight w:val="none"/>
                <w:vertAlign w:val="superscript"/>
                <w:lang w:val="en-US" w:eastAsia="zh-CN"/>
              </w:rPr>
              <w:t>3</w:t>
            </w:r>
            <w:r>
              <w:rPr>
                <w:rFonts w:hint="default" w:ascii="Times New Roman" w:hAnsi="Times New Roman" w:eastAsia="宋体" w:cs="Times New Roman"/>
                <w:color w:val="auto"/>
                <w:sz w:val="24"/>
                <w:highlight w:val="none"/>
                <w:lang w:val="en-US" w:eastAsia="zh-CN"/>
              </w:rPr>
              <w:t>/a×</w:t>
            </w:r>
            <w:r>
              <w:rPr>
                <w:rFonts w:hint="eastAsia" w:cs="Times New Roman"/>
                <w:color w:val="auto"/>
                <w:sz w:val="24"/>
                <w:highlight w:val="none"/>
                <w:lang w:val="en-US" w:eastAsia="zh-CN"/>
              </w:rPr>
              <w:t>39.6</w:t>
            </w:r>
            <w:r>
              <w:rPr>
                <w:rFonts w:hint="default" w:ascii="Times New Roman" w:hAnsi="Times New Roman" w:eastAsia="宋体" w:cs="Times New Roman"/>
                <w:color w:val="auto"/>
                <w:sz w:val="24"/>
                <w:highlight w:val="none"/>
                <w:lang w:val="en-US" w:eastAsia="zh-CN"/>
              </w:rPr>
              <w:t>mg/L×10</w:t>
            </w:r>
            <w:r>
              <w:rPr>
                <w:rFonts w:hint="default" w:ascii="Times New Roman" w:hAnsi="Times New Roman" w:eastAsia="宋体" w:cs="Times New Roman"/>
                <w:color w:val="auto"/>
                <w:sz w:val="24"/>
                <w:highlight w:val="none"/>
                <w:vertAlign w:val="superscript"/>
                <w:lang w:val="en-US" w:eastAsia="zh-CN"/>
              </w:rPr>
              <w:t>-6</w:t>
            </w:r>
            <w:r>
              <w:rPr>
                <w:rFonts w:hint="default" w:ascii="Times New Roman" w:hAnsi="Times New Roman" w:eastAsia="宋体" w:cs="Times New Roman"/>
                <w:color w:val="auto"/>
                <w:sz w:val="24"/>
                <w:highlight w:val="none"/>
                <w:lang w:val="en-US" w:eastAsia="zh-CN"/>
              </w:rPr>
              <w:t>=0.00</w:t>
            </w:r>
            <w:r>
              <w:rPr>
                <w:rFonts w:hint="eastAsia" w:cs="Times New Roman"/>
                <w:color w:val="auto"/>
                <w:sz w:val="24"/>
                <w:highlight w:val="none"/>
                <w:lang w:val="en-US" w:eastAsia="zh-CN"/>
              </w:rPr>
              <w:t>38</w:t>
            </w:r>
            <w:r>
              <w:rPr>
                <w:rFonts w:hint="default" w:ascii="Times New Roman" w:hAnsi="Times New Roman" w:eastAsia="宋体" w:cs="Times New Roman"/>
                <w:color w:val="auto"/>
                <w:sz w:val="24"/>
                <w:highlight w:val="none"/>
                <w:lang w:val="en-US" w:eastAsia="zh-CN"/>
              </w:rPr>
              <w:t>t/a</w:t>
            </w:r>
          </w:p>
          <w:p w14:paraId="266B44CC">
            <w:pPr>
              <w:snapToGrid w:val="0"/>
              <w:spacing w:line="360" w:lineRule="auto"/>
              <w:ind w:firstLine="480" w:firstLineChars="200"/>
              <w:jc w:val="left"/>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综上，据上述两种源强核算方法分析，考虑到不同企业实际运行过程中存在差异，类比数据存在一定的误差。因此，本项目选用排污系数法进行总量核算</w:t>
            </w:r>
            <w:r>
              <w:rPr>
                <w:rFonts w:hint="eastAsia" w:cs="Times New Roman"/>
                <w:color w:val="auto"/>
                <w:sz w:val="24"/>
                <w:highlight w:val="none"/>
                <w:lang w:val="en-US" w:eastAsia="zh-CN"/>
              </w:rPr>
              <w:t>排放量</w:t>
            </w:r>
            <w:r>
              <w:rPr>
                <w:rFonts w:hint="default" w:ascii="Times New Roman" w:hAnsi="Times New Roman" w:eastAsia="宋体" w:cs="Times New Roman"/>
                <w:color w:val="auto"/>
                <w:sz w:val="24"/>
                <w:highlight w:val="none"/>
                <w:lang w:val="en-US" w:eastAsia="zh-CN"/>
              </w:rPr>
              <w:t>，即COD</w:t>
            </w:r>
            <w:r>
              <w:rPr>
                <w:rFonts w:hint="default" w:ascii="Times New Roman" w:hAnsi="Times New Roman" w:eastAsia="宋体" w:cs="Times New Roman"/>
                <w:color w:val="auto"/>
                <w:sz w:val="24"/>
                <w:highlight w:val="none"/>
                <w:vertAlign w:val="subscript"/>
                <w:lang w:val="en-US" w:eastAsia="zh-CN"/>
              </w:rPr>
              <w:t>Cr</w:t>
            </w:r>
            <w:r>
              <w:rPr>
                <w:rFonts w:hint="eastAsia" w:cs="Times New Roman"/>
                <w:color w:val="auto"/>
                <w:sz w:val="24"/>
                <w:highlight w:val="none"/>
                <w:vertAlign w:val="baseline"/>
                <w:lang w:val="en-US" w:eastAsia="zh-CN"/>
              </w:rPr>
              <w:t>为</w:t>
            </w:r>
            <w:r>
              <w:rPr>
                <w:rFonts w:hint="eastAsia" w:cs="Times New Roman"/>
                <w:color w:val="auto"/>
                <w:sz w:val="24"/>
                <w:highlight w:val="none"/>
                <w:lang w:val="en-US" w:eastAsia="zh-CN"/>
              </w:rPr>
              <w:t>0.0366</w:t>
            </w:r>
            <w:r>
              <w:rPr>
                <w:rFonts w:hint="default" w:ascii="Times New Roman" w:hAnsi="Times New Roman" w:eastAsia="宋体" w:cs="Times New Roman"/>
                <w:color w:val="auto"/>
                <w:sz w:val="24"/>
                <w:highlight w:val="none"/>
                <w:lang w:val="en-US" w:eastAsia="zh-CN"/>
              </w:rPr>
              <w:t>t/a，氨氮为0.</w:t>
            </w:r>
            <w:r>
              <w:rPr>
                <w:rFonts w:hint="eastAsia" w:cs="Times New Roman"/>
                <w:color w:val="auto"/>
                <w:sz w:val="24"/>
                <w:highlight w:val="none"/>
                <w:lang w:val="en-US" w:eastAsia="zh-CN"/>
              </w:rPr>
              <w:t>0037</w:t>
            </w:r>
            <w:r>
              <w:rPr>
                <w:rFonts w:hint="default" w:ascii="Times New Roman" w:hAnsi="Times New Roman" w:eastAsia="宋体" w:cs="Times New Roman"/>
                <w:color w:val="auto"/>
                <w:sz w:val="24"/>
                <w:highlight w:val="none"/>
                <w:lang w:val="en-US" w:eastAsia="zh-CN"/>
              </w:rPr>
              <w:t>t/a。</w:t>
            </w:r>
          </w:p>
          <w:p w14:paraId="52ACD64A">
            <w:pPr>
              <w:pStyle w:val="6"/>
              <w:adjustRightInd w:val="0"/>
              <w:spacing w:line="360" w:lineRule="auto"/>
              <w:ind w:firstLine="0"/>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rPr>
              <w:t>三、减排潜力分析</w:t>
            </w:r>
          </w:p>
          <w:p w14:paraId="3EE3C210">
            <w:pPr>
              <w:snapToGrid w:val="0"/>
              <w:spacing w:line="360" w:lineRule="auto"/>
              <w:ind w:firstLine="480" w:firstLineChars="200"/>
              <w:jc w:val="left"/>
              <w:rPr>
                <w:rFonts w:hint="default" w:ascii="Times New Roman" w:hAnsi="Times New Roman" w:eastAsia="宋体" w:cs="Times New Roman"/>
                <w:color w:val="auto"/>
                <w:sz w:val="24"/>
                <w:highlight w:val="none"/>
                <w:lang w:val="en-US" w:eastAsia="zh-CN"/>
              </w:rPr>
            </w:pPr>
            <w:r>
              <w:rPr>
                <w:rFonts w:hint="eastAsia" w:cs="Times New Roman"/>
                <w:color w:val="auto"/>
                <w:sz w:val="24"/>
                <w:highlight w:val="none"/>
                <w:lang w:val="en-US" w:eastAsia="zh-CN"/>
              </w:rPr>
              <w:t>本项目为新建项目</w:t>
            </w:r>
            <w:r>
              <w:rPr>
                <w:rFonts w:hint="eastAsia" w:ascii="Times New Roman" w:hAnsi="Times New Roman" w:eastAsia="宋体" w:cs="Times New Roman"/>
                <w:color w:val="auto"/>
                <w:sz w:val="24"/>
                <w:highlight w:val="none"/>
                <w:lang w:val="en-US" w:eastAsia="zh-CN"/>
              </w:rPr>
              <w:t>，建设单位除本项目外在本区域无其他相关联项目，因此无相关减排来源，不具备污染物减排潜力。</w:t>
            </w:r>
          </w:p>
          <w:p w14:paraId="06ADB6EA">
            <w:pPr>
              <w:pStyle w:val="6"/>
              <w:adjustRightInd w:val="0"/>
              <w:spacing w:line="360" w:lineRule="auto"/>
              <w:ind w:firstLine="0"/>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rPr>
              <w:t>四、总量来源</w:t>
            </w:r>
          </w:p>
          <w:p w14:paraId="16D2726A">
            <w:pPr>
              <w:adjustRightInd w:val="0"/>
              <w:spacing w:line="360" w:lineRule="auto"/>
              <w:ind w:firstLine="480" w:firstLineChars="200"/>
              <w:jc w:val="left"/>
              <w:rPr>
                <w:rFonts w:hint="default" w:ascii="Times New Roman" w:hAnsi="Times New Roman" w:eastAsia="宋体" w:cs="Times New Roman"/>
                <w:bCs/>
                <w:color w:val="auto"/>
                <w:sz w:val="24"/>
                <w:highlight w:val="none"/>
              </w:rPr>
            </w:pPr>
            <w:r>
              <w:rPr>
                <w:rFonts w:hint="default" w:ascii="Times New Roman" w:hAnsi="Times New Roman" w:eastAsia="宋体" w:cs="Times New Roman"/>
                <w:bCs/>
                <w:color w:val="auto"/>
                <w:sz w:val="24"/>
                <w:highlight w:val="none"/>
              </w:rPr>
              <w:t>根据北京市环境保护局关于《转发环境保护部&lt;建设项目主要污染物排放总量指标审核及管理暂行办法&gt;的通知（京环发[2015]19号，2015年7月15日起执行）中的相关规定：</w:t>
            </w:r>
            <w:r>
              <w:rPr>
                <w:rFonts w:hint="eastAsia" w:cs="Times New Roman"/>
                <w:bCs/>
                <w:color w:val="auto"/>
                <w:sz w:val="24"/>
                <w:highlight w:val="none"/>
                <w:lang w:eastAsia="zh-CN"/>
              </w:rPr>
              <w:t>“</w:t>
            </w:r>
            <w:r>
              <w:rPr>
                <w:rFonts w:hint="default" w:ascii="Times New Roman" w:hAnsi="Times New Roman" w:eastAsia="宋体" w:cs="Times New Roman"/>
                <w:bCs/>
                <w:color w:val="auto"/>
                <w:sz w:val="24"/>
                <w:highlight w:val="none"/>
              </w:rPr>
              <w:t>该办法适用于各级环境保护主管部门对建设项目（不含城镇生活污水处理厂、垃圾处理场、危险废物和医疗废物处置场）主要污染排放总量指标的审核与管理。上一年度环境空气质量平均浓度不达标的城市、水环境质量未到要求的市县，相关污染物应按照建设项目所需替代的主要排放总量指标2倍进行削减替代。</w:t>
            </w:r>
            <w:r>
              <w:rPr>
                <w:rFonts w:hint="eastAsia" w:cs="Times New Roman"/>
                <w:bCs/>
                <w:color w:val="auto"/>
                <w:sz w:val="24"/>
                <w:highlight w:val="none"/>
                <w:lang w:eastAsia="zh-CN"/>
              </w:rPr>
              <w:t>”</w:t>
            </w:r>
          </w:p>
          <w:p w14:paraId="67B30247">
            <w:pPr>
              <w:tabs>
                <w:tab w:val="left" w:pos="1484"/>
              </w:tabs>
              <w:adjustRightInd w:val="0"/>
              <w:snapToGrid w:val="0"/>
              <w:spacing w:line="360" w:lineRule="auto"/>
              <w:ind w:firstLine="480" w:firstLineChars="200"/>
              <w:rPr>
                <w:rFonts w:hint="eastAsia" w:cs="Times New Roman"/>
                <w:color w:val="auto"/>
                <w:sz w:val="24"/>
                <w:highlight w:val="none"/>
                <w:lang w:val="en-US" w:eastAsia="zh-CN"/>
              </w:rPr>
            </w:pPr>
            <w:r>
              <w:rPr>
                <w:rFonts w:hint="default" w:ascii="Times New Roman" w:hAnsi="Times New Roman" w:eastAsia="宋体" w:cs="Times New Roman"/>
                <w:color w:val="auto"/>
                <w:sz w:val="24"/>
                <w:highlight w:val="none"/>
                <w:lang w:val="en-US"/>
              </w:rPr>
              <w:t>《北京市人民政府办公厅关于印发《推进美丽北京建设持续深入打好污染防治攻坚战2025年行动计划》的通知》（京政办发〔2025〕3号）中蓝天保卫战2025年行动计划，北京市2025年大气污染总量减排目标的工作措施为</w:t>
            </w:r>
            <w:r>
              <w:rPr>
                <w:rFonts w:hint="eastAsia"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rPr>
              <w:t>各区完成</w:t>
            </w:r>
            <w:r>
              <w:rPr>
                <w:rFonts w:hint="eastAsia"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rPr>
              <w:t>十四五</w:t>
            </w:r>
            <w:r>
              <w:rPr>
                <w:rFonts w:hint="eastAsia"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rPr>
              <w:t>挥发性有机物(VOCs)、氮氧化物(NOx)减排目标任务。新增涉气建设项目严格执行VOCs、NOx等主要污染物排放总量控制，实施</w:t>
            </w:r>
            <w:r>
              <w:rPr>
                <w:rFonts w:hint="eastAsia"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rPr>
              <w:t>减二增一</w:t>
            </w:r>
            <w:r>
              <w:rPr>
                <w:rFonts w:hint="eastAsia"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rPr>
              <w:t>削减量替代审批制度。本项目挥发性有机物进行2倍削减替代</w:t>
            </w:r>
            <w:r>
              <w:rPr>
                <w:rFonts w:hint="eastAsia" w:cs="Times New Roman"/>
                <w:color w:val="auto"/>
                <w:sz w:val="24"/>
                <w:highlight w:val="none"/>
                <w:lang w:val="en-US" w:eastAsia="zh-CN"/>
              </w:rPr>
              <w:t>。</w:t>
            </w:r>
          </w:p>
          <w:p w14:paraId="2D4C7EA1">
            <w:pPr>
              <w:tabs>
                <w:tab w:val="left" w:pos="1484"/>
              </w:tabs>
              <w:adjustRightInd w:val="0"/>
              <w:snapToGrid w:val="0"/>
              <w:spacing w:line="360" w:lineRule="auto"/>
              <w:ind w:firstLine="480" w:firstLineChars="200"/>
              <w:rPr>
                <w:rFonts w:hint="default"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lang w:val="en-US" w:eastAsia="zh-CN"/>
              </w:rPr>
              <w:t>综上，</w:t>
            </w:r>
            <w:r>
              <w:rPr>
                <w:rFonts w:hint="eastAsia" w:cs="Times New Roman"/>
                <w:color w:val="auto"/>
                <w:sz w:val="24"/>
                <w:highlight w:val="none"/>
                <w:lang w:val="en-US" w:eastAsia="zh-CN"/>
              </w:rPr>
              <w:t>本项目</w:t>
            </w:r>
            <w:r>
              <w:rPr>
                <w:rFonts w:hint="eastAsia" w:ascii="Times New Roman" w:hAnsi="Times New Roman" w:eastAsia="宋体" w:cs="Times New Roman"/>
                <w:color w:val="auto"/>
                <w:sz w:val="24"/>
                <w:highlight w:val="none"/>
                <w:lang w:val="en-US" w:eastAsia="zh-CN"/>
              </w:rPr>
              <w:t>运营期间污染物排放总量控制指标见</w:t>
            </w:r>
            <w:r>
              <w:rPr>
                <w:rFonts w:hint="eastAsia" w:cs="Times New Roman"/>
                <w:color w:val="auto"/>
                <w:sz w:val="24"/>
                <w:highlight w:val="none"/>
                <w:lang w:val="en-US" w:eastAsia="zh-CN"/>
              </w:rPr>
              <w:t>下</w:t>
            </w:r>
            <w:r>
              <w:rPr>
                <w:rFonts w:hint="eastAsia" w:ascii="Times New Roman" w:hAnsi="Times New Roman" w:eastAsia="宋体" w:cs="Times New Roman"/>
                <w:color w:val="auto"/>
                <w:sz w:val="24"/>
                <w:highlight w:val="none"/>
                <w:lang w:val="en-US" w:eastAsia="zh-CN"/>
              </w:rPr>
              <w:t>表</w:t>
            </w:r>
            <w:r>
              <w:rPr>
                <w:rFonts w:hint="default" w:ascii="Times New Roman" w:hAnsi="Times New Roman" w:eastAsia="宋体" w:cs="Times New Roman"/>
                <w:color w:val="auto"/>
                <w:sz w:val="24"/>
                <w:highlight w:val="none"/>
                <w:lang w:val="en-US"/>
              </w:rPr>
              <w:t>。</w:t>
            </w:r>
          </w:p>
          <w:p w14:paraId="0C8D1235">
            <w:pPr>
              <w:numPr>
                <w:ilvl w:val="0"/>
                <w:numId w:val="14"/>
              </w:numPr>
              <w:spacing w:line="360" w:lineRule="auto"/>
              <w:jc w:val="center"/>
              <w:rPr>
                <w:rFonts w:hint="default" w:ascii="Times New Roman" w:hAnsi="Times New Roman" w:eastAsia="宋体" w:cs="Times New Roman"/>
                <w:b/>
                <w:color w:val="auto"/>
                <w:sz w:val="24"/>
                <w:highlight w:val="none"/>
                <w:lang w:val="zh-CN"/>
              </w:rPr>
            </w:pPr>
            <w:r>
              <w:rPr>
                <w:rFonts w:hint="default" w:ascii="Times New Roman" w:hAnsi="Times New Roman" w:eastAsia="宋体" w:cs="Times New Roman"/>
                <w:b/>
                <w:color w:val="auto"/>
                <w:sz w:val="24"/>
                <w:highlight w:val="none"/>
              </w:rPr>
              <w:t>总量控制指标</w:t>
            </w:r>
          </w:p>
          <w:tbl>
            <w:tblPr>
              <w:tblStyle w:val="24"/>
              <w:tblW w:w="4899"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54"/>
              <w:gridCol w:w="2122"/>
              <w:gridCol w:w="1550"/>
              <w:gridCol w:w="1566"/>
              <w:gridCol w:w="1580"/>
            </w:tblGrid>
            <w:tr w14:paraId="069F7CE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4" w:type="dxa"/>
                  <w:tcBorders>
                    <w:tl2br w:val="nil"/>
                    <w:tr2bl w:val="nil"/>
                  </w:tcBorders>
                  <w:vAlign w:val="center"/>
                </w:tcPr>
                <w:p w14:paraId="3D5526DC">
                  <w:pPr>
                    <w:adjustRightInd w:val="0"/>
                    <w:snapToGrid w:val="0"/>
                    <w:jc w:val="center"/>
                    <w:rPr>
                      <w:rFonts w:hint="default" w:ascii="Times New Roman" w:hAnsi="Times New Roman" w:eastAsia="宋体" w:cs="Times New Roman"/>
                      <w:b/>
                      <w:bCs/>
                      <w:color w:val="auto"/>
                      <w:szCs w:val="21"/>
                      <w:highlight w:val="none"/>
                      <w:lang w:val="zh-CN"/>
                    </w:rPr>
                  </w:pPr>
                  <w:r>
                    <w:rPr>
                      <w:rFonts w:hint="default" w:ascii="Times New Roman" w:hAnsi="Times New Roman" w:eastAsia="宋体" w:cs="Times New Roman"/>
                      <w:b/>
                      <w:bCs/>
                      <w:color w:val="auto"/>
                      <w:szCs w:val="21"/>
                      <w:highlight w:val="none"/>
                      <w:lang w:val="zh-CN"/>
                    </w:rPr>
                    <w:t>类别</w:t>
                  </w:r>
                </w:p>
              </w:tc>
              <w:tc>
                <w:tcPr>
                  <w:tcW w:w="2122" w:type="dxa"/>
                  <w:tcBorders>
                    <w:tl2br w:val="nil"/>
                    <w:tr2bl w:val="nil"/>
                  </w:tcBorders>
                  <w:vAlign w:val="center"/>
                </w:tcPr>
                <w:p w14:paraId="07E35F9F">
                  <w:pPr>
                    <w:adjustRightInd w:val="0"/>
                    <w:snapToGrid w:val="0"/>
                    <w:jc w:val="center"/>
                    <w:rPr>
                      <w:rFonts w:hint="default" w:ascii="Times New Roman" w:hAnsi="Times New Roman" w:eastAsia="宋体" w:cs="Times New Roman"/>
                      <w:b/>
                      <w:bCs/>
                      <w:color w:val="auto"/>
                      <w:szCs w:val="21"/>
                      <w:highlight w:val="none"/>
                      <w:lang w:val="zh-CN"/>
                    </w:rPr>
                  </w:pPr>
                  <w:r>
                    <w:rPr>
                      <w:rFonts w:hint="default" w:ascii="Times New Roman" w:hAnsi="Times New Roman" w:eastAsia="宋体" w:cs="Times New Roman"/>
                      <w:b/>
                      <w:bCs/>
                      <w:color w:val="auto"/>
                      <w:szCs w:val="21"/>
                      <w:highlight w:val="none"/>
                      <w:lang w:val="zh-CN"/>
                    </w:rPr>
                    <w:t>污染物污染物</w:t>
                  </w:r>
                </w:p>
              </w:tc>
              <w:tc>
                <w:tcPr>
                  <w:tcW w:w="1550" w:type="dxa"/>
                  <w:tcBorders>
                    <w:tl2br w:val="nil"/>
                    <w:tr2bl w:val="nil"/>
                  </w:tcBorders>
                  <w:vAlign w:val="center"/>
                </w:tcPr>
                <w:p w14:paraId="646E4DCC">
                  <w:pPr>
                    <w:adjustRightInd w:val="0"/>
                    <w:snapToGrid w:val="0"/>
                    <w:jc w:val="center"/>
                    <w:rPr>
                      <w:rFonts w:hint="default" w:ascii="Times New Roman" w:hAnsi="Times New Roman" w:eastAsia="宋体" w:cs="Times New Roman"/>
                      <w:b/>
                      <w:bCs/>
                      <w:color w:val="auto"/>
                      <w:szCs w:val="21"/>
                      <w:highlight w:val="none"/>
                      <w:lang w:val="zh-CN"/>
                    </w:rPr>
                  </w:pPr>
                  <w:r>
                    <w:rPr>
                      <w:rFonts w:hint="eastAsia" w:cs="Times New Roman"/>
                      <w:b/>
                      <w:bCs/>
                      <w:color w:val="auto"/>
                      <w:szCs w:val="21"/>
                      <w:highlight w:val="none"/>
                      <w:lang w:val="en-US" w:eastAsia="zh-CN"/>
                    </w:rPr>
                    <w:t>本项目</w:t>
                  </w:r>
                  <w:r>
                    <w:rPr>
                      <w:rFonts w:hint="default" w:ascii="Times New Roman" w:hAnsi="Times New Roman" w:eastAsia="宋体" w:cs="Times New Roman"/>
                      <w:b/>
                      <w:bCs/>
                      <w:color w:val="auto"/>
                      <w:szCs w:val="21"/>
                      <w:highlight w:val="none"/>
                      <w:lang w:val="zh-CN"/>
                    </w:rPr>
                    <w:t>排放量（t/a）</w:t>
                  </w:r>
                </w:p>
              </w:tc>
              <w:tc>
                <w:tcPr>
                  <w:tcW w:w="1566" w:type="dxa"/>
                  <w:tcBorders>
                    <w:tl2br w:val="nil"/>
                    <w:tr2bl w:val="nil"/>
                  </w:tcBorders>
                  <w:vAlign w:val="center"/>
                </w:tcPr>
                <w:p w14:paraId="57F358DD">
                  <w:pPr>
                    <w:adjustRightInd w:val="0"/>
                    <w:snapToGrid w:val="0"/>
                    <w:jc w:val="center"/>
                    <w:rPr>
                      <w:rFonts w:hint="default" w:ascii="Times New Roman" w:hAnsi="Times New Roman" w:eastAsia="宋体" w:cs="Times New Roman"/>
                      <w:b/>
                      <w:bCs/>
                      <w:color w:val="auto"/>
                      <w:szCs w:val="21"/>
                      <w:highlight w:val="none"/>
                      <w:lang w:val="zh-CN"/>
                    </w:rPr>
                  </w:pPr>
                  <w:r>
                    <w:rPr>
                      <w:rFonts w:hint="default" w:ascii="Times New Roman" w:hAnsi="Times New Roman" w:eastAsia="宋体" w:cs="Times New Roman"/>
                      <w:b/>
                      <w:bCs/>
                      <w:color w:val="auto"/>
                      <w:szCs w:val="21"/>
                      <w:highlight w:val="none"/>
                      <w:lang w:val="zh-CN"/>
                    </w:rPr>
                    <w:t>1倍削减量（t/a）</w:t>
                  </w:r>
                </w:p>
              </w:tc>
              <w:tc>
                <w:tcPr>
                  <w:tcW w:w="1580" w:type="dxa"/>
                  <w:tcBorders>
                    <w:tl2br w:val="nil"/>
                    <w:tr2bl w:val="nil"/>
                  </w:tcBorders>
                  <w:vAlign w:val="center"/>
                </w:tcPr>
                <w:p w14:paraId="732CCB1F">
                  <w:pPr>
                    <w:adjustRightInd w:val="0"/>
                    <w:snapToGrid w:val="0"/>
                    <w:jc w:val="center"/>
                    <w:rPr>
                      <w:rFonts w:hint="default" w:ascii="Times New Roman" w:hAnsi="Times New Roman" w:eastAsia="宋体" w:cs="Times New Roman"/>
                      <w:b/>
                      <w:bCs/>
                      <w:color w:val="auto"/>
                      <w:szCs w:val="21"/>
                      <w:highlight w:val="none"/>
                      <w:lang w:val="zh-CN"/>
                    </w:rPr>
                  </w:pPr>
                  <w:r>
                    <w:rPr>
                      <w:rFonts w:hint="default" w:ascii="Times New Roman" w:hAnsi="Times New Roman" w:eastAsia="宋体" w:cs="Times New Roman"/>
                      <w:b/>
                      <w:bCs/>
                      <w:color w:val="auto"/>
                      <w:szCs w:val="21"/>
                      <w:highlight w:val="none"/>
                      <w:lang w:val="zh-CN"/>
                    </w:rPr>
                    <w:t>2倍削减量（t/a）</w:t>
                  </w:r>
                </w:p>
              </w:tc>
            </w:tr>
            <w:tr w14:paraId="3D65FC4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4" w:type="dxa"/>
                  <w:vMerge w:val="restart"/>
                  <w:tcBorders>
                    <w:tl2br w:val="nil"/>
                    <w:tr2bl w:val="nil"/>
                  </w:tcBorders>
                  <w:vAlign w:val="center"/>
                </w:tcPr>
                <w:p w14:paraId="412D6D65">
                  <w:pPr>
                    <w:adjustRightInd w:val="0"/>
                    <w:snapToGrid w:val="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废水</w:t>
                  </w:r>
                </w:p>
              </w:tc>
              <w:tc>
                <w:tcPr>
                  <w:tcW w:w="2122" w:type="dxa"/>
                  <w:tcBorders>
                    <w:tl2br w:val="nil"/>
                    <w:tr2bl w:val="nil"/>
                  </w:tcBorders>
                  <w:shd w:val="clear" w:color="auto" w:fill="auto"/>
                  <w:vAlign w:val="center"/>
                </w:tcPr>
                <w:p w14:paraId="413A98C4">
                  <w:pPr>
                    <w:adjustRightInd w:val="0"/>
                    <w:snapToGrid w:val="0"/>
                    <w:jc w:val="center"/>
                    <w:rPr>
                      <w:rFonts w:hint="default" w:ascii="Times New Roman" w:hAnsi="Times New Roman" w:eastAsia="宋体" w:cs="Times New Roman"/>
                      <w:bCs/>
                      <w:color w:val="auto"/>
                      <w:szCs w:val="21"/>
                      <w:highlight w:val="none"/>
                      <w:lang w:val="zh-CN" w:eastAsia="zh-CN"/>
                    </w:rPr>
                  </w:pPr>
                  <w:r>
                    <w:rPr>
                      <w:rFonts w:hint="default" w:ascii="Times New Roman" w:hAnsi="Times New Roman" w:eastAsia="宋体" w:cs="Times New Roman"/>
                      <w:bCs/>
                      <w:color w:val="auto"/>
                      <w:szCs w:val="21"/>
                      <w:highlight w:val="none"/>
                    </w:rPr>
                    <w:t>COD</w:t>
                  </w:r>
                  <w:r>
                    <w:rPr>
                      <w:rFonts w:hint="default" w:ascii="Times New Roman" w:hAnsi="Times New Roman" w:eastAsia="宋体" w:cs="Times New Roman"/>
                      <w:bCs/>
                      <w:color w:val="auto"/>
                      <w:szCs w:val="21"/>
                      <w:highlight w:val="none"/>
                      <w:vertAlign w:val="subscript"/>
                    </w:rPr>
                    <w:t>Cr</w:t>
                  </w:r>
                </w:p>
              </w:tc>
              <w:tc>
                <w:tcPr>
                  <w:tcW w:w="1550" w:type="dxa"/>
                  <w:tcBorders>
                    <w:tl2br w:val="nil"/>
                    <w:tr2bl w:val="nil"/>
                  </w:tcBorders>
                  <w:shd w:val="clear" w:color="auto" w:fill="auto"/>
                  <w:vAlign w:val="center"/>
                </w:tcPr>
                <w:p w14:paraId="7DD535D1">
                  <w:pPr>
                    <w:adjustRightInd w:val="0"/>
                    <w:snapToGrid w:val="0"/>
                    <w:jc w:val="center"/>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bCs/>
                      <w:color w:val="auto"/>
                      <w:szCs w:val="21"/>
                      <w:highlight w:val="none"/>
                      <w:lang w:val="en-US" w:eastAsia="zh-CN"/>
                    </w:rPr>
                    <w:t>0.0366</w:t>
                  </w:r>
                </w:p>
              </w:tc>
              <w:tc>
                <w:tcPr>
                  <w:tcW w:w="1566" w:type="dxa"/>
                  <w:tcBorders>
                    <w:tl2br w:val="nil"/>
                    <w:tr2bl w:val="nil"/>
                  </w:tcBorders>
                  <w:shd w:val="clear" w:color="auto" w:fill="auto"/>
                  <w:vAlign w:val="center"/>
                </w:tcPr>
                <w:p w14:paraId="0A79E81A">
                  <w:pPr>
                    <w:adjustRightInd w:val="0"/>
                    <w:snapToGrid w:val="0"/>
                    <w:jc w:val="center"/>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bCs/>
                      <w:color w:val="auto"/>
                      <w:szCs w:val="21"/>
                      <w:highlight w:val="none"/>
                      <w:lang w:val="en-US" w:eastAsia="zh-CN"/>
                    </w:rPr>
                    <w:t>0.0366</w:t>
                  </w:r>
                </w:p>
              </w:tc>
              <w:tc>
                <w:tcPr>
                  <w:tcW w:w="1580" w:type="dxa"/>
                  <w:tcBorders>
                    <w:tl2br w:val="nil"/>
                    <w:tr2bl w:val="nil"/>
                  </w:tcBorders>
                  <w:shd w:val="clear" w:color="auto" w:fill="auto"/>
                  <w:vAlign w:val="center"/>
                </w:tcPr>
                <w:p w14:paraId="0A34C126">
                  <w:pPr>
                    <w:adjustRightInd w:val="0"/>
                    <w:snapToGrid w:val="0"/>
                    <w:jc w:val="center"/>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bCs/>
                      <w:color w:val="auto"/>
                      <w:szCs w:val="21"/>
                      <w:highlight w:val="none"/>
                      <w:lang w:val="en-US" w:eastAsia="zh-CN"/>
                    </w:rPr>
                    <w:t>/</w:t>
                  </w:r>
                </w:p>
              </w:tc>
            </w:tr>
            <w:tr w14:paraId="7605E9E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4" w:type="dxa"/>
                  <w:vMerge w:val="continue"/>
                  <w:tcBorders>
                    <w:tl2br w:val="nil"/>
                    <w:tr2bl w:val="nil"/>
                  </w:tcBorders>
                  <w:vAlign w:val="center"/>
                </w:tcPr>
                <w:p w14:paraId="4E52BC72">
                  <w:pPr>
                    <w:adjustRightInd w:val="0"/>
                    <w:snapToGrid w:val="0"/>
                    <w:jc w:val="center"/>
                    <w:rPr>
                      <w:rFonts w:hint="default" w:ascii="Times New Roman" w:hAnsi="Times New Roman" w:eastAsia="宋体" w:cs="Times New Roman"/>
                      <w:bCs/>
                      <w:color w:val="auto"/>
                      <w:szCs w:val="21"/>
                      <w:highlight w:val="none"/>
                      <w:lang w:val="zh-CN"/>
                    </w:rPr>
                  </w:pPr>
                </w:p>
              </w:tc>
              <w:tc>
                <w:tcPr>
                  <w:tcW w:w="2122" w:type="dxa"/>
                  <w:tcBorders>
                    <w:tl2br w:val="nil"/>
                    <w:tr2bl w:val="nil"/>
                  </w:tcBorders>
                  <w:shd w:val="clear" w:color="auto" w:fill="auto"/>
                  <w:vAlign w:val="center"/>
                </w:tcPr>
                <w:p w14:paraId="08491448">
                  <w:pPr>
                    <w:adjustRightInd w:val="0"/>
                    <w:snapToGrid w:val="0"/>
                    <w:jc w:val="center"/>
                    <w:rPr>
                      <w:rFonts w:hint="default" w:ascii="Times New Roman" w:hAnsi="Times New Roman" w:eastAsia="宋体" w:cs="Times New Roman"/>
                      <w:bCs/>
                      <w:color w:val="auto"/>
                      <w:szCs w:val="21"/>
                      <w:highlight w:val="none"/>
                      <w:lang w:val="zh-CN" w:eastAsia="zh-CN"/>
                    </w:rPr>
                  </w:pPr>
                  <w:r>
                    <w:rPr>
                      <w:rFonts w:hint="default" w:ascii="Times New Roman" w:hAnsi="Times New Roman" w:eastAsia="宋体" w:cs="Times New Roman"/>
                      <w:bCs/>
                      <w:color w:val="auto"/>
                      <w:szCs w:val="21"/>
                      <w:highlight w:val="none"/>
                    </w:rPr>
                    <w:t>NH</w:t>
                  </w:r>
                  <w:r>
                    <w:rPr>
                      <w:rFonts w:hint="default" w:ascii="Times New Roman" w:hAnsi="Times New Roman" w:eastAsia="宋体" w:cs="Times New Roman"/>
                      <w:bCs/>
                      <w:color w:val="auto"/>
                      <w:szCs w:val="21"/>
                      <w:highlight w:val="none"/>
                      <w:vertAlign w:val="subscript"/>
                    </w:rPr>
                    <w:t>3</w:t>
                  </w:r>
                  <w:r>
                    <w:rPr>
                      <w:rFonts w:hint="default" w:ascii="Times New Roman" w:hAnsi="Times New Roman" w:eastAsia="宋体" w:cs="Times New Roman"/>
                      <w:bCs/>
                      <w:color w:val="auto"/>
                      <w:szCs w:val="21"/>
                      <w:highlight w:val="none"/>
                    </w:rPr>
                    <w:t>-N</w:t>
                  </w:r>
                </w:p>
              </w:tc>
              <w:tc>
                <w:tcPr>
                  <w:tcW w:w="1550" w:type="dxa"/>
                  <w:tcBorders>
                    <w:tl2br w:val="nil"/>
                    <w:tr2bl w:val="nil"/>
                  </w:tcBorders>
                  <w:shd w:val="clear" w:color="auto" w:fill="auto"/>
                  <w:vAlign w:val="center"/>
                </w:tcPr>
                <w:p w14:paraId="0A1D553C">
                  <w:pPr>
                    <w:adjustRightInd w:val="0"/>
                    <w:snapToGrid w:val="0"/>
                    <w:jc w:val="center"/>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bCs/>
                      <w:color w:val="auto"/>
                      <w:szCs w:val="21"/>
                      <w:highlight w:val="none"/>
                      <w:lang w:val="en-US" w:eastAsia="zh-CN"/>
                    </w:rPr>
                    <w:t>0.0037</w:t>
                  </w:r>
                </w:p>
              </w:tc>
              <w:tc>
                <w:tcPr>
                  <w:tcW w:w="1566" w:type="dxa"/>
                  <w:tcBorders>
                    <w:tl2br w:val="nil"/>
                    <w:tr2bl w:val="nil"/>
                  </w:tcBorders>
                  <w:shd w:val="clear" w:color="auto" w:fill="auto"/>
                  <w:vAlign w:val="center"/>
                </w:tcPr>
                <w:p w14:paraId="67D91081">
                  <w:pPr>
                    <w:adjustRightInd w:val="0"/>
                    <w:snapToGrid w:val="0"/>
                    <w:jc w:val="center"/>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bCs/>
                      <w:color w:val="auto"/>
                      <w:szCs w:val="21"/>
                      <w:highlight w:val="none"/>
                      <w:lang w:val="en-US" w:eastAsia="zh-CN"/>
                    </w:rPr>
                    <w:t>0.0037</w:t>
                  </w:r>
                </w:p>
              </w:tc>
              <w:tc>
                <w:tcPr>
                  <w:tcW w:w="1580" w:type="dxa"/>
                  <w:tcBorders>
                    <w:tl2br w:val="nil"/>
                    <w:tr2bl w:val="nil"/>
                  </w:tcBorders>
                  <w:shd w:val="clear" w:color="auto" w:fill="auto"/>
                  <w:vAlign w:val="center"/>
                </w:tcPr>
                <w:p w14:paraId="534EBBCD">
                  <w:pPr>
                    <w:adjustRightInd w:val="0"/>
                    <w:snapToGrid w:val="0"/>
                    <w:jc w:val="center"/>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bCs/>
                      <w:color w:val="auto"/>
                      <w:szCs w:val="21"/>
                      <w:highlight w:val="none"/>
                      <w:lang w:val="en-US" w:eastAsia="zh-CN"/>
                    </w:rPr>
                    <w:t>/</w:t>
                  </w:r>
                </w:p>
              </w:tc>
            </w:tr>
          </w:tbl>
          <w:p w14:paraId="227AFCB9">
            <w:pPr>
              <w:adjustRightInd w:val="0"/>
              <w:spacing w:line="360" w:lineRule="auto"/>
              <w:rPr>
                <w:rFonts w:hint="default" w:ascii="Times New Roman" w:hAnsi="Times New Roman" w:eastAsia="宋体" w:cs="Times New Roman"/>
                <w:bCs/>
                <w:color w:val="auto"/>
                <w:sz w:val="24"/>
                <w:highlight w:val="none"/>
              </w:rPr>
            </w:pPr>
          </w:p>
        </w:tc>
      </w:tr>
    </w:tbl>
    <w:p w14:paraId="5FFA9576">
      <w:pPr>
        <w:rPr>
          <w:rFonts w:hint="default"/>
          <w:color w:val="auto"/>
        </w:rPr>
      </w:pPr>
      <w:r>
        <w:rPr>
          <w:rFonts w:hint="default"/>
          <w:color w:val="auto"/>
        </w:rPr>
        <w:br w:type="page"/>
      </w:r>
    </w:p>
    <w:p w14:paraId="74F31CFB">
      <w:pPr>
        <w:pStyle w:val="2"/>
        <w:jc w:val="center"/>
        <w:rPr>
          <w:rFonts w:hint="default" w:ascii="Times New Roman" w:hAnsi="Times New Roman" w:eastAsia="宋体" w:cs="Times New Roman"/>
          <w:b w:val="0"/>
          <w:bCs w:val="0"/>
          <w:color w:val="auto"/>
          <w:sz w:val="36"/>
          <w:szCs w:val="36"/>
          <w:highlight w:val="none"/>
        </w:rPr>
      </w:pPr>
      <w:r>
        <w:rPr>
          <w:rFonts w:hint="default" w:ascii="Times New Roman" w:hAnsi="Times New Roman" w:eastAsia="宋体" w:cs="Times New Roman"/>
          <w:b w:val="0"/>
          <w:bCs w:val="0"/>
          <w:color w:val="auto"/>
          <w:sz w:val="36"/>
          <w:szCs w:val="36"/>
          <w:highlight w:val="none"/>
        </w:rPr>
        <w:t>四、主要环境影响和保护措施</w:t>
      </w:r>
    </w:p>
    <w:tbl>
      <w:tblPr>
        <w:tblStyle w:val="23"/>
        <w:tblW w:w="898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97"/>
        <w:gridCol w:w="7784"/>
      </w:tblGrid>
      <w:tr w14:paraId="46634F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1197" w:type="dxa"/>
            <w:tcMar>
              <w:left w:w="28" w:type="dxa"/>
              <w:right w:w="28" w:type="dxa"/>
            </w:tcMar>
            <w:vAlign w:val="center"/>
          </w:tcPr>
          <w:p w14:paraId="2DABBE99">
            <w:pPr>
              <w:widowControl/>
              <w:adjustRightInd w:val="0"/>
              <w:snapToGrid w:val="0"/>
              <w:jc w:val="center"/>
              <w:rPr>
                <w:rFonts w:hint="default" w:ascii="Times New Roman" w:hAnsi="Times New Roman" w:eastAsia="宋体" w:cs="Times New Roman"/>
                <w:bCs/>
                <w:color w:val="auto"/>
                <w:sz w:val="24"/>
                <w:highlight w:val="none"/>
              </w:rPr>
            </w:pPr>
            <w:r>
              <w:rPr>
                <w:rFonts w:hint="default" w:ascii="Times New Roman" w:hAnsi="Times New Roman" w:eastAsia="宋体" w:cs="Times New Roman"/>
                <w:color w:val="auto"/>
                <w:sz w:val="24"/>
                <w:highlight w:val="none"/>
              </w:rPr>
              <w:t>施工期环境保护措施</w:t>
            </w:r>
          </w:p>
        </w:tc>
        <w:tc>
          <w:tcPr>
            <w:tcW w:w="7784" w:type="dxa"/>
            <w:vAlign w:val="center"/>
          </w:tcPr>
          <w:p w14:paraId="30BBBF56">
            <w:pPr>
              <w:adjustRightInd w:val="0"/>
              <w:snapToGrid w:val="0"/>
              <w:spacing w:line="360" w:lineRule="auto"/>
              <w:ind w:firstLine="480" w:firstLineChars="200"/>
              <w:rPr>
                <w:rFonts w:hint="default" w:ascii="Times New Roman" w:hAnsi="Times New Roman" w:eastAsia="宋体" w:cs="Times New Roman"/>
                <w:color w:val="auto"/>
                <w:kern w:val="0"/>
                <w:sz w:val="24"/>
                <w:highlight w:val="none"/>
              </w:rPr>
            </w:pPr>
            <w:r>
              <w:rPr>
                <w:rFonts w:hint="default" w:ascii="Times New Roman" w:hAnsi="Times New Roman" w:eastAsia="宋体" w:cs="Times New Roman"/>
                <w:color w:val="auto"/>
                <w:kern w:val="0"/>
                <w:sz w:val="24"/>
                <w:highlight w:val="none"/>
              </w:rPr>
              <w:t>本项目</w:t>
            </w:r>
            <w:r>
              <w:rPr>
                <w:rFonts w:hint="eastAsia" w:cs="Times New Roman"/>
                <w:color w:val="auto"/>
                <w:kern w:val="0"/>
                <w:sz w:val="24"/>
                <w:highlight w:val="none"/>
                <w:lang w:val="en-US" w:eastAsia="zh-CN"/>
              </w:rPr>
              <w:t>为迁建新建项目，新租用园区闲置的现有建筑进行装修建设，</w:t>
            </w:r>
            <w:r>
              <w:rPr>
                <w:rFonts w:hint="default" w:cs="Times New Roman"/>
                <w:color w:val="auto"/>
                <w:kern w:val="0"/>
                <w:sz w:val="24"/>
                <w:highlight w:val="none"/>
                <w:lang w:val="en-US" w:eastAsia="zh-CN"/>
              </w:rPr>
              <w:t>施工期无土石方施工，仅室内装修</w:t>
            </w:r>
            <w:r>
              <w:rPr>
                <w:rFonts w:hint="eastAsia" w:cs="Times New Roman"/>
                <w:color w:val="auto"/>
                <w:kern w:val="0"/>
                <w:sz w:val="24"/>
                <w:highlight w:val="none"/>
                <w:lang w:val="en-US" w:eastAsia="zh-CN"/>
              </w:rPr>
              <w:t>(</w:t>
            </w:r>
            <w:r>
              <w:rPr>
                <w:rFonts w:hint="default" w:cs="Times New Roman"/>
                <w:color w:val="auto"/>
                <w:kern w:val="0"/>
                <w:sz w:val="24"/>
                <w:highlight w:val="none"/>
                <w:lang w:val="en-US" w:eastAsia="zh-CN"/>
              </w:rPr>
              <w:t>如内墙表面粉刷、设备安装</w:t>
            </w:r>
            <w:r>
              <w:rPr>
                <w:rFonts w:hint="default" w:ascii="Times New Roman" w:hAnsi="Times New Roman" w:eastAsia="宋体" w:cs="Times New Roman"/>
                <w:color w:val="auto"/>
                <w:kern w:val="0"/>
                <w:sz w:val="24"/>
                <w:highlight w:val="none"/>
              </w:rPr>
              <w:t>等</w:t>
            </w:r>
            <w:r>
              <w:rPr>
                <w:rFonts w:hint="eastAsia" w:cs="Times New Roman"/>
                <w:color w:val="auto"/>
                <w:kern w:val="0"/>
                <w:sz w:val="24"/>
                <w:highlight w:val="none"/>
                <w:lang w:val="en-US" w:eastAsia="zh-CN"/>
              </w:rPr>
              <w:t>)</w:t>
            </w:r>
            <w:r>
              <w:rPr>
                <w:rFonts w:hint="default" w:ascii="Times New Roman" w:hAnsi="Times New Roman" w:eastAsia="宋体" w:cs="Times New Roman"/>
                <w:color w:val="auto"/>
                <w:kern w:val="0"/>
                <w:sz w:val="24"/>
                <w:highlight w:val="none"/>
              </w:rPr>
              <w:t>。主要污染物为施工扬尘，施工人员生活污水，施工噪声，施工固体废物</w:t>
            </w:r>
            <w:r>
              <w:rPr>
                <w:rFonts w:hint="eastAsia" w:cs="Times New Roman"/>
                <w:color w:val="auto"/>
                <w:kern w:val="0"/>
                <w:sz w:val="24"/>
                <w:highlight w:val="none"/>
                <w:lang w:eastAsia="zh-CN"/>
              </w:rPr>
              <w:t>（</w:t>
            </w:r>
            <w:r>
              <w:rPr>
                <w:rFonts w:hint="default" w:ascii="Times New Roman" w:hAnsi="Times New Roman" w:eastAsia="宋体" w:cs="Times New Roman"/>
                <w:color w:val="auto"/>
                <w:kern w:val="0"/>
                <w:sz w:val="24"/>
                <w:highlight w:val="none"/>
              </w:rPr>
              <w:t>装修垃圾、生活垃圾等</w:t>
            </w:r>
            <w:r>
              <w:rPr>
                <w:rFonts w:hint="eastAsia" w:cs="Times New Roman"/>
                <w:color w:val="auto"/>
                <w:kern w:val="0"/>
                <w:sz w:val="24"/>
                <w:highlight w:val="none"/>
                <w:lang w:eastAsia="zh-CN"/>
              </w:rPr>
              <w:t>）</w:t>
            </w:r>
            <w:r>
              <w:rPr>
                <w:rFonts w:hint="default" w:ascii="Times New Roman" w:hAnsi="Times New Roman" w:eastAsia="宋体" w:cs="Times New Roman"/>
                <w:color w:val="auto"/>
                <w:kern w:val="0"/>
                <w:sz w:val="24"/>
                <w:highlight w:val="none"/>
              </w:rPr>
              <w:t>。</w:t>
            </w:r>
          </w:p>
          <w:p w14:paraId="276BB610">
            <w:pPr>
              <w:numPr>
                <w:ilvl w:val="0"/>
                <w:numId w:val="18"/>
              </w:numPr>
              <w:adjustRightInd w:val="0"/>
              <w:snapToGrid w:val="0"/>
              <w:spacing w:line="360" w:lineRule="auto"/>
              <w:ind w:firstLine="480" w:firstLineChars="200"/>
              <w:rPr>
                <w:rFonts w:hint="default" w:ascii="Times New Roman" w:hAnsi="Times New Roman" w:eastAsia="宋体" w:cs="Times New Roman"/>
                <w:color w:val="auto"/>
                <w:kern w:val="0"/>
                <w:sz w:val="24"/>
                <w:highlight w:val="none"/>
              </w:rPr>
            </w:pPr>
            <w:r>
              <w:rPr>
                <w:rFonts w:hint="default" w:ascii="Times New Roman" w:hAnsi="Times New Roman" w:eastAsia="宋体" w:cs="Times New Roman"/>
                <w:color w:val="auto"/>
                <w:kern w:val="0"/>
                <w:sz w:val="24"/>
                <w:highlight w:val="none"/>
              </w:rPr>
              <w:t>废气：扬尘主要产生在装修施工期间的各种作业，其产生量与天气、温度、施工队文明程度和管理水平等因素有关，施工时要加强管理，及时清除建筑装修垃圾、做好洒水抑尘、关闭门窗施工等。油漆粉刷时产生的少量挥发性有机气体，</w:t>
            </w:r>
            <w:r>
              <w:rPr>
                <w:rFonts w:hint="eastAsia" w:cs="Times New Roman"/>
                <w:color w:val="auto"/>
                <w:kern w:val="0"/>
                <w:sz w:val="24"/>
                <w:highlight w:val="none"/>
                <w:lang w:val="en-US" w:eastAsia="zh-CN"/>
              </w:rPr>
              <w:t>要</w:t>
            </w:r>
            <w:r>
              <w:rPr>
                <w:rFonts w:hint="default" w:ascii="Times New Roman" w:hAnsi="Times New Roman" w:eastAsia="宋体" w:cs="Times New Roman"/>
                <w:color w:val="auto"/>
                <w:kern w:val="0"/>
                <w:sz w:val="24"/>
                <w:highlight w:val="none"/>
              </w:rPr>
              <w:t>加强通风、选用优质的低污染油漆和涂料等措施。</w:t>
            </w:r>
          </w:p>
          <w:p w14:paraId="413E8345">
            <w:pPr>
              <w:numPr>
                <w:ilvl w:val="0"/>
                <w:numId w:val="18"/>
              </w:numPr>
              <w:adjustRightInd w:val="0"/>
              <w:snapToGrid w:val="0"/>
              <w:spacing w:line="360" w:lineRule="auto"/>
              <w:ind w:firstLine="480" w:firstLineChars="200"/>
              <w:rPr>
                <w:rFonts w:hint="default" w:ascii="Times New Roman" w:hAnsi="Times New Roman" w:eastAsia="宋体" w:cs="Times New Roman"/>
                <w:color w:val="auto"/>
                <w:kern w:val="0"/>
                <w:sz w:val="24"/>
                <w:highlight w:val="none"/>
              </w:rPr>
            </w:pPr>
            <w:r>
              <w:rPr>
                <w:rFonts w:hint="default" w:ascii="Times New Roman" w:hAnsi="Times New Roman" w:eastAsia="宋体" w:cs="Times New Roman"/>
                <w:color w:val="auto"/>
                <w:kern w:val="0"/>
                <w:sz w:val="24"/>
                <w:highlight w:val="none"/>
              </w:rPr>
              <w:t>废水：本项目施工期不设施工营地，食宿自行解决，故施工期产生的废水主要为生活污水，生活污水主要依托园区的化粪池进行处理。</w:t>
            </w:r>
          </w:p>
          <w:p w14:paraId="10EFF127">
            <w:pPr>
              <w:numPr>
                <w:ilvl w:val="0"/>
                <w:numId w:val="18"/>
              </w:numPr>
              <w:adjustRightInd w:val="0"/>
              <w:snapToGrid w:val="0"/>
              <w:spacing w:line="360" w:lineRule="auto"/>
              <w:ind w:firstLine="480" w:firstLineChars="200"/>
              <w:rPr>
                <w:rFonts w:hint="default" w:ascii="Times New Roman" w:hAnsi="Times New Roman" w:eastAsia="宋体" w:cs="Times New Roman"/>
                <w:color w:val="auto"/>
                <w:kern w:val="0"/>
                <w:sz w:val="24"/>
                <w:highlight w:val="none"/>
              </w:rPr>
            </w:pPr>
            <w:r>
              <w:rPr>
                <w:rFonts w:hint="default" w:ascii="Times New Roman" w:hAnsi="Times New Roman" w:eastAsia="宋体" w:cs="Times New Roman"/>
                <w:color w:val="auto"/>
                <w:kern w:val="0"/>
                <w:sz w:val="24"/>
                <w:highlight w:val="none"/>
              </w:rPr>
              <w:t>噪声：施工期间噪声主要来自项目内部装修和设备安装过程中使用的电钻、木工设备和空气压缩机等设备。施工阶段应按规定操作机械设备，遵守作业规定，减少人为机械碰撞噪声；规划施工方案，尽量避免高噪声机械设备同时使用；施工时间应安排在白天，禁止夜间装修扰民；建设单位及装修施工单位应配备必要的专职或兼职环保监管人员，负责监督装修施工过程中噪声防治措施的落实情况。</w:t>
            </w:r>
          </w:p>
          <w:p w14:paraId="459E7E6B">
            <w:pPr>
              <w:numPr>
                <w:ilvl w:val="0"/>
                <w:numId w:val="18"/>
              </w:numPr>
              <w:adjustRightInd w:val="0"/>
              <w:snapToGrid w:val="0"/>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kern w:val="0"/>
                <w:sz w:val="24"/>
                <w:highlight w:val="none"/>
              </w:rPr>
              <w:t>固体废物：施工期固体废物主要为施工人员生活垃圾、施工渣土及损坏或浪费的各种建筑装修材料。施工中固体废物应集中堆放、及时清运，外运到环卫部门指定地点，防止露天长期堆放可能产生的二次污染；对于可回收废料应尽量由施工单位回收利用。建设单位在施工过程中必须严格按照《北京市建设工程施工现场环境保护标准》(京建施[2003]3号)和《北京市建设工程施工现场管理办法》(2013年市政府令第247号)对施工现场进行管理，以尽量降低施工过程对周围环境的影响。</w:t>
            </w:r>
          </w:p>
        </w:tc>
      </w:tr>
      <w:tr w14:paraId="64965E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06" w:hRule="atLeast"/>
          <w:jc w:val="center"/>
        </w:trPr>
        <w:tc>
          <w:tcPr>
            <w:tcW w:w="1197" w:type="dxa"/>
            <w:tcMar>
              <w:left w:w="28" w:type="dxa"/>
              <w:right w:w="28" w:type="dxa"/>
            </w:tcMar>
            <w:vAlign w:val="center"/>
          </w:tcPr>
          <w:p w14:paraId="6AF39A9F">
            <w:pPr>
              <w:adjustRightInd w:val="0"/>
              <w:snapToGrid w:val="0"/>
              <w:jc w:val="center"/>
              <w:rPr>
                <w:rFonts w:hint="default" w:ascii="Times New Roman" w:hAnsi="Times New Roman" w:eastAsia="宋体" w:cs="Times New Roman"/>
                <w:bCs/>
                <w:color w:val="auto"/>
                <w:sz w:val="24"/>
                <w:highlight w:val="none"/>
              </w:rPr>
            </w:pPr>
            <w:r>
              <w:rPr>
                <w:rFonts w:hint="default" w:ascii="Times New Roman" w:hAnsi="Times New Roman" w:eastAsia="宋体" w:cs="Times New Roman"/>
                <w:bCs/>
                <w:color w:val="auto"/>
                <w:sz w:val="24"/>
                <w:highlight w:val="none"/>
              </w:rPr>
              <w:t>运营期环境影响和保护措施</w:t>
            </w:r>
          </w:p>
        </w:tc>
        <w:tc>
          <w:tcPr>
            <w:tcW w:w="7784" w:type="dxa"/>
            <w:shd w:val="clear" w:color="auto" w:fill="auto"/>
            <w:vAlign w:val="center"/>
          </w:tcPr>
          <w:p w14:paraId="1E7FC79D">
            <w:pPr>
              <w:numPr>
                <w:ilvl w:val="0"/>
                <w:numId w:val="19"/>
              </w:numPr>
              <w:adjustRightInd w:val="0"/>
              <w:snapToGrid w:val="0"/>
              <w:spacing w:line="360" w:lineRule="auto"/>
              <w:jc w:val="both"/>
              <w:rPr>
                <w:rFonts w:hint="default" w:ascii="Times New Roman" w:hAnsi="Times New Roman" w:eastAsia="宋体" w:cs="Times New Roman"/>
                <w:b/>
                <w:bCs/>
                <w:color w:val="auto"/>
                <w:spacing w:val="-10"/>
                <w:sz w:val="24"/>
                <w:highlight w:val="none"/>
              </w:rPr>
            </w:pPr>
            <w:r>
              <w:rPr>
                <w:rFonts w:hint="default" w:ascii="Times New Roman" w:hAnsi="Times New Roman" w:eastAsia="宋体" w:cs="Times New Roman"/>
                <w:b/>
                <w:bCs/>
                <w:color w:val="auto"/>
                <w:spacing w:val="-10"/>
                <w:sz w:val="24"/>
                <w:highlight w:val="none"/>
              </w:rPr>
              <w:t>废气</w:t>
            </w:r>
          </w:p>
          <w:p w14:paraId="30CF9909">
            <w:pPr>
              <w:adjustRightInd w:val="0"/>
              <w:snapToGrid w:val="0"/>
              <w:spacing w:line="360" w:lineRule="auto"/>
              <w:ind w:firstLine="482" w:firstLineChars="200"/>
              <w:rPr>
                <w:rFonts w:hint="default" w:ascii="Times New Roman" w:hAnsi="Times New Roman" w:eastAsia="宋体" w:cs="Times New Roman"/>
                <w:b/>
                <w:bCs/>
                <w:color w:val="auto"/>
                <w:sz w:val="24"/>
                <w:highlight w:val="none"/>
                <w:lang w:val="en-US" w:eastAsia="zh-CN"/>
              </w:rPr>
            </w:pPr>
            <w:r>
              <w:rPr>
                <w:rFonts w:hint="eastAsia" w:cs="Times New Roman"/>
                <w:b/>
                <w:bCs/>
                <w:color w:val="auto"/>
                <w:sz w:val="24"/>
                <w:highlight w:val="none"/>
                <w:lang w:val="en-US" w:eastAsia="zh-CN"/>
              </w:rPr>
              <w:t>1、源强核算</w:t>
            </w:r>
          </w:p>
          <w:p w14:paraId="638E29D8">
            <w:pPr>
              <w:numPr>
                <w:ilvl w:val="0"/>
                <w:numId w:val="0"/>
              </w:numPr>
              <w:adjustRightInd w:val="0"/>
              <w:snapToGrid w:val="0"/>
              <w:spacing w:line="360" w:lineRule="auto"/>
              <w:ind w:firstLine="480" w:firstLineChars="200"/>
              <w:rPr>
                <w:rFonts w:hint="default" w:cs="Times New Roman"/>
                <w:color w:val="auto"/>
                <w:kern w:val="0"/>
                <w:sz w:val="24"/>
                <w:highlight w:val="none"/>
                <w:lang w:val="en-US" w:eastAsia="zh-CN"/>
              </w:rPr>
            </w:pPr>
            <w:r>
              <w:rPr>
                <w:rFonts w:hint="eastAsia" w:cs="Times New Roman"/>
                <w:color w:val="auto"/>
                <w:kern w:val="0"/>
                <w:sz w:val="24"/>
                <w:highlight w:val="none"/>
                <w:lang w:val="en-US" w:eastAsia="zh-CN"/>
              </w:rPr>
              <w:t>（1）颗粒物</w:t>
            </w:r>
          </w:p>
          <w:p w14:paraId="4A01220C">
            <w:pPr>
              <w:numPr>
                <w:ilvl w:val="0"/>
                <w:numId w:val="0"/>
              </w:numPr>
              <w:adjustRightInd w:val="0"/>
              <w:snapToGrid w:val="0"/>
              <w:spacing w:line="360" w:lineRule="auto"/>
              <w:ind w:firstLine="480" w:firstLineChars="200"/>
              <w:rPr>
                <w:rFonts w:hint="eastAsia" w:ascii="Times New Roman" w:hAnsi="Times New Roman" w:cs="Times New Roman"/>
                <w:color w:val="auto"/>
                <w:sz w:val="24"/>
                <w:highlight w:val="none"/>
                <w:lang w:val="en-US" w:eastAsia="zh-CN"/>
              </w:rPr>
            </w:pPr>
            <w:r>
              <w:rPr>
                <w:rFonts w:hint="eastAsia" w:cs="Times New Roman"/>
                <w:color w:val="auto"/>
                <w:kern w:val="0"/>
                <w:sz w:val="24"/>
                <w:highlight w:val="none"/>
                <w:lang w:val="en-US" w:eastAsia="zh-CN"/>
              </w:rPr>
              <w:t>本项目电池材料研发实验前驱体制备过程中，需要使用试验型喷雾干燥机对前驱体</w:t>
            </w:r>
            <w:r>
              <w:rPr>
                <w:rFonts w:hint="default" w:ascii="Times New Roman" w:hAnsi="Times New Roman" w:eastAsia="宋体" w:cs="Times New Roman"/>
                <w:color w:val="auto"/>
                <w:sz w:val="24"/>
                <w:highlight w:val="none"/>
                <w:lang w:val="en-US" w:eastAsia="zh-CN"/>
              </w:rPr>
              <w:t>干燥，干燥后</w:t>
            </w:r>
            <w:r>
              <w:rPr>
                <w:rFonts w:hint="eastAsia" w:ascii="Times New Roman" w:hAnsi="Times New Roman" w:cs="Times New Roman"/>
                <w:color w:val="auto"/>
                <w:sz w:val="24"/>
                <w:highlight w:val="none"/>
                <w:lang w:val="en-US" w:eastAsia="zh-CN"/>
              </w:rPr>
              <w:t>前驱体</w:t>
            </w:r>
            <w:r>
              <w:rPr>
                <w:rFonts w:hint="default" w:ascii="Times New Roman" w:hAnsi="Times New Roman" w:eastAsia="宋体" w:cs="Times New Roman"/>
                <w:color w:val="auto"/>
                <w:sz w:val="24"/>
                <w:highlight w:val="none"/>
                <w:lang w:val="en-US" w:eastAsia="zh-CN"/>
              </w:rPr>
              <w:t>用设备自带的旋风+布袋收集，根据建设单位提供的资料，年干燥前驱体2kg，年操作时间</w:t>
            </w:r>
            <w:r>
              <w:rPr>
                <w:rFonts w:hint="eastAsia" w:ascii="Times New Roman" w:hAnsi="Times New Roman" w:cs="Times New Roman"/>
                <w:color w:val="auto"/>
                <w:sz w:val="24"/>
                <w:highlight w:val="none"/>
                <w:lang w:val="en-US" w:eastAsia="zh-CN"/>
              </w:rPr>
              <w:t>5</w:t>
            </w:r>
            <w:r>
              <w:rPr>
                <w:rFonts w:hint="default" w:ascii="Times New Roman" w:hAnsi="Times New Roman" w:eastAsia="宋体" w:cs="Times New Roman"/>
                <w:color w:val="auto"/>
                <w:sz w:val="24"/>
                <w:highlight w:val="none"/>
                <w:lang w:val="en-US" w:eastAsia="zh-CN"/>
              </w:rPr>
              <w:t>0h，旋风+布袋收集效率99%，则喷雾干燥颗粒物产生量为0.</w:t>
            </w:r>
            <w:r>
              <w:rPr>
                <w:rFonts w:hint="eastAsia" w:ascii="Times New Roman" w:hAnsi="Times New Roman" w:cs="Times New Roman"/>
                <w:color w:val="auto"/>
                <w:sz w:val="24"/>
                <w:highlight w:val="none"/>
                <w:lang w:val="en-US" w:eastAsia="zh-CN"/>
              </w:rPr>
              <w:t>0</w:t>
            </w:r>
            <w:r>
              <w:rPr>
                <w:rFonts w:hint="default" w:ascii="Times New Roman" w:hAnsi="Times New Roman" w:eastAsia="宋体" w:cs="Times New Roman"/>
                <w:color w:val="auto"/>
                <w:sz w:val="24"/>
                <w:highlight w:val="none"/>
                <w:lang w:val="en-US" w:eastAsia="zh-CN"/>
              </w:rPr>
              <w:t>2kg/a（0.00</w:t>
            </w:r>
            <w:r>
              <w:rPr>
                <w:rFonts w:hint="eastAsia" w:ascii="Times New Roman" w:hAnsi="Times New Roman" w:cs="Times New Roman"/>
                <w:color w:val="auto"/>
                <w:sz w:val="24"/>
                <w:highlight w:val="none"/>
                <w:lang w:val="en-US" w:eastAsia="zh-CN"/>
              </w:rPr>
              <w:t>04</w:t>
            </w:r>
            <w:r>
              <w:rPr>
                <w:rFonts w:hint="default" w:ascii="Times New Roman" w:hAnsi="Times New Roman" w:eastAsia="宋体" w:cs="Times New Roman"/>
                <w:color w:val="auto"/>
                <w:sz w:val="24"/>
                <w:highlight w:val="none"/>
                <w:lang w:val="en-US" w:eastAsia="zh-CN"/>
              </w:rPr>
              <w:t>kg/h）</w:t>
            </w:r>
            <w:r>
              <w:rPr>
                <w:rFonts w:hint="eastAsia" w:ascii="Times New Roman" w:hAnsi="Times New Roman" w:cs="Times New Roman"/>
                <w:color w:val="auto"/>
                <w:sz w:val="24"/>
                <w:highlight w:val="none"/>
                <w:lang w:val="en-US" w:eastAsia="zh-CN"/>
              </w:rPr>
              <w:t>。</w:t>
            </w:r>
          </w:p>
          <w:p w14:paraId="33C4C49C">
            <w:pPr>
              <w:numPr>
                <w:ilvl w:val="0"/>
                <w:numId w:val="0"/>
              </w:numPr>
              <w:adjustRightInd w:val="0"/>
              <w:snapToGrid w:val="0"/>
              <w:spacing w:line="360" w:lineRule="auto"/>
              <w:ind w:firstLine="480" w:firstLineChars="200"/>
              <w:rPr>
                <w:rFonts w:hint="default" w:ascii="Times New Roman" w:hAnsi="Times New Roman" w:cs="Times New Roman"/>
                <w:color w:val="auto"/>
                <w:sz w:val="24"/>
                <w:highlight w:val="none"/>
                <w:lang w:val="en-US" w:eastAsia="zh-CN"/>
              </w:rPr>
            </w:pPr>
            <w:r>
              <w:rPr>
                <w:rFonts w:hint="eastAsia" w:ascii="Times New Roman" w:hAnsi="Times New Roman" w:cs="Times New Roman"/>
                <w:color w:val="auto"/>
                <w:sz w:val="24"/>
                <w:highlight w:val="none"/>
                <w:lang w:val="en-US" w:eastAsia="zh-CN"/>
              </w:rPr>
              <w:t>（2）挥发性有机物</w:t>
            </w:r>
          </w:p>
          <w:p w14:paraId="1D366773">
            <w:pPr>
              <w:numPr>
                <w:ilvl w:val="0"/>
                <w:numId w:val="0"/>
              </w:numPr>
              <w:adjustRightInd w:val="0"/>
              <w:snapToGrid w:val="0"/>
              <w:spacing w:line="360" w:lineRule="auto"/>
              <w:ind w:firstLine="480" w:firstLineChars="200"/>
              <w:rPr>
                <w:rFonts w:hint="eastAsia" w:cs="Times New Roman"/>
                <w:color w:val="auto"/>
                <w:kern w:val="0"/>
                <w:sz w:val="24"/>
                <w:highlight w:val="none"/>
                <w:lang w:val="en-US" w:eastAsia="zh-CN"/>
              </w:rPr>
            </w:pPr>
            <w:r>
              <w:rPr>
                <w:rFonts w:hint="eastAsia" w:cs="Times New Roman"/>
                <w:color w:val="auto"/>
                <w:kern w:val="0"/>
                <w:sz w:val="24"/>
                <w:highlight w:val="none"/>
                <w:lang w:val="en-US" w:eastAsia="zh-CN"/>
              </w:rPr>
              <w:t>本项目产生挥的发性有机废气包括部分设备容器擦洗使用乙醇、软包电芯研发实验过程制浆、涂布干燥使用N-甲基吡咯烷酮、注液使用碳酸二乙酯、碳酸丙烯酯产生的挥发性有机物。</w:t>
            </w:r>
          </w:p>
          <w:p w14:paraId="78B7BA7D">
            <w:pPr>
              <w:numPr>
                <w:ilvl w:val="0"/>
                <w:numId w:val="0"/>
              </w:numPr>
              <w:adjustRightInd w:val="0"/>
              <w:snapToGrid w:val="0"/>
              <w:spacing w:line="360" w:lineRule="auto"/>
              <w:ind w:firstLine="480" w:firstLineChars="200"/>
              <w:rPr>
                <w:rFonts w:hint="eastAsia" w:ascii="Times New Roman" w:hAnsi="Times New Roman" w:cs="Times New Roman"/>
                <w:color w:val="auto"/>
                <w:sz w:val="24"/>
                <w:highlight w:val="none"/>
                <w:lang w:val="en-US" w:eastAsia="zh-CN"/>
              </w:rPr>
            </w:pPr>
            <w:r>
              <w:rPr>
                <w:rFonts w:hint="eastAsia" w:cs="Times New Roman"/>
                <w:color w:val="auto"/>
                <w:kern w:val="0"/>
                <w:sz w:val="24"/>
                <w:highlight w:val="none"/>
                <w:lang w:val="en-US" w:eastAsia="zh-CN"/>
              </w:rPr>
              <w:t>部分设备容器在经水洗后，根据清洁情况与实验要求，需要使用乙醇进行擦洗处理。根据建设单位提供的资料，平均每天用乙醇擦洗时间约30min，年工作250d，用无水乙醇5L/a（3.945kg/a、0.00789</w:t>
            </w:r>
            <w:r>
              <w:rPr>
                <w:rFonts w:hint="default" w:ascii="Times New Roman" w:hAnsi="Times New Roman" w:eastAsia="宋体" w:cs="Times New Roman"/>
                <w:color w:val="auto"/>
                <w:sz w:val="24"/>
                <w:highlight w:val="none"/>
                <w:lang w:val="en-US" w:eastAsia="zh-CN"/>
              </w:rPr>
              <w:t>kg/h）</w:t>
            </w:r>
            <w:r>
              <w:rPr>
                <w:rFonts w:hint="eastAsia" w:ascii="Times New Roman" w:hAnsi="Times New Roman" w:cs="Times New Roman"/>
                <w:color w:val="auto"/>
                <w:sz w:val="24"/>
                <w:highlight w:val="none"/>
                <w:lang w:val="en-US" w:eastAsia="zh-CN"/>
              </w:rPr>
              <w:t>。</w:t>
            </w:r>
          </w:p>
          <w:p w14:paraId="00DD6B60">
            <w:pPr>
              <w:numPr>
                <w:ilvl w:val="0"/>
                <w:numId w:val="0"/>
              </w:numPr>
              <w:adjustRightInd w:val="0"/>
              <w:snapToGrid w:val="0"/>
              <w:spacing w:line="360" w:lineRule="auto"/>
              <w:ind w:firstLine="480" w:firstLineChars="200"/>
              <w:rPr>
                <w:rFonts w:hint="default" w:ascii="Times New Roman" w:hAnsi="Times New Roman" w:cs="Times New Roman"/>
                <w:color w:val="auto"/>
                <w:sz w:val="24"/>
                <w:highlight w:val="none"/>
                <w:lang w:val="en-US" w:eastAsia="zh-CN"/>
              </w:rPr>
            </w:pPr>
            <w:r>
              <w:rPr>
                <w:rFonts w:hint="eastAsia" w:cs="Times New Roman"/>
                <w:color w:val="auto"/>
                <w:kern w:val="0"/>
                <w:sz w:val="24"/>
                <w:highlight w:val="none"/>
                <w:lang w:val="en-US" w:eastAsia="zh-CN"/>
              </w:rPr>
              <w:t>软包电芯研发实验正负极浆料制浆过程使用N-甲基吡咯烷酮分别与前驱体、石墨、羟甲基纤维素钠、纯水在密闭搅拌机中搅拌制备正负极浆料。正负极片涂布后在真空干燥箱中干燥。N-甲基吡咯烷酮在经过制浆、涂布干燥后全部挥发，根据建设单位提供的资料，每批软包电芯研发实验浆料制备、涂布干燥时间约2h，年研发20批次，用N-甲基吡咯烷酮30L/a（30.84kg/a、0.06168</w:t>
            </w:r>
            <w:r>
              <w:rPr>
                <w:rFonts w:hint="default" w:ascii="Times New Roman" w:hAnsi="Times New Roman" w:eastAsia="宋体" w:cs="Times New Roman"/>
                <w:color w:val="auto"/>
                <w:sz w:val="24"/>
                <w:highlight w:val="none"/>
                <w:lang w:val="en-US" w:eastAsia="zh-CN"/>
              </w:rPr>
              <w:t>kg/h）</w:t>
            </w:r>
            <w:r>
              <w:rPr>
                <w:rFonts w:hint="eastAsia" w:ascii="Times New Roman" w:hAnsi="Times New Roman" w:cs="Times New Roman"/>
                <w:color w:val="auto"/>
                <w:sz w:val="24"/>
                <w:highlight w:val="none"/>
                <w:lang w:val="en-US" w:eastAsia="zh-CN"/>
              </w:rPr>
              <w:t>。</w:t>
            </w:r>
          </w:p>
          <w:p w14:paraId="23F651F5">
            <w:pPr>
              <w:numPr>
                <w:ilvl w:val="0"/>
                <w:numId w:val="0"/>
              </w:numPr>
              <w:adjustRightInd w:val="0"/>
              <w:snapToGrid w:val="0"/>
              <w:spacing w:line="360" w:lineRule="auto"/>
              <w:ind w:firstLine="480" w:firstLineChars="200"/>
              <w:rPr>
                <w:rFonts w:hint="eastAsia" w:ascii="Times New Roman" w:hAnsi="Times New Roman" w:cs="Times New Roman"/>
                <w:color w:val="auto"/>
                <w:sz w:val="24"/>
                <w:highlight w:val="none"/>
                <w:lang w:val="en-US" w:eastAsia="zh-CN"/>
              </w:rPr>
            </w:pPr>
            <w:r>
              <w:rPr>
                <w:rFonts w:hint="eastAsia" w:cs="Times New Roman"/>
                <w:color w:val="auto"/>
                <w:kern w:val="0"/>
                <w:sz w:val="24"/>
                <w:highlight w:val="none"/>
                <w:lang w:val="en-US" w:eastAsia="zh-CN"/>
              </w:rPr>
              <w:t>注液</w:t>
            </w:r>
            <w:r>
              <w:rPr>
                <w:rFonts w:hint="eastAsia" w:cs="Times New Roman"/>
                <w:b w:val="0"/>
                <w:bCs/>
                <w:color w:val="auto"/>
                <w:sz w:val="24"/>
                <w:highlight w:val="none"/>
                <w:lang w:val="en-US" w:eastAsia="zh-CN"/>
              </w:rPr>
              <w:t>在密闭的手套箱内进行，向封装电芯的铝塑膜内使用滴管手工滴加碳酸二乙酯、碳酸聚丙烯酯电解液，形成实验电池。手套箱全密闭，内充氩气，内部气体经自带的吸附剂、活性炭循环吸附，保持手套箱内部干燥、洁净环境。</w:t>
            </w:r>
            <w:r>
              <w:rPr>
                <w:rFonts w:hint="eastAsia" w:cs="Times New Roman"/>
                <w:color w:val="auto"/>
                <w:kern w:val="0"/>
                <w:sz w:val="24"/>
                <w:highlight w:val="none"/>
                <w:lang w:val="en-US" w:eastAsia="zh-CN"/>
              </w:rPr>
              <w:t>根据建设单位提供的资料，每批软包电芯研发实验注液时间约1h，年研发20批次，用碳酸二乙酯3L/a、碳酸丙烯酯3L/a（合计6.6207kg/a、0.0265</w:t>
            </w:r>
            <w:r>
              <w:rPr>
                <w:rFonts w:hint="default" w:ascii="Times New Roman" w:hAnsi="Times New Roman" w:eastAsia="宋体" w:cs="Times New Roman"/>
                <w:color w:val="auto"/>
                <w:sz w:val="24"/>
                <w:highlight w:val="none"/>
                <w:lang w:val="en-US" w:eastAsia="zh-CN"/>
              </w:rPr>
              <w:t>kg/h）</w:t>
            </w:r>
            <w:r>
              <w:rPr>
                <w:rFonts w:hint="eastAsia" w:ascii="Times New Roman" w:hAnsi="Times New Roman" w:cs="Times New Roman"/>
                <w:color w:val="auto"/>
                <w:sz w:val="24"/>
                <w:highlight w:val="none"/>
                <w:lang w:val="en-US" w:eastAsia="zh-CN"/>
              </w:rPr>
              <w:t>。</w:t>
            </w:r>
          </w:p>
          <w:p w14:paraId="7C1D6B4E">
            <w:pPr>
              <w:numPr>
                <w:ilvl w:val="0"/>
                <w:numId w:val="0"/>
              </w:numPr>
              <w:adjustRightInd w:val="0"/>
              <w:snapToGrid w:val="0"/>
              <w:spacing w:line="360" w:lineRule="auto"/>
              <w:ind w:firstLine="482" w:firstLineChars="200"/>
              <w:rPr>
                <w:rFonts w:hint="eastAsia" w:ascii="Times New Roman" w:hAnsi="Times New Roman" w:eastAsia="宋体" w:cs="Times New Roman"/>
                <w:b/>
                <w:bCs/>
                <w:color w:val="auto"/>
                <w:kern w:val="0"/>
                <w:sz w:val="24"/>
                <w:highlight w:val="none"/>
                <w:lang w:val="en-US" w:eastAsia="zh-CN"/>
              </w:rPr>
            </w:pPr>
            <w:r>
              <w:rPr>
                <w:rFonts w:hint="eastAsia" w:cs="Times New Roman"/>
                <w:b/>
                <w:bCs/>
                <w:color w:val="auto"/>
                <w:kern w:val="0"/>
                <w:sz w:val="24"/>
                <w:highlight w:val="none"/>
                <w:lang w:val="en-US" w:eastAsia="zh-CN"/>
              </w:rPr>
              <w:t>2、</w:t>
            </w:r>
            <w:r>
              <w:rPr>
                <w:rFonts w:hint="eastAsia" w:ascii="Times New Roman" w:hAnsi="Times New Roman" w:eastAsia="宋体" w:cs="Times New Roman"/>
                <w:b/>
                <w:bCs/>
                <w:color w:val="auto"/>
                <w:kern w:val="0"/>
                <w:sz w:val="24"/>
                <w:highlight w:val="none"/>
                <w:lang w:val="en-US" w:eastAsia="zh-CN"/>
              </w:rPr>
              <w:t>废气产排污情况</w:t>
            </w:r>
          </w:p>
          <w:p w14:paraId="7DD866E4">
            <w:pPr>
              <w:numPr>
                <w:ilvl w:val="0"/>
                <w:numId w:val="0"/>
              </w:numPr>
              <w:adjustRightInd w:val="0"/>
              <w:snapToGrid w:val="0"/>
              <w:spacing w:line="360" w:lineRule="auto"/>
              <w:ind w:firstLine="480" w:firstLineChars="200"/>
              <w:rPr>
                <w:rFonts w:hint="default" w:cs="Times New Roman"/>
                <w:color w:val="auto"/>
                <w:kern w:val="0"/>
                <w:sz w:val="24"/>
                <w:highlight w:val="none"/>
                <w:lang w:val="en-US" w:eastAsia="zh-CN"/>
              </w:rPr>
            </w:pPr>
            <w:r>
              <w:rPr>
                <w:rFonts w:hint="eastAsia" w:cs="Times New Roman"/>
                <w:color w:val="auto"/>
                <w:kern w:val="0"/>
                <w:sz w:val="24"/>
                <w:highlight w:val="none"/>
                <w:lang w:val="en-US" w:eastAsia="zh-CN"/>
              </w:rPr>
              <w:t>（1）颗粒物</w:t>
            </w:r>
          </w:p>
          <w:p w14:paraId="6B0102AF">
            <w:pPr>
              <w:numPr>
                <w:ilvl w:val="0"/>
                <w:numId w:val="0"/>
              </w:numPr>
              <w:adjustRightInd w:val="0"/>
              <w:snapToGrid w:val="0"/>
              <w:spacing w:line="360" w:lineRule="auto"/>
              <w:ind w:firstLine="480" w:firstLineChars="200"/>
              <w:rPr>
                <w:rFonts w:hint="default" w:ascii="Times New Roman" w:hAnsi="Times New Roman" w:cs="Times New Roman"/>
                <w:color w:val="auto"/>
                <w:sz w:val="24"/>
                <w:highlight w:val="none"/>
                <w:lang w:val="en-US" w:eastAsia="zh-CN"/>
              </w:rPr>
            </w:pPr>
            <w:r>
              <w:rPr>
                <w:rFonts w:hint="eastAsia" w:cs="Times New Roman"/>
                <w:color w:val="auto"/>
                <w:kern w:val="0"/>
                <w:sz w:val="24"/>
                <w:highlight w:val="none"/>
                <w:lang w:val="en-US" w:eastAsia="zh-CN"/>
              </w:rPr>
              <w:t>电池材料研发实验前驱体制备过程中，试验型喷雾干燥机</w:t>
            </w:r>
            <w:r>
              <w:rPr>
                <w:rFonts w:hint="default" w:ascii="Times New Roman" w:hAnsi="Times New Roman" w:eastAsia="宋体" w:cs="Times New Roman"/>
                <w:color w:val="auto"/>
                <w:sz w:val="24"/>
                <w:highlight w:val="none"/>
                <w:lang w:val="en-US" w:eastAsia="zh-CN"/>
              </w:rPr>
              <w:t>自带旋风+布袋收集</w:t>
            </w:r>
            <w:r>
              <w:rPr>
                <w:rFonts w:hint="eastAsia" w:ascii="Times New Roman" w:hAnsi="Times New Roman" w:cs="Times New Roman"/>
                <w:color w:val="auto"/>
                <w:sz w:val="24"/>
                <w:highlight w:val="none"/>
                <w:lang w:val="en-US" w:eastAsia="zh-CN"/>
              </w:rPr>
              <w:t>设施</w:t>
            </w:r>
            <w:r>
              <w:rPr>
                <w:rFonts w:hint="default" w:ascii="Times New Roman" w:hAnsi="Times New Roman" w:eastAsia="宋体" w:cs="Times New Roman"/>
                <w:color w:val="auto"/>
                <w:sz w:val="24"/>
                <w:highlight w:val="none"/>
                <w:lang w:val="en-US" w:eastAsia="zh-CN"/>
              </w:rPr>
              <w:t>，旋风+布袋</w:t>
            </w:r>
            <w:r>
              <w:rPr>
                <w:rFonts w:hint="eastAsia" w:ascii="Times New Roman" w:hAnsi="Times New Roman" w:cs="Times New Roman"/>
                <w:color w:val="auto"/>
                <w:sz w:val="24"/>
                <w:highlight w:val="none"/>
                <w:lang w:val="en-US" w:eastAsia="zh-CN"/>
              </w:rPr>
              <w:t>综合</w:t>
            </w:r>
            <w:r>
              <w:rPr>
                <w:rFonts w:hint="default" w:ascii="Times New Roman" w:hAnsi="Times New Roman" w:eastAsia="宋体" w:cs="Times New Roman"/>
                <w:color w:val="auto"/>
                <w:sz w:val="24"/>
                <w:highlight w:val="none"/>
                <w:lang w:val="en-US" w:eastAsia="zh-CN"/>
              </w:rPr>
              <w:t>收集效率99%，喷雾干燥颗粒物产生量为0.</w:t>
            </w:r>
            <w:r>
              <w:rPr>
                <w:rFonts w:hint="eastAsia" w:ascii="Times New Roman" w:hAnsi="Times New Roman" w:cs="Times New Roman"/>
                <w:color w:val="auto"/>
                <w:sz w:val="24"/>
                <w:highlight w:val="none"/>
                <w:lang w:val="en-US" w:eastAsia="zh-CN"/>
              </w:rPr>
              <w:t>0</w:t>
            </w:r>
            <w:r>
              <w:rPr>
                <w:rFonts w:hint="default" w:ascii="Times New Roman" w:hAnsi="Times New Roman" w:eastAsia="宋体" w:cs="Times New Roman"/>
                <w:color w:val="auto"/>
                <w:sz w:val="24"/>
                <w:highlight w:val="none"/>
                <w:lang w:val="en-US" w:eastAsia="zh-CN"/>
              </w:rPr>
              <w:t>2kg/a（0.00</w:t>
            </w:r>
            <w:r>
              <w:rPr>
                <w:rFonts w:hint="eastAsia" w:ascii="Times New Roman" w:hAnsi="Times New Roman" w:cs="Times New Roman"/>
                <w:color w:val="auto"/>
                <w:sz w:val="24"/>
                <w:highlight w:val="none"/>
                <w:lang w:val="en-US" w:eastAsia="zh-CN"/>
              </w:rPr>
              <w:t>04</w:t>
            </w:r>
            <w:r>
              <w:rPr>
                <w:rFonts w:hint="default" w:ascii="Times New Roman" w:hAnsi="Times New Roman" w:eastAsia="宋体" w:cs="Times New Roman"/>
                <w:color w:val="auto"/>
                <w:sz w:val="24"/>
                <w:highlight w:val="none"/>
                <w:lang w:val="en-US" w:eastAsia="zh-CN"/>
              </w:rPr>
              <w:t>kg/h）</w:t>
            </w:r>
            <w:r>
              <w:rPr>
                <w:rFonts w:hint="eastAsia" w:ascii="Times New Roman" w:hAnsi="Times New Roman" w:cs="Times New Roman"/>
                <w:color w:val="auto"/>
                <w:sz w:val="24"/>
                <w:highlight w:val="none"/>
                <w:lang w:val="en-US" w:eastAsia="zh-CN"/>
              </w:rPr>
              <w:t>，则颗粒物排放量为</w:t>
            </w:r>
            <w:r>
              <w:rPr>
                <w:rFonts w:hint="default" w:ascii="Times New Roman" w:hAnsi="Times New Roman" w:eastAsia="宋体" w:cs="Times New Roman"/>
                <w:color w:val="auto"/>
                <w:sz w:val="24"/>
                <w:highlight w:val="none"/>
                <w:lang w:val="en-US" w:eastAsia="zh-CN"/>
              </w:rPr>
              <w:t>0.</w:t>
            </w:r>
            <w:r>
              <w:rPr>
                <w:rFonts w:hint="eastAsia" w:ascii="Times New Roman" w:hAnsi="Times New Roman" w:cs="Times New Roman"/>
                <w:color w:val="auto"/>
                <w:sz w:val="24"/>
                <w:highlight w:val="none"/>
                <w:lang w:val="en-US" w:eastAsia="zh-CN"/>
              </w:rPr>
              <w:t>000</w:t>
            </w:r>
            <w:r>
              <w:rPr>
                <w:rFonts w:hint="default" w:ascii="Times New Roman" w:hAnsi="Times New Roman" w:eastAsia="宋体" w:cs="Times New Roman"/>
                <w:color w:val="auto"/>
                <w:sz w:val="24"/>
                <w:highlight w:val="none"/>
                <w:lang w:val="en-US" w:eastAsia="zh-CN"/>
              </w:rPr>
              <w:t>2kg/a（0.00</w:t>
            </w:r>
            <w:r>
              <w:rPr>
                <w:rFonts w:hint="eastAsia" w:ascii="Times New Roman" w:hAnsi="Times New Roman" w:cs="Times New Roman"/>
                <w:color w:val="auto"/>
                <w:sz w:val="24"/>
                <w:highlight w:val="none"/>
                <w:lang w:val="en-US" w:eastAsia="zh-CN"/>
              </w:rPr>
              <w:t>0004</w:t>
            </w:r>
            <w:r>
              <w:rPr>
                <w:rFonts w:hint="default" w:ascii="Times New Roman" w:hAnsi="Times New Roman" w:eastAsia="宋体" w:cs="Times New Roman"/>
                <w:color w:val="auto"/>
                <w:sz w:val="24"/>
                <w:highlight w:val="none"/>
                <w:lang w:val="en-US" w:eastAsia="zh-CN"/>
              </w:rPr>
              <w:t>kg/h）</w:t>
            </w:r>
            <w:r>
              <w:rPr>
                <w:rFonts w:hint="eastAsia" w:ascii="Times New Roman" w:hAnsi="Times New Roman" w:cs="Times New Roman"/>
                <w:color w:val="auto"/>
                <w:sz w:val="24"/>
                <w:highlight w:val="none"/>
                <w:lang w:val="en-US" w:eastAsia="zh-CN"/>
              </w:rPr>
              <w:t>。本项目喷雾干燥在破碎间内进行，实验过程保持房间密闭，喷雾干燥过程产生的颗粒物无组织排放。</w:t>
            </w:r>
          </w:p>
          <w:p w14:paraId="0E75A4DC">
            <w:pPr>
              <w:numPr>
                <w:ilvl w:val="0"/>
                <w:numId w:val="0"/>
              </w:numPr>
              <w:adjustRightInd w:val="0"/>
              <w:snapToGrid w:val="0"/>
              <w:spacing w:line="360" w:lineRule="auto"/>
              <w:ind w:firstLine="480" w:firstLineChars="200"/>
              <w:rPr>
                <w:rFonts w:hint="default" w:ascii="Times New Roman" w:hAnsi="Times New Roman" w:cs="Times New Roman"/>
                <w:color w:val="auto"/>
                <w:sz w:val="24"/>
                <w:highlight w:val="none"/>
                <w:lang w:val="en-US" w:eastAsia="zh-CN"/>
              </w:rPr>
            </w:pPr>
            <w:r>
              <w:rPr>
                <w:rFonts w:hint="eastAsia" w:ascii="Times New Roman" w:hAnsi="Times New Roman" w:cs="Times New Roman"/>
                <w:color w:val="auto"/>
                <w:sz w:val="24"/>
                <w:highlight w:val="none"/>
                <w:lang w:val="en-US" w:eastAsia="zh-CN"/>
              </w:rPr>
              <w:t>（2）挥发性有机物</w:t>
            </w:r>
          </w:p>
          <w:p w14:paraId="57FA2047">
            <w:pPr>
              <w:numPr>
                <w:ilvl w:val="0"/>
                <w:numId w:val="0"/>
              </w:numPr>
              <w:adjustRightInd w:val="0"/>
              <w:snapToGrid w:val="0"/>
              <w:spacing w:line="360" w:lineRule="auto"/>
              <w:ind w:firstLine="480" w:firstLineChars="200"/>
              <w:rPr>
                <w:rFonts w:hint="eastAsia" w:ascii="Times New Roman" w:hAnsi="Times New Roman" w:cs="Times New Roman"/>
                <w:color w:val="auto"/>
                <w:sz w:val="24"/>
                <w:highlight w:val="none"/>
                <w:lang w:val="en-US" w:eastAsia="zh-CN"/>
              </w:rPr>
            </w:pPr>
            <w:r>
              <w:rPr>
                <w:rFonts w:hint="eastAsia" w:cs="Times New Roman"/>
                <w:color w:val="auto"/>
                <w:kern w:val="0"/>
                <w:sz w:val="24"/>
                <w:highlight w:val="none"/>
                <w:lang w:val="en-US" w:eastAsia="zh-CN"/>
              </w:rPr>
              <w:t>部分设备容器用乙醇擦拭产生的挥发性有机物排放量为3.945kg/a（0.00789</w:t>
            </w:r>
            <w:r>
              <w:rPr>
                <w:rFonts w:hint="default" w:ascii="Times New Roman" w:hAnsi="Times New Roman" w:eastAsia="宋体" w:cs="Times New Roman"/>
                <w:color w:val="auto"/>
                <w:sz w:val="24"/>
                <w:highlight w:val="none"/>
                <w:lang w:val="en-US" w:eastAsia="zh-CN"/>
              </w:rPr>
              <w:t>kg/h）</w:t>
            </w:r>
            <w:r>
              <w:rPr>
                <w:rFonts w:hint="eastAsia" w:ascii="Times New Roman" w:hAnsi="Times New Roman" w:cs="Times New Roman"/>
                <w:color w:val="auto"/>
                <w:sz w:val="24"/>
                <w:highlight w:val="none"/>
                <w:lang w:val="en-US" w:eastAsia="zh-CN"/>
              </w:rPr>
              <w:t>，本项目擦拭地点、擦拭时间不固定，实验过程保持房间密闭，擦拭过程产生的挥发性有机物无组织排放。</w:t>
            </w:r>
          </w:p>
          <w:p w14:paraId="55878773">
            <w:pPr>
              <w:numPr>
                <w:ilvl w:val="0"/>
                <w:numId w:val="0"/>
              </w:numPr>
              <w:adjustRightInd w:val="0"/>
              <w:snapToGrid w:val="0"/>
              <w:spacing w:line="360" w:lineRule="auto"/>
              <w:ind w:firstLine="480" w:firstLineChars="200"/>
              <w:rPr>
                <w:rFonts w:hint="default" w:ascii="Times New Roman" w:hAnsi="Times New Roman" w:cs="Times New Roman"/>
                <w:color w:val="auto"/>
                <w:kern w:val="0"/>
                <w:sz w:val="24"/>
                <w:highlight w:val="none"/>
                <w:lang w:val="en-US" w:eastAsia="zh-CN"/>
              </w:rPr>
            </w:pPr>
            <w:r>
              <w:rPr>
                <w:rFonts w:hint="eastAsia" w:ascii="Times New Roman" w:hAnsi="Times New Roman" w:cs="Times New Roman"/>
                <w:color w:val="auto"/>
                <w:kern w:val="0"/>
                <w:sz w:val="24"/>
                <w:highlight w:val="none"/>
                <w:lang w:val="en-US" w:eastAsia="zh-CN"/>
              </w:rPr>
              <w:t>制浆在制浆间通风柜内进行，实验期间制浆间密闭，制浆过程产生的挥发性有机物收集效率按100%计算。涂布干燥使用真空干燥箱，干燥箱排气口直接连接转轮式NMP回收系统，涂布干燥过程产生的挥发性有机物收集效率按100%计算。软包电芯研发实验正负极浆料制浆及涂布干燥过程用N-甲基吡咯烷酮30.84kg/a（0.06168</w:t>
            </w:r>
            <w:r>
              <w:rPr>
                <w:rFonts w:hint="default" w:ascii="Times New Roman" w:hAnsi="Times New Roman" w:cs="Times New Roman"/>
                <w:color w:val="auto"/>
                <w:kern w:val="0"/>
                <w:sz w:val="24"/>
                <w:highlight w:val="none"/>
                <w:lang w:val="en-US" w:eastAsia="zh-CN"/>
              </w:rPr>
              <w:t>kg/h）</w:t>
            </w:r>
            <w:r>
              <w:rPr>
                <w:rFonts w:hint="eastAsia" w:ascii="Times New Roman" w:hAnsi="Times New Roman" w:cs="Times New Roman"/>
                <w:color w:val="auto"/>
                <w:kern w:val="0"/>
                <w:sz w:val="24"/>
                <w:highlight w:val="none"/>
                <w:lang w:val="en-US" w:eastAsia="zh-CN"/>
              </w:rPr>
              <w:t>。根据《N-甲基吡咯烷酮(NMP)废气回收及废液循环利用装置技术规范》（GB/T46839-2025），采用低温冷凝加分子筛转轮吸附工艺处理NMP废气，</w:t>
            </w:r>
            <w:r>
              <w:rPr>
                <w:rFonts w:hint="eastAsia" w:cs="Times New Roman"/>
                <w:color w:val="auto"/>
                <w:kern w:val="0"/>
                <w:sz w:val="24"/>
                <w:highlight w:val="none"/>
                <w:lang w:val="en-US" w:eastAsia="zh-CN"/>
              </w:rPr>
              <w:t>N-甲基吡咯烷酮回收率90-95%，本项目回收率以90%计。则制浆及涂布干燥过程产生的挥发性有机物</w:t>
            </w:r>
            <w:r>
              <w:rPr>
                <w:rFonts w:hint="eastAsia" w:ascii="Times New Roman" w:hAnsi="Times New Roman" w:cs="Times New Roman"/>
                <w:color w:val="auto"/>
                <w:kern w:val="0"/>
                <w:sz w:val="24"/>
                <w:highlight w:val="none"/>
                <w:lang w:val="en-US" w:eastAsia="zh-CN"/>
              </w:rPr>
              <w:t>3.084kg/a（0.006168</w:t>
            </w:r>
            <w:r>
              <w:rPr>
                <w:rFonts w:hint="default" w:ascii="Times New Roman" w:hAnsi="Times New Roman" w:cs="Times New Roman"/>
                <w:color w:val="auto"/>
                <w:kern w:val="0"/>
                <w:sz w:val="24"/>
                <w:highlight w:val="none"/>
                <w:lang w:val="en-US" w:eastAsia="zh-CN"/>
              </w:rPr>
              <w:t>kg/h）</w:t>
            </w:r>
            <w:r>
              <w:rPr>
                <w:rFonts w:hint="eastAsia" w:ascii="Times New Roman" w:hAnsi="Times New Roman" w:cs="Times New Roman"/>
                <w:color w:val="auto"/>
                <w:kern w:val="0"/>
                <w:sz w:val="24"/>
                <w:highlight w:val="none"/>
                <w:lang w:val="en-US" w:eastAsia="zh-CN"/>
              </w:rPr>
              <w:t>。该过程产生的挥发性有机物无组织排。</w:t>
            </w:r>
          </w:p>
          <w:p w14:paraId="7024E99D">
            <w:pPr>
              <w:numPr>
                <w:ilvl w:val="0"/>
                <w:numId w:val="0"/>
              </w:numPr>
              <w:adjustRightInd w:val="0"/>
              <w:snapToGrid w:val="0"/>
              <w:spacing w:line="360" w:lineRule="auto"/>
              <w:ind w:firstLine="480" w:firstLineChars="200"/>
              <w:rPr>
                <w:rFonts w:hint="eastAsia" w:ascii="Times New Roman" w:hAnsi="Times New Roman" w:cs="Times New Roman"/>
                <w:color w:val="auto"/>
                <w:sz w:val="24"/>
                <w:highlight w:val="none"/>
                <w:lang w:val="en-US" w:eastAsia="zh-CN"/>
              </w:rPr>
            </w:pPr>
            <w:r>
              <w:rPr>
                <w:rFonts w:hint="eastAsia" w:cs="Times New Roman"/>
                <w:color w:val="auto"/>
                <w:kern w:val="0"/>
                <w:sz w:val="24"/>
                <w:highlight w:val="none"/>
                <w:lang w:val="en-US" w:eastAsia="zh-CN"/>
              </w:rPr>
              <w:t>注液</w:t>
            </w:r>
            <w:r>
              <w:rPr>
                <w:rFonts w:hint="eastAsia" w:cs="Times New Roman"/>
                <w:b w:val="0"/>
                <w:bCs/>
                <w:color w:val="auto"/>
                <w:sz w:val="24"/>
                <w:highlight w:val="none"/>
                <w:lang w:val="en-US" w:eastAsia="zh-CN"/>
              </w:rPr>
              <w:t>在密闭的手套箱内进行，手套箱内部气体经自带的吸附剂、活性炭循环吸附，该过程无废气排放</w:t>
            </w:r>
            <w:r>
              <w:rPr>
                <w:rFonts w:hint="eastAsia" w:ascii="Times New Roman" w:hAnsi="Times New Roman" w:cs="Times New Roman"/>
                <w:color w:val="auto"/>
                <w:sz w:val="24"/>
                <w:highlight w:val="none"/>
                <w:lang w:val="en-US" w:eastAsia="zh-CN"/>
              </w:rPr>
              <w:t>。</w:t>
            </w:r>
          </w:p>
          <w:p w14:paraId="1925F94C">
            <w:pPr>
              <w:numPr>
                <w:ilvl w:val="0"/>
                <w:numId w:val="0"/>
              </w:numPr>
              <w:adjustRightInd w:val="0"/>
              <w:snapToGrid w:val="0"/>
              <w:spacing w:line="360" w:lineRule="auto"/>
              <w:ind w:firstLine="480" w:firstLineChars="200"/>
              <w:rPr>
                <w:rFonts w:hint="default" w:ascii="Times New Roman" w:hAnsi="Times New Roman" w:cs="Times New Roman"/>
                <w:color w:val="auto"/>
                <w:sz w:val="24"/>
                <w:highlight w:val="none"/>
                <w:lang w:val="en-US" w:eastAsia="zh-CN"/>
              </w:rPr>
            </w:pPr>
            <w:r>
              <w:rPr>
                <w:rFonts w:hint="eastAsia" w:ascii="Times New Roman" w:hAnsi="Times New Roman" w:cs="Times New Roman"/>
                <w:color w:val="auto"/>
                <w:sz w:val="24"/>
                <w:highlight w:val="none"/>
                <w:lang w:val="en-US" w:eastAsia="zh-CN"/>
              </w:rPr>
              <w:t>（3）环境影响预测分析</w:t>
            </w:r>
          </w:p>
          <w:p w14:paraId="0F8B4B4F">
            <w:pPr>
              <w:numPr>
                <w:ilvl w:val="0"/>
                <w:numId w:val="0"/>
              </w:numPr>
              <w:adjustRightInd w:val="0"/>
              <w:snapToGrid w:val="0"/>
              <w:spacing w:line="360" w:lineRule="auto"/>
              <w:ind w:firstLine="480" w:firstLineChars="200"/>
              <w:rPr>
                <w:rFonts w:hint="eastAsia" w:ascii="Times New Roman" w:hAnsi="Times New Roman" w:cs="Times New Roman"/>
                <w:color w:val="auto"/>
                <w:kern w:val="0"/>
                <w:sz w:val="24"/>
                <w:highlight w:val="none"/>
                <w:lang w:val="en-US" w:eastAsia="zh-CN"/>
              </w:rPr>
            </w:pPr>
            <w:r>
              <w:rPr>
                <w:rFonts w:hint="eastAsia" w:ascii="Times New Roman" w:hAnsi="Times New Roman" w:cs="Times New Roman"/>
                <w:color w:val="auto"/>
                <w:kern w:val="0"/>
                <w:sz w:val="24"/>
                <w:highlight w:val="none"/>
                <w:lang w:val="en-US" w:eastAsia="zh-CN"/>
              </w:rPr>
              <w:t>本项目废气产生情况汇总见下表。</w:t>
            </w:r>
          </w:p>
          <w:p w14:paraId="2957DAFA">
            <w:pPr>
              <w:pStyle w:val="59"/>
              <w:numPr>
                <w:ilvl w:val="0"/>
                <w:numId w:val="20"/>
              </w:numPr>
              <w:bidi w:val="0"/>
              <w:ind w:left="425" w:leftChars="0" w:hanging="425" w:firstLineChars="0"/>
              <w:rPr>
                <w:rFonts w:hint="eastAsia" w:ascii="Times New Roman" w:hAnsi="Times New Roman" w:cs="Times New Roman"/>
                <w:color w:val="auto"/>
                <w:kern w:val="0"/>
                <w:sz w:val="24"/>
                <w:highlight w:val="none"/>
                <w:lang w:val="en-US" w:eastAsia="zh-CN"/>
              </w:rPr>
            </w:pPr>
            <w:r>
              <w:rPr>
                <w:rFonts w:hint="eastAsia" w:ascii="Times New Roman" w:hAnsi="Times New Roman" w:cs="Times New Roman"/>
                <w:color w:val="auto"/>
                <w:kern w:val="0"/>
                <w:sz w:val="24"/>
                <w:highlight w:val="none"/>
                <w:lang w:val="en-US" w:eastAsia="zh-CN"/>
              </w:rPr>
              <w:t>项目废气排放情况汇总表</w:t>
            </w:r>
          </w:p>
          <w:tbl>
            <w:tblPr>
              <w:tblStyle w:val="24"/>
              <w:tblW w:w="7568" w:type="dxa"/>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69"/>
              <w:gridCol w:w="1320"/>
              <w:gridCol w:w="1860"/>
              <w:gridCol w:w="1740"/>
              <w:gridCol w:w="1879"/>
            </w:tblGrid>
            <w:tr w14:paraId="4363DE9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69" w:type="dxa"/>
                  <w:tcBorders>
                    <w:tl2br w:val="nil"/>
                    <w:tr2bl w:val="nil"/>
                  </w:tcBorders>
                  <w:vAlign w:val="center"/>
                </w:tcPr>
                <w:p w14:paraId="0E6BFED0">
                  <w:pPr>
                    <w:numPr>
                      <w:ilvl w:val="0"/>
                      <w:numId w:val="0"/>
                    </w:numPr>
                    <w:adjustRightInd w:val="0"/>
                    <w:snapToGrid w:val="0"/>
                    <w:spacing w:line="240" w:lineRule="auto"/>
                    <w:jc w:val="center"/>
                    <w:rPr>
                      <w:rFonts w:hint="default" w:ascii="Times New Roman" w:hAnsi="Times New Roman" w:cs="Times New Roman"/>
                      <w:b/>
                      <w:bCs/>
                      <w:color w:val="auto"/>
                      <w:kern w:val="0"/>
                      <w:sz w:val="21"/>
                      <w:szCs w:val="21"/>
                      <w:highlight w:val="none"/>
                      <w:vertAlign w:val="baseline"/>
                      <w:lang w:val="en-US" w:eastAsia="zh-CN"/>
                    </w:rPr>
                  </w:pPr>
                  <w:r>
                    <w:rPr>
                      <w:rFonts w:hint="eastAsia" w:ascii="Times New Roman" w:hAnsi="Times New Roman" w:cs="Times New Roman"/>
                      <w:b/>
                      <w:bCs/>
                      <w:color w:val="auto"/>
                      <w:kern w:val="0"/>
                      <w:sz w:val="21"/>
                      <w:szCs w:val="21"/>
                      <w:highlight w:val="none"/>
                      <w:vertAlign w:val="baseline"/>
                      <w:lang w:val="en-US" w:eastAsia="zh-CN"/>
                    </w:rPr>
                    <w:t>序号</w:t>
                  </w:r>
                </w:p>
              </w:tc>
              <w:tc>
                <w:tcPr>
                  <w:tcW w:w="1320" w:type="dxa"/>
                  <w:tcBorders>
                    <w:tl2br w:val="nil"/>
                    <w:tr2bl w:val="nil"/>
                  </w:tcBorders>
                  <w:vAlign w:val="center"/>
                </w:tcPr>
                <w:p w14:paraId="39632DF6">
                  <w:pPr>
                    <w:numPr>
                      <w:ilvl w:val="0"/>
                      <w:numId w:val="0"/>
                    </w:numPr>
                    <w:adjustRightInd w:val="0"/>
                    <w:snapToGrid w:val="0"/>
                    <w:spacing w:line="240" w:lineRule="auto"/>
                    <w:jc w:val="center"/>
                    <w:rPr>
                      <w:rFonts w:hint="default" w:ascii="Times New Roman" w:hAnsi="Times New Roman" w:cs="Times New Roman"/>
                      <w:b/>
                      <w:bCs/>
                      <w:color w:val="auto"/>
                      <w:kern w:val="0"/>
                      <w:sz w:val="21"/>
                      <w:szCs w:val="21"/>
                      <w:highlight w:val="none"/>
                      <w:vertAlign w:val="baseline"/>
                      <w:lang w:val="en-US" w:eastAsia="zh-CN"/>
                    </w:rPr>
                  </w:pPr>
                  <w:r>
                    <w:rPr>
                      <w:rFonts w:hint="eastAsia" w:ascii="Times New Roman" w:hAnsi="Times New Roman" w:cs="Times New Roman"/>
                      <w:b/>
                      <w:bCs/>
                      <w:color w:val="auto"/>
                      <w:kern w:val="0"/>
                      <w:sz w:val="21"/>
                      <w:szCs w:val="21"/>
                      <w:highlight w:val="none"/>
                      <w:vertAlign w:val="baseline"/>
                      <w:lang w:val="en-US" w:eastAsia="zh-CN"/>
                    </w:rPr>
                    <w:t>排放形式</w:t>
                  </w:r>
                </w:p>
              </w:tc>
              <w:tc>
                <w:tcPr>
                  <w:tcW w:w="1860" w:type="dxa"/>
                  <w:tcBorders>
                    <w:tl2br w:val="nil"/>
                    <w:tr2bl w:val="nil"/>
                  </w:tcBorders>
                  <w:vAlign w:val="center"/>
                </w:tcPr>
                <w:p w14:paraId="630CE0A0">
                  <w:pPr>
                    <w:numPr>
                      <w:ilvl w:val="0"/>
                      <w:numId w:val="0"/>
                    </w:numPr>
                    <w:adjustRightInd w:val="0"/>
                    <w:snapToGrid w:val="0"/>
                    <w:spacing w:line="240" w:lineRule="auto"/>
                    <w:jc w:val="center"/>
                    <w:rPr>
                      <w:rFonts w:hint="default" w:ascii="Times New Roman" w:hAnsi="Times New Roman" w:cs="Times New Roman"/>
                      <w:b/>
                      <w:bCs/>
                      <w:color w:val="auto"/>
                      <w:kern w:val="0"/>
                      <w:sz w:val="21"/>
                      <w:szCs w:val="21"/>
                      <w:highlight w:val="none"/>
                      <w:vertAlign w:val="baseline"/>
                      <w:lang w:val="en-US" w:eastAsia="zh-CN"/>
                    </w:rPr>
                  </w:pPr>
                  <w:r>
                    <w:rPr>
                      <w:rFonts w:hint="eastAsia" w:ascii="Times New Roman" w:hAnsi="Times New Roman" w:cs="Times New Roman"/>
                      <w:b/>
                      <w:bCs/>
                      <w:color w:val="auto"/>
                      <w:kern w:val="0"/>
                      <w:sz w:val="21"/>
                      <w:szCs w:val="21"/>
                      <w:highlight w:val="none"/>
                      <w:vertAlign w:val="baseline"/>
                      <w:lang w:val="en-US" w:eastAsia="zh-CN"/>
                    </w:rPr>
                    <w:t>污染物</w:t>
                  </w:r>
                </w:p>
              </w:tc>
              <w:tc>
                <w:tcPr>
                  <w:tcW w:w="1740" w:type="dxa"/>
                  <w:tcBorders>
                    <w:tl2br w:val="nil"/>
                    <w:tr2bl w:val="nil"/>
                  </w:tcBorders>
                  <w:vAlign w:val="center"/>
                </w:tcPr>
                <w:p w14:paraId="74A968EF">
                  <w:pPr>
                    <w:numPr>
                      <w:ilvl w:val="0"/>
                      <w:numId w:val="0"/>
                    </w:numPr>
                    <w:adjustRightInd w:val="0"/>
                    <w:snapToGrid w:val="0"/>
                    <w:spacing w:line="240" w:lineRule="auto"/>
                    <w:jc w:val="center"/>
                    <w:rPr>
                      <w:rFonts w:hint="default" w:ascii="Times New Roman" w:hAnsi="Times New Roman" w:cs="Times New Roman"/>
                      <w:b/>
                      <w:bCs/>
                      <w:color w:val="auto"/>
                      <w:kern w:val="0"/>
                      <w:sz w:val="21"/>
                      <w:szCs w:val="21"/>
                      <w:highlight w:val="none"/>
                      <w:vertAlign w:val="baseline"/>
                      <w:lang w:val="en-US" w:eastAsia="zh-CN"/>
                    </w:rPr>
                  </w:pPr>
                  <w:r>
                    <w:rPr>
                      <w:rFonts w:hint="eastAsia" w:ascii="Times New Roman" w:hAnsi="Times New Roman" w:cs="Times New Roman"/>
                      <w:b/>
                      <w:bCs/>
                      <w:color w:val="auto"/>
                      <w:kern w:val="0"/>
                      <w:sz w:val="21"/>
                      <w:szCs w:val="21"/>
                      <w:highlight w:val="none"/>
                      <w:vertAlign w:val="baseline"/>
                      <w:lang w:val="en-US" w:eastAsia="zh-CN"/>
                    </w:rPr>
                    <w:t>排放量，kg/a</w:t>
                  </w:r>
                </w:p>
              </w:tc>
              <w:tc>
                <w:tcPr>
                  <w:tcW w:w="1879" w:type="dxa"/>
                  <w:tcBorders>
                    <w:tl2br w:val="nil"/>
                    <w:tr2bl w:val="nil"/>
                  </w:tcBorders>
                  <w:vAlign w:val="center"/>
                </w:tcPr>
                <w:p w14:paraId="16E7B956">
                  <w:pPr>
                    <w:numPr>
                      <w:ilvl w:val="0"/>
                      <w:numId w:val="0"/>
                    </w:numPr>
                    <w:adjustRightInd w:val="0"/>
                    <w:snapToGrid w:val="0"/>
                    <w:spacing w:line="240" w:lineRule="auto"/>
                    <w:jc w:val="both"/>
                    <w:rPr>
                      <w:rFonts w:hint="default" w:ascii="Times New Roman" w:hAnsi="Times New Roman" w:cs="Times New Roman"/>
                      <w:b/>
                      <w:bCs/>
                      <w:color w:val="auto"/>
                      <w:kern w:val="0"/>
                      <w:sz w:val="21"/>
                      <w:szCs w:val="21"/>
                      <w:highlight w:val="none"/>
                      <w:vertAlign w:val="baseline"/>
                      <w:lang w:val="en-US" w:eastAsia="zh-CN"/>
                    </w:rPr>
                  </w:pPr>
                  <w:r>
                    <w:rPr>
                      <w:rFonts w:hint="eastAsia" w:ascii="Times New Roman" w:hAnsi="Times New Roman" w:cs="Times New Roman"/>
                      <w:b/>
                      <w:bCs/>
                      <w:color w:val="auto"/>
                      <w:kern w:val="0"/>
                      <w:sz w:val="21"/>
                      <w:szCs w:val="21"/>
                      <w:highlight w:val="none"/>
                      <w:vertAlign w:val="baseline"/>
                      <w:lang w:val="en-US" w:eastAsia="zh-CN"/>
                    </w:rPr>
                    <w:t>排放速率，kg/h</w:t>
                  </w:r>
                </w:p>
              </w:tc>
            </w:tr>
            <w:tr w14:paraId="7100F61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69" w:type="dxa"/>
                  <w:tcBorders>
                    <w:tl2br w:val="nil"/>
                    <w:tr2bl w:val="nil"/>
                  </w:tcBorders>
                  <w:vAlign w:val="center"/>
                </w:tcPr>
                <w:p w14:paraId="7FCA3E8C">
                  <w:pPr>
                    <w:numPr>
                      <w:ilvl w:val="0"/>
                      <w:numId w:val="0"/>
                    </w:numPr>
                    <w:adjustRightInd w:val="0"/>
                    <w:snapToGrid w:val="0"/>
                    <w:spacing w:line="240" w:lineRule="auto"/>
                    <w:jc w:val="center"/>
                    <w:rPr>
                      <w:rFonts w:hint="default" w:ascii="Times New Roman" w:hAnsi="Times New Roman" w:cs="Times New Roman"/>
                      <w:color w:val="auto"/>
                      <w:kern w:val="0"/>
                      <w:sz w:val="21"/>
                      <w:szCs w:val="21"/>
                      <w:highlight w:val="none"/>
                      <w:vertAlign w:val="baseline"/>
                      <w:lang w:val="en-US" w:eastAsia="zh-CN"/>
                    </w:rPr>
                  </w:pPr>
                  <w:r>
                    <w:rPr>
                      <w:rFonts w:hint="eastAsia" w:ascii="Times New Roman" w:hAnsi="Times New Roman" w:cs="Times New Roman"/>
                      <w:color w:val="auto"/>
                      <w:kern w:val="0"/>
                      <w:sz w:val="21"/>
                      <w:szCs w:val="21"/>
                      <w:highlight w:val="none"/>
                      <w:vertAlign w:val="baseline"/>
                      <w:lang w:val="en-US" w:eastAsia="zh-CN"/>
                    </w:rPr>
                    <w:t>1</w:t>
                  </w:r>
                </w:p>
              </w:tc>
              <w:tc>
                <w:tcPr>
                  <w:tcW w:w="1320" w:type="dxa"/>
                  <w:vMerge w:val="restart"/>
                  <w:tcBorders>
                    <w:tl2br w:val="nil"/>
                    <w:tr2bl w:val="nil"/>
                  </w:tcBorders>
                  <w:vAlign w:val="center"/>
                </w:tcPr>
                <w:p w14:paraId="53CABFC0">
                  <w:pPr>
                    <w:numPr>
                      <w:ilvl w:val="0"/>
                      <w:numId w:val="0"/>
                    </w:numPr>
                    <w:adjustRightInd w:val="0"/>
                    <w:snapToGrid w:val="0"/>
                    <w:spacing w:line="240" w:lineRule="auto"/>
                    <w:jc w:val="center"/>
                    <w:rPr>
                      <w:rFonts w:hint="default" w:ascii="Times New Roman" w:hAnsi="Times New Roman" w:cs="Times New Roman"/>
                      <w:color w:val="auto"/>
                      <w:kern w:val="0"/>
                      <w:sz w:val="21"/>
                      <w:szCs w:val="21"/>
                      <w:highlight w:val="none"/>
                      <w:vertAlign w:val="baseline"/>
                      <w:lang w:val="en-US" w:eastAsia="zh-CN"/>
                    </w:rPr>
                  </w:pPr>
                  <w:r>
                    <w:rPr>
                      <w:rFonts w:hint="eastAsia" w:ascii="Times New Roman" w:hAnsi="Times New Roman" w:cs="Times New Roman"/>
                      <w:color w:val="auto"/>
                      <w:kern w:val="0"/>
                      <w:sz w:val="21"/>
                      <w:szCs w:val="21"/>
                      <w:highlight w:val="none"/>
                      <w:vertAlign w:val="baseline"/>
                      <w:lang w:val="en-US" w:eastAsia="zh-CN"/>
                    </w:rPr>
                    <w:t>无组织</w:t>
                  </w:r>
                </w:p>
              </w:tc>
              <w:tc>
                <w:tcPr>
                  <w:tcW w:w="1860" w:type="dxa"/>
                  <w:tcBorders>
                    <w:tl2br w:val="nil"/>
                    <w:tr2bl w:val="nil"/>
                  </w:tcBorders>
                  <w:vAlign w:val="center"/>
                </w:tcPr>
                <w:p w14:paraId="77CD9796">
                  <w:pPr>
                    <w:numPr>
                      <w:ilvl w:val="0"/>
                      <w:numId w:val="0"/>
                    </w:numPr>
                    <w:adjustRightInd w:val="0"/>
                    <w:snapToGrid w:val="0"/>
                    <w:spacing w:line="240" w:lineRule="auto"/>
                    <w:jc w:val="center"/>
                    <w:rPr>
                      <w:rFonts w:hint="default" w:ascii="Times New Roman" w:hAnsi="Times New Roman" w:cs="Times New Roman"/>
                      <w:color w:val="auto"/>
                      <w:kern w:val="0"/>
                      <w:sz w:val="21"/>
                      <w:szCs w:val="21"/>
                      <w:highlight w:val="none"/>
                      <w:vertAlign w:val="baseline"/>
                      <w:lang w:val="en-US" w:eastAsia="zh-CN"/>
                    </w:rPr>
                  </w:pPr>
                  <w:r>
                    <w:rPr>
                      <w:rFonts w:hint="eastAsia" w:ascii="Times New Roman" w:hAnsi="Times New Roman" w:cs="Times New Roman"/>
                      <w:color w:val="auto"/>
                      <w:kern w:val="0"/>
                      <w:sz w:val="21"/>
                      <w:szCs w:val="21"/>
                      <w:highlight w:val="none"/>
                      <w:vertAlign w:val="baseline"/>
                      <w:lang w:val="en-US" w:eastAsia="zh-CN"/>
                    </w:rPr>
                    <w:t>颗粒物</w:t>
                  </w:r>
                </w:p>
              </w:tc>
              <w:tc>
                <w:tcPr>
                  <w:tcW w:w="1740" w:type="dxa"/>
                  <w:tcBorders>
                    <w:tl2br w:val="nil"/>
                    <w:tr2bl w:val="nil"/>
                  </w:tcBorders>
                  <w:vAlign w:val="center"/>
                </w:tcPr>
                <w:p w14:paraId="481DF433">
                  <w:pPr>
                    <w:numPr>
                      <w:ilvl w:val="0"/>
                      <w:numId w:val="0"/>
                    </w:numPr>
                    <w:adjustRightInd w:val="0"/>
                    <w:snapToGrid w:val="0"/>
                    <w:spacing w:line="240" w:lineRule="auto"/>
                    <w:jc w:val="center"/>
                    <w:rPr>
                      <w:rFonts w:hint="default" w:ascii="Times New Roman" w:hAnsi="Times New Roman" w:cs="Times New Roman"/>
                      <w:color w:val="auto"/>
                      <w:kern w:val="0"/>
                      <w:sz w:val="21"/>
                      <w:szCs w:val="21"/>
                      <w:highlight w:val="none"/>
                      <w:vertAlign w:val="baseline"/>
                      <w:lang w:val="en-US" w:eastAsia="zh-CN"/>
                    </w:rPr>
                  </w:pPr>
                  <w:r>
                    <w:rPr>
                      <w:rFonts w:hint="eastAsia" w:ascii="Times New Roman" w:hAnsi="Times New Roman" w:cs="Times New Roman"/>
                      <w:color w:val="auto"/>
                      <w:kern w:val="0"/>
                      <w:sz w:val="21"/>
                      <w:szCs w:val="21"/>
                      <w:highlight w:val="none"/>
                      <w:vertAlign w:val="baseline"/>
                      <w:lang w:val="en-US" w:eastAsia="zh-CN"/>
                    </w:rPr>
                    <w:t>0.0002</w:t>
                  </w:r>
                </w:p>
              </w:tc>
              <w:tc>
                <w:tcPr>
                  <w:tcW w:w="1879" w:type="dxa"/>
                  <w:tcBorders>
                    <w:tl2br w:val="nil"/>
                    <w:tr2bl w:val="nil"/>
                  </w:tcBorders>
                  <w:vAlign w:val="center"/>
                </w:tcPr>
                <w:p w14:paraId="5C9A3F7C">
                  <w:pPr>
                    <w:numPr>
                      <w:ilvl w:val="0"/>
                      <w:numId w:val="0"/>
                    </w:numPr>
                    <w:adjustRightInd w:val="0"/>
                    <w:snapToGrid w:val="0"/>
                    <w:spacing w:line="240" w:lineRule="auto"/>
                    <w:jc w:val="center"/>
                    <w:rPr>
                      <w:rFonts w:hint="default" w:ascii="Times New Roman" w:hAnsi="Times New Roman" w:cs="Times New Roman"/>
                      <w:color w:val="auto"/>
                      <w:kern w:val="0"/>
                      <w:sz w:val="21"/>
                      <w:szCs w:val="21"/>
                      <w:highlight w:val="none"/>
                      <w:vertAlign w:val="baseline"/>
                      <w:lang w:val="en-US" w:eastAsia="zh-CN"/>
                    </w:rPr>
                  </w:pPr>
                  <w:r>
                    <w:rPr>
                      <w:rFonts w:hint="eastAsia" w:ascii="Times New Roman" w:hAnsi="Times New Roman" w:cs="Times New Roman"/>
                      <w:color w:val="auto"/>
                      <w:kern w:val="0"/>
                      <w:sz w:val="21"/>
                      <w:szCs w:val="21"/>
                      <w:highlight w:val="none"/>
                      <w:vertAlign w:val="baseline"/>
                      <w:lang w:val="en-US" w:eastAsia="zh-CN"/>
                    </w:rPr>
                    <w:t>0.000004</w:t>
                  </w:r>
                </w:p>
              </w:tc>
            </w:tr>
            <w:tr w14:paraId="63A84B5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69" w:type="dxa"/>
                  <w:tcBorders>
                    <w:tl2br w:val="nil"/>
                    <w:tr2bl w:val="nil"/>
                  </w:tcBorders>
                  <w:vAlign w:val="center"/>
                </w:tcPr>
                <w:p w14:paraId="38ABF127">
                  <w:pPr>
                    <w:numPr>
                      <w:ilvl w:val="0"/>
                      <w:numId w:val="0"/>
                    </w:numPr>
                    <w:adjustRightInd w:val="0"/>
                    <w:snapToGrid w:val="0"/>
                    <w:spacing w:line="240" w:lineRule="auto"/>
                    <w:jc w:val="center"/>
                    <w:rPr>
                      <w:rFonts w:hint="default" w:ascii="Times New Roman" w:hAnsi="Times New Roman" w:cs="Times New Roman"/>
                      <w:color w:val="auto"/>
                      <w:kern w:val="0"/>
                      <w:sz w:val="21"/>
                      <w:szCs w:val="21"/>
                      <w:highlight w:val="none"/>
                      <w:vertAlign w:val="baseline"/>
                      <w:lang w:val="en-US" w:eastAsia="zh-CN"/>
                    </w:rPr>
                  </w:pPr>
                  <w:r>
                    <w:rPr>
                      <w:rFonts w:hint="eastAsia" w:ascii="Times New Roman" w:hAnsi="Times New Roman" w:cs="Times New Roman"/>
                      <w:color w:val="auto"/>
                      <w:kern w:val="0"/>
                      <w:sz w:val="21"/>
                      <w:szCs w:val="21"/>
                      <w:highlight w:val="none"/>
                      <w:vertAlign w:val="baseline"/>
                      <w:lang w:val="en-US" w:eastAsia="zh-CN"/>
                    </w:rPr>
                    <w:t>2</w:t>
                  </w:r>
                </w:p>
              </w:tc>
              <w:tc>
                <w:tcPr>
                  <w:tcW w:w="1320" w:type="dxa"/>
                  <w:vMerge w:val="continue"/>
                  <w:tcBorders>
                    <w:tl2br w:val="nil"/>
                    <w:tr2bl w:val="nil"/>
                  </w:tcBorders>
                  <w:vAlign w:val="center"/>
                </w:tcPr>
                <w:p w14:paraId="49372C3F">
                  <w:pPr>
                    <w:numPr>
                      <w:ilvl w:val="0"/>
                      <w:numId w:val="0"/>
                    </w:numPr>
                    <w:adjustRightInd w:val="0"/>
                    <w:snapToGrid w:val="0"/>
                    <w:spacing w:line="240" w:lineRule="auto"/>
                    <w:jc w:val="center"/>
                    <w:rPr>
                      <w:rFonts w:hint="default" w:ascii="Times New Roman" w:hAnsi="Times New Roman" w:cs="Times New Roman"/>
                      <w:color w:val="auto"/>
                      <w:kern w:val="0"/>
                      <w:sz w:val="21"/>
                      <w:szCs w:val="21"/>
                      <w:highlight w:val="none"/>
                      <w:vertAlign w:val="baseline"/>
                      <w:lang w:val="en-US" w:eastAsia="zh-CN"/>
                    </w:rPr>
                  </w:pPr>
                </w:p>
              </w:tc>
              <w:tc>
                <w:tcPr>
                  <w:tcW w:w="1860" w:type="dxa"/>
                  <w:tcBorders>
                    <w:tl2br w:val="nil"/>
                    <w:tr2bl w:val="nil"/>
                  </w:tcBorders>
                  <w:vAlign w:val="center"/>
                </w:tcPr>
                <w:p w14:paraId="0A1F0E6B">
                  <w:pPr>
                    <w:numPr>
                      <w:ilvl w:val="0"/>
                      <w:numId w:val="0"/>
                    </w:numPr>
                    <w:adjustRightInd w:val="0"/>
                    <w:snapToGrid w:val="0"/>
                    <w:spacing w:line="240" w:lineRule="auto"/>
                    <w:jc w:val="center"/>
                    <w:rPr>
                      <w:rFonts w:hint="default" w:ascii="Times New Roman" w:hAnsi="Times New Roman" w:cs="Times New Roman"/>
                      <w:color w:val="auto"/>
                      <w:kern w:val="0"/>
                      <w:sz w:val="21"/>
                      <w:szCs w:val="21"/>
                      <w:highlight w:val="none"/>
                      <w:vertAlign w:val="baseline"/>
                      <w:lang w:val="en-US" w:eastAsia="zh-CN"/>
                    </w:rPr>
                  </w:pPr>
                  <w:r>
                    <w:rPr>
                      <w:rFonts w:hint="eastAsia" w:ascii="Times New Roman" w:hAnsi="Times New Roman" w:cs="Times New Roman"/>
                      <w:color w:val="auto"/>
                      <w:kern w:val="0"/>
                      <w:sz w:val="21"/>
                      <w:szCs w:val="21"/>
                      <w:highlight w:val="none"/>
                      <w:vertAlign w:val="baseline"/>
                      <w:lang w:val="en-US" w:eastAsia="zh-CN"/>
                    </w:rPr>
                    <w:t>非甲烷总烃</w:t>
                  </w:r>
                </w:p>
              </w:tc>
              <w:tc>
                <w:tcPr>
                  <w:tcW w:w="1740" w:type="dxa"/>
                  <w:tcBorders>
                    <w:tl2br w:val="nil"/>
                    <w:tr2bl w:val="nil"/>
                  </w:tcBorders>
                  <w:vAlign w:val="center"/>
                </w:tcPr>
                <w:p w14:paraId="09DFF0A4">
                  <w:pPr>
                    <w:numPr>
                      <w:ilvl w:val="0"/>
                      <w:numId w:val="0"/>
                    </w:numPr>
                    <w:adjustRightInd w:val="0"/>
                    <w:snapToGrid w:val="0"/>
                    <w:spacing w:line="240" w:lineRule="auto"/>
                    <w:jc w:val="center"/>
                    <w:rPr>
                      <w:rFonts w:hint="default" w:ascii="Times New Roman" w:hAnsi="Times New Roman" w:cs="Times New Roman"/>
                      <w:color w:val="auto"/>
                      <w:kern w:val="0"/>
                      <w:sz w:val="21"/>
                      <w:szCs w:val="21"/>
                      <w:highlight w:val="none"/>
                      <w:vertAlign w:val="baseline"/>
                      <w:lang w:val="en-US" w:eastAsia="zh-CN"/>
                    </w:rPr>
                  </w:pPr>
                  <w:r>
                    <w:rPr>
                      <w:rFonts w:hint="eastAsia" w:ascii="Times New Roman" w:hAnsi="Times New Roman" w:cs="Times New Roman"/>
                      <w:color w:val="auto"/>
                      <w:kern w:val="0"/>
                      <w:sz w:val="21"/>
                      <w:szCs w:val="21"/>
                      <w:highlight w:val="none"/>
                      <w:vertAlign w:val="baseline"/>
                      <w:lang w:val="en-US" w:eastAsia="zh-CN"/>
                    </w:rPr>
                    <w:t>7.029</w:t>
                  </w:r>
                </w:p>
              </w:tc>
              <w:tc>
                <w:tcPr>
                  <w:tcW w:w="1879" w:type="dxa"/>
                  <w:tcBorders>
                    <w:tl2br w:val="nil"/>
                    <w:tr2bl w:val="nil"/>
                  </w:tcBorders>
                  <w:vAlign w:val="center"/>
                </w:tcPr>
                <w:p w14:paraId="06F2A094">
                  <w:pPr>
                    <w:numPr>
                      <w:ilvl w:val="0"/>
                      <w:numId w:val="0"/>
                    </w:numPr>
                    <w:adjustRightInd w:val="0"/>
                    <w:snapToGrid w:val="0"/>
                    <w:spacing w:line="240" w:lineRule="auto"/>
                    <w:jc w:val="center"/>
                    <w:rPr>
                      <w:rFonts w:hint="default" w:ascii="Times New Roman" w:hAnsi="Times New Roman" w:cs="Times New Roman"/>
                      <w:color w:val="auto"/>
                      <w:kern w:val="0"/>
                      <w:sz w:val="21"/>
                      <w:szCs w:val="21"/>
                      <w:highlight w:val="none"/>
                      <w:vertAlign w:val="baseline"/>
                      <w:lang w:val="en-US" w:eastAsia="zh-CN"/>
                    </w:rPr>
                  </w:pPr>
                  <w:r>
                    <w:rPr>
                      <w:rFonts w:hint="eastAsia" w:ascii="Times New Roman" w:hAnsi="Times New Roman" w:cs="Times New Roman"/>
                      <w:color w:val="auto"/>
                      <w:kern w:val="0"/>
                      <w:sz w:val="21"/>
                      <w:szCs w:val="21"/>
                      <w:highlight w:val="none"/>
                      <w:vertAlign w:val="baseline"/>
                      <w:lang w:val="en-US" w:eastAsia="zh-CN"/>
                    </w:rPr>
                    <w:t>0.014058</w:t>
                  </w:r>
                </w:p>
              </w:tc>
            </w:tr>
          </w:tbl>
          <w:p w14:paraId="2D95BDF5">
            <w:pPr>
              <w:numPr>
                <w:ilvl w:val="0"/>
                <w:numId w:val="0"/>
              </w:numPr>
              <w:adjustRightInd w:val="0"/>
              <w:snapToGrid w:val="0"/>
              <w:spacing w:line="360" w:lineRule="auto"/>
              <w:ind w:firstLine="480" w:firstLineChars="200"/>
              <w:rPr>
                <w:rFonts w:hint="eastAsia" w:ascii="Times New Roman" w:hAnsi="Times New Roman" w:cs="Times New Roman"/>
                <w:color w:val="auto"/>
                <w:kern w:val="0"/>
                <w:sz w:val="24"/>
                <w:highlight w:val="none"/>
                <w:lang w:val="en-US" w:eastAsia="zh-CN"/>
              </w:rPr>
            </w:pPr>
            <w:r>
              <w:rPr>
                <w:rFonts w:hint="eastAsia" w:ascii="Times New Roman" w:hAnsi="Times New Roman" w:cs="Times New Roman"/>
                <w:color w:val="auto"/>
                <w:kern w:val="0"/>
                <w:sz w:val="24"/>
                <w:highlight w:val="none"/>
                <w:lang w:val="en-US" w:eastAsia="zh-CN"/>
              </w:rPr>
              <w:t>利用AERSCREEN估算模式对无组织废气污染物无组织排放浓度进行预测，废气污染源参数见表4-1、估算模型参数见表4-2、计算结果见表4-3。</w:t>
            </w:r>
          </w:p>
          <w:p w14:paraId="7D64AA5C">
            <w:pPr>
              <w:pStyle w:val="59"/>
              <w:numPr>
                <w:ilvl w:val="0"/>
                <w:numId w:val="20"/>
              </w:numPr>
              <w:bidi w:val="0"/>
              <w:ind w:left="425" w:leftChars="0" w:hanging="425" w:firstLineChars="0"/>
              <w:rPr>
                <w:rFonts w:hint="eastAsia"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废气污染源参数一览表(矩形面源)</w:t>
            </w:r>
          </w:p>
          <w:tbl>
            <w:tblPr>
              <w:tblStyle w:val="23"/>
              <w:tblW w:w="4900" w:type="pct"/>
              <w:tblInd w:w="0" w:type="dxa"/>
              <w:tblBorders>
                <w:top w:val="single" w:color="auto" w:sz="2" w:space="0"/>
                <w:left w:val="none" w:color="auto" w:sz="0" w:space="0"/>
                <w:bottom w:val="single" w:color="auto" w:sz="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1092"/>
              <w:gridCol w:w="1039"/>
              <w:gridCol w:w="1016"/>
              <w:gridCol w:w="993"/>
              <w:gridCol w:w="1073"/>
              <w:gridCol w:w="1211"/>
              <w:gridCol w:w="993"/>
            </w:tblGrid>
            <w:tr w14:paraId="534470AA">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42" w:hRule="atLeast"/>
              </w:trPr>
              <w:tc>
                <w:tcPr>
                  <w:tcW w:w="874" w:type="dxa"/>
                  <w:vMerge w:val="restart"/>
                  <w:tcBorders>
                    <w:tl2br w:val="nil"/>
                    <w:tr2bl w:val="nil"/>
                  </w:tcBorders>
                  <w:vAlign w:val="center"/>
                </w:tcPr>
                <w:p w14:paraId="745BF0FF">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
                      <w:bCs/>
                      <w:color w:val="auto"/>
                      <w:kern w:val="0"/>
                      <w:sz w:val="21"/>
                      <w:szCs w:val="21"/>
                      <w:lang w:val="en-US" w:eastAsia="zh-CN" w:bidi="ar"/>
                    </w:rPr>
                  </w:pPr>
                  <w:r>
                    <w:rPr>
                      <w:rFonts w:hint="eastAsia" w:ascii="宋体" w:hAnsi="宋体" w:eastAsia="宋体" w:cs="宋体"/>
                      <w:b/>
                      <w:bCs/>
                      <w:color w:val="auto"/>
                      <w:kern w:val="0"/>
                      <w:sz w:val="21"/>
                      <w:szCs w:val="21"/>
                      <w:lang w:val="en-US" w:eastAsia="zh-CN" w:bidi="ar"/>
                    </w:rPr>
                    <w:t>污染源名称</w:t>
                  </w:r>
                </w:p>
              </w:tc>
              <w:tc>
                <w:tcPr>
                  <w:tcW w:w="832" w:type="dxa"/>
                  <w:vMerge w:val="restart"/>
                  <w:tcBorders>
                    <w:right w:val="single" w:color="000000" w:sz="2" w:space="0"/>
                    <w:tl2br w:val="nil"/>
                    <w:tr2bl w:val="nil"/>
                  </w:tcBorders>
                  <w:vAlign w:val="center"/>
                </w:tcPr>
                <w:p w14:paraId="70E235CE">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
                      <w:bCs/>
                      <w:color w:val="auto"/>
                      <w:kern w:val="0"/>
                      <w:sz w:val="21"/>
                      <w:szCs w:val="21"/>
                      <w:lang w:val="en-US" w:eastAsia="zh-CN" w:bidi="ar"/>
                    </w:rPr>
                  </w:pPr>
                  <w:r>
                    <w:rPr>
                      <w:rFonts w:hint="eastAsia" w:ascii="宋体" w:hAnsi="宋体" w:eastAsia="宋体" w:cs="宋体"/>
                      <w:b/>
                      <w:bCs/>
                      <w:color w:val="auto"/>
                      <w:kern w:val="0"/>
                      <w:sz w:val="21"/>
                      <w:szCs w:val="21"/>
                      <w:lang w:val="en-US" w:eastAsia="zh-CN" w:bidi="ar"/>
                    </w:rPr>
                    <w:t>经度</w:t>
                  </w:r>
                </w:p>
              </w:tc>
              <w:tc>
                <w:tcPr>
                  <w:tcW w:w="813" w:type="dxa"/>
                  <w:vMerge w:val="restart"/>
                  <w:tcBorders>
                    <w:left w:val="single" w:color="000000" w:sz="2" w:space="0"/>
                    <w:tl2br w:val="nil"/>
                    <w:tr2bl w:val="nil"/>
                  </w:tcBorders>
                  <w:vAlign w:val="center"/>
                </w:tcPr>
                <w:p w14:paraId="1028FCFE">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
                      <w:bCs/>
                      <w:color w:val="auto"/>
                      <w:kern w:val="0"/>
                      <w:sz w:val="21"/>
                      <w:szCs w:val="21"/>
                      <w:lang w:val="en-US" w:eastAsia="zh-CN" w:bidi="ar"/>
                    </w:rPr>
                  </w:pPr>
                  <w:r>
                    <w:rPr>
                      <w:rFonts w:hint="eastAsia" w:ascii="宋体" w:hAnsi="宋体" w:eastAsia="宋体" w:cs="宋体"/>
                      <w:b/>
                      <w:bCs/>
                      <w:color w:val="auto"/>
                      <w:kern w:val="0"/>
                      <w:sz w:val="21"/>
                      <w:szCs w:val="21"/>
                      <w:lang w:val="en-US" w:eastAsia="zh-CN" w:bidi="ar"/>
                    </w:rPr>
                    <w:t>纬度</w:t>
                  </w:r>
                </w:p>
              </w:tc>
              <w:tc>
                <w:tcPr>
                  <w:tcW w:w="795" w:type="dxa"/>
                  <w:vMerge w:val="restart"/>
                  <w:tcBorders>
                    <w:tl2br w:val="nil"/>
                    <w:tr2bl w:val="nil"/>
                  </w:tcBorders>
                  <w:vAlign w:val="center"/>
                </w:tcPr>
                <w:p w14:paraId="189C1CB2">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
                      <w:bCs/>
                      <w:color w:val="auto"/>
                      <w:kern w:val="0"/>
                      <w:sz w:val="21"/>
                      <w:szCs w:val="21"/>
                      <w:lang w:val="en-US" w:eastAsia="zh-CN" w:bidi="ar"/>
                    </w:rPr>
                  </w:pPr>
                  <w:r>
                    <w:rPr>
                      <w:rFonts w:hint="eastAsia" w:ascii="宋体" w:hAnsi="宋体" w:eastAsia="宋体" w:cs="宋体"/>
                      <w:b/>
                      <w:bCs/>
                      <w:color w:val="auto"/>
                      <w:kern w:val="0"/>
                      <w:sz w:val="21"/>
                      <w:szCs w:val="21"/>
                      <w:lang w:val="en-US" w:eastAsia="zh-CN" w:bidi="ar"/>
                    </w:rPr>
                    <w:t>海拔高度</w:t>
                  </w:r>
                  <w:r>
                    <w:rPr>
                      <w:rFonts w:hint="eastAsia" w:ascii="宋体" w:hAnsi="宋体" w:cs="宋体"/>
                      <w:b/>
                      <w:bCs/>
                      <w:color w:val="auto"/>
                      <w:kern w:val="0"/>
                      <w:sz w:val="21"/>
                      <w:szCs w:val="21"/>
                      <w:lang w:val="en-US" w:eastAsia="zh-CN" w:bidi="ar"/>
                    </w:rPr>
                    <w:t>，</w:t>
                  </w:r>
                  <w:r>
                    <w:rPr>
                      <w:rFonts w:hint="eastAsia" w:ascii="宋体" w:hAnsi="宋体" w:eastAsia="宋体" w:cs="宋体"/>
                      <w:b/>
                      <w:bCs/>
                      <w:color w:val="auto"/>
                      <w:kern w:val="0"/>
                      <w:sz w:val="21"/>
                      <w:szCs w:val="21"/>
                      <w:lang w:val="en-US" w:eastAsia="zh-CN" w:bidi="ar"/>
                    </w:rPr>
                    <w:t>m</w:t>
                  </w:r>
                </w:p>
              </w:tc>
              <w:tc>
                <w:tcPr>
                  <w:tcW w:w="2623" w:type="dxa"/>
                  <w:gridSpan w:val="3"/>
                  <w:tcBorders>
                    <w:tl2br w:val="nil"/>
                    <w:tr2bl w:val="nil"/>
                  </w:tcBorders>
                  <w:vAlign w:val="center"/>
                </w:tcPr>
                <w:p w14:paraId="20BB6E4F">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
                      <w:bCs/>
                      <w:color w:val="auto"/>
                      <w:kern w:val="0"/>
                      <w:sz w:val="21"/>
                      <w:szCs w:val="21"/>
                      <w:lang w:val="en-US" w:eastAsia="zh-CN" w:bidi="ar"/>
                    </w:rPr>
                  </w:pPr>
                  <w:r>
                    <w:rPr>
                      <w:rFonts w:hint="eastAsia" w:ascii="宋体" w:hAnsi="宋体" w:eastAsia="宋体" w:cs="宋体"/>
                      <w:b/>
                      <w:bCs/>
                      <w:color w:val="auto"/>
                      <w:kern w:val="0"/>
                      <w:sz w:val="21"/>
                      <w:szCs w:val="21"/>
                      <w:lang w:val="en-US" w:eastAsia="zh-CN" w:bidi="ar"/>
                    </w:rPr>
                    <w:t>矩形面源</w:t>
                  </w:r>
                </w:p>
              </w:tc>
            </w:tr>
            <w:tr w14:paraId="47B1B5AB">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30" w:hRule="atLeast"/>
              </w:trPr>
              <w:tc>
                <w:tcPr>
                  <w:tcW w:w="874" w:type="dxa"/>
                  <w:vMerge w:val="continue"/>
                  <w:tcBorders>
                    <w:tl2br w:val="nil"/>
                    <w:tr2bl w:val="nil"/>
                  </w:tcBorders>
                  <w:vAlign w:val="center"/>
                </w:tcPr>
                <w:p w14:paraId="5750327A">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
                      <w:bCs/>
                      <w:color w:val="auto"/>
                      <w:kern w:val="0"/>
                      <w:sz w:val="21"/>
                      <w:szCs w:val="21"/>
                      <w:lang w:val="en-US" w:eastAsia="zh-CN" w:bidi="ar"/>
                    </w:rPr>
                  </w:pPr>
                </w:p>
              </w:tc>
              <w:tc>
                <w:tcPr>
                  <w:tcW w:w="832" w:type="dxa"/>
                  <w:vMerge w:val="continue"/>
                  <w:tcBorders>
                    <w:right w:val="single" w:color="000000" w:sz="2" w:space="0"/>
                    <w:tl2br w:val="nil"/>
                    <w:tr2bl w:val="nil"/>
                  </w:tcBorders>
                  <w:vAlign w:val="center"/>
                </w:tcPr>
                <w:p w14:paraId="66E1BC03">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
                      <w:bCs/>
                      <w:color w:val="auto"/>
                      <w:kern w:val="0"/>
                      <w:sz w:val="21"/>
                      <w:szCs w:val="21"/>
                      <w:lang w:val="en-US" w:eastAsia="zh-CN" w:bidi="ar"/>
                    </w:rPr>
                  </w:pPr>
                </w:p>
              </w:tc>
              <w:tc>
                <w:tcPr>
                  <w:tcW w:w="813" w:type="dxa"/>
                  <w:vMerge w:val="continue"/>
                  <w:tcBorders>
                    <w:left w:val="single" w:color="000000" w:sz="2" w:space="0"/>
                    <w:tl2br w:val="nil"/>
                    <w:tr2bl w:val="nil"/>
                  </w:tcBorders>
                  <w:vAlign w:val="center"/>
                </w:tcPr>
                <w:p w14:paraId="6B470B4C">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
                      <w:bCs/>
                      <w:color w:val="auto"/>
                      <w:kern w:val="0"/>
                      <w:sz w:val="21"/>
                      <w:szCs w:val="21"/>
                      <w:lang w:val="en-US" w:eastAsia="zh-CN" w:bidi="ar"/>
                    </w:rPr>
                  </w:pPr>
                </w:p>
              </w:tc>
              <w:tc>
                <w:tcPr>
                  <w:tcW w:w="795" w:type="dxa"/>
                  <w:vMerge w:val="continue"/>
                  <w:tcBorders>
                    <w:tl2br w:val="nil"/>
                    <w:tr2bl w:val="nil"/>
                  </w:tcBorders>
                  <w:vAlign w:val="center"/>
                </w:tcPr>
                <w:p w14:paraId="66387BE2">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
                      <w:bCs/>
                      <w:color w:val="auto"/>
                      <w:kern w:val="0"/>
                      <w:sz w:val="21"/>
                      <w:szCs w:val="21"/>
                      <w:lang w:val="en-US" w:eastAsia="zh-CN" w:bidi="ar"/>
                    </w:rPr>
                  </w:pPr>
                </w:p>
              </w:tc>
              <w:tc>
                <w:tcPr>
                  <w:tcW w:w="859" w:type="dxa"/>
                  <w:tcBorders>
                    <w:tl2br w:val="nil"/>
                    <w:tr2bl w:val="nil"/>
                  </w:tcBorders>
                  <w:vAlign w:val="center"/>
                </w:tcPr>
                <w:p w14:paraId="327B6609">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
                      <w:bCs/>
                      <w:color w:val="auto"/>
                      <w:kern w:val="0"/>
                      <w:sz w:val="21"/>
                      <w:szCs w:val="21"/>
                      <w:lang w:val="en-US" w:eastAsia="zh-CN" w:bidi="ar"/>
                    </w:rPr>
                  </w:pPr>
                  <w:r>
                    <w:rPr>
                      <w:rFonts w:hint="eastAsia" w:ascii="宋体" w:hAnsi="宋体" w:eastAsia="宋体" w:cs="宋体"/>
                      <w:b/>
                      <w:bCs/>
                      <w:color w:val="auto"/>
                      <w:kern w:val="0"/>
                      <w:sz w:val="21"/>
                      <w:szCs w:val="21"/>
                      <w:lang w:val="en-US" w:eastAsia="zh-CN" w:bidi="ar"/>
                    </w:rPr>
                    <w:t>长度</w:t>
                  </w:r>
                  <w:r>
                    <w:rPr>
                      <w:rFonts w:hint="eastAsia" w:ascii="宋体" w:hAnsi="宋体" w:cs="宋体"/>
                      <w:b/>
                      <w:bCs/>
                      <w:color w:val="auto"/>
                      <w:kern w:val="0"/>
                      <w:sz w:val="21"/>
                      <w:szCs w:val="21"/>
                      <w:lang w:val="en-US" w:eastAsia="zh-CN" w:bidi="ar"/>
                    </w:rPr>
                    <w:t>，</w:t>
                  </w:r>
                  <w:r>
                    <w:rPr>
                      <w:rFonts w:hint="eastAsia" w:ascii="宋体" w:hAnsi="宋体" w:eastAsia="宋体" w:cs="宋体"/>
                      <w:b/>
                      <w:bCs/>
                      <w:color w:val="auto"/>
                      <w:kern w:val="0"/>
                      <w:sz w:val="21"/>
                      <w:szCs w:val="21"/>
                      <w:lang w:val="en-US" w:eastAsia="zh-CN" w:bidi="ar"/>
                    </w:rPr>
                    <w:t>m</w:t>
                  </w:r>
                </w:p>
              </w:tc>
              <w:tc>
                <w:tcPr>
                  <w:tcW w:w="969" w:type="dxa"/>
                  <w:tcBorders>
                    <w:tl2br w:val="nil"/>
                    <w:tr2bl w:val="nil"/>
                  </w:tcBorders>
                  <w:vAlign w:val="center"/>
                </w:tcPr>
                <w:p w14:paraId="289284FE">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eastAsia" w:ascii="宋体" w:hAnsi="宋体" w:eastAsia="宋体" w:cs="宋体"/>
                      <w:b/>
                      <w:bCs/>
                      <w:color w:val="auto"/>
                      <w:kern w:val="0"/>
                      <w:sz w:val="21"/>
                      <w:szCs w:val="21"/>
                      <w:lang w:val="en-US" w:eastAsia="zh-CN" w:bidi="ar"/>
                    </w:rPr>
                  </w:pPr>
                  <w:r>
                    <w:rPr>
                      <w:rFonts w:hint="eastAsia" w:ascii="宋体" w:hAnsi="宋体" w:eastAsia="宋体" w:cs="宋体"/>
                      <w:b/>
                      <w:bCs/>
                      <w:color w:val="auto"/>
                      <w:kern w:val="0"/>
                      <w:sz w:val="21"/>
                      <w:szCs w:val="21"/>
                      <w:lang w:val="en-US" w:eastAsia="zh-CN" w:bidi="ar"/>
                    </w:rPr>
                    <w:t>宽度</w:t>
                  </w:r>
                  <w:r>
                    <w:rPr>
                      <w:rFonts w:hint="eastAsia" w:ascii="宋体" w:hAnsi="宋体" w:cs="宋体"/>
                      <w:b/>
                      <w:bCs/>
                      <w:color w:val="auto"/>
                      <w:kern w:val="0"/>
                      <w:sz w:val="21"/>
                      <w:szCs w:val="21"/>
                      <w:lang w:val="en-US" w:eastAsia="zh-CN" w:bidi="ar"/>
                    </w:rPr>
                    <w:t>，</w:t>
                  </w:r>
                  <w:r>
                    <w:rPr>
                      <w:rFonts w:hint="eastAsia" w:ascii="宋体" w:hAnsi="宋体" w:eastAsia="宋体" w:cs="宋体"/>
                      <w:b/>
                      <w:bCs/>
                      <w:color w:val="auto"/>
                      <w:kern w:val="0"/>
                      <w:sz w:val="21"/>
                      <w:szCs w:val="21"/>
                      <w:lang w:val="en-US" w:eastAsia="zh-CN" w:bidi="ar"/>
                    </w:rPr>
                    <w:t>m</w:t>
                  </w:r>
                </w:p>
              </w:tc>
              <w:tc>
                <w:tcPr>
                  <w:tcW w:w="795" w:type="dxa"/>
                  <w:tcBorders>
                    <w:tl2br w:val="nil"/>
                    <w:tr2bl w:val="nil"/>
                  </w:tcBorders>
                  <w:vAlign w:val="center"/>
                </w:tcPr>
                <w:p w14:paraId="35802B90">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b/>
                      <w:bCs/>
                      <w:color w:val="auto"/>
                      <w:kern w:val="0"/>
                      <w:sz w:val="21"/>
                      <w:szCs w:val="21"/>
                      <w:lang w:val="en-US" w:eastAsia="zh-CN" w:bidi="ar"/>
                    </w:rPr>
                  </w:pPr>
                  <w:r>
                    <w:rPr>
                      <w:rFonts w:hint="eastAsia" w:ascii="宋体" w:hAnsi="宋体" w:eastAsia="宋体" w:cs="宋体"/>
                      <w:b/>
                      <w:bCs/>
                      <w:color w:val="auto"/>
                      <w:kern w:val="0"/>
                      <w:sz w:val="21"/>
                      <w:szCs w:val="21"/>
                      <w:lang w:val="en-US" w:eastAsia="zh-CN" w:bidi="ar"/>
                    </w:rPr>
                    <w:t>高度</w:t>
                  </w:r>
                  <w:r>
                    <w:rPr>
                      <w:rFonts w:hint="eastAsia" w:ascii="宋体" w:hAnsi="宋体" w:cs="宋体"/>
                      <w:b/>
                      <w:bCs/>
                      <w:color w:val="auto"/>
                      <w:kern w:val="0"/>
                      <w:sz w:val="21"/>
                      <w:szCs w:val="21"/>
                      <w:lang w:val="en-US" w:eastAsia="zh-CN" w:bidi="ar"/>
                    </w:rPr>
                    <w:t>，</w:t>
                  </w:r>
                  <w:r>
                    <w:rPr>
                      <w:rFonts w:hint="eastAsia" w:ascii="宋体" w:hAnsi="宋体" w:eastAsia="宋体" w:cs="宋体"/>
                      <w:b/>
                      <w:bCs/>
                      <w:color w:val="auto"/>
                      <w:kern w:val="0"/>
                      <w:sz w:val="21"/>
                      <w:szCs w:val="21"/>
                      <w:lang w:val="en-US" w:eastAsia="zh-CN" w:bidi="ar"/>
                    </w:rPr>
                    <w:t>m</w:t>
                  </w:r>
                </w:p>
              </w:tc>
            </w:tr>
            <w:tr w14:paraId="25555E5C">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64" w:hRule="atLeast"/>
              </w:trPr>
              <w:tc>
                <w:tcPr>
                  <w:tcW w:w="874" w:type="dxa"/>
                  <w:tcBorders>
                    <w:tl2br w:val="nil"/>
                    <w:tr2bl w:val="nil"/>
                  </w:tcBorders>
                  <w:vAlign w:val="center"/>
                </w:tcPr>
                <w:p w14:paraId="214149CA">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面源</w:t>
                  </w:r>
                </w:p>
              </w:tc>
              <w:tc>
                <w:tcPr>
                  <w:tcW w:w="832" w:type="dxa"/>
                  <w:tcBorders>
                    <w:right w:val="single" w:color="000000" w:sz="2" w:space="0"/>
                    <w:tl2br w:val="nil"/>
                    <w:tr2bl w:val="nil"/>
                  </w:tcBorders>
                  <w:vAlign w:val="center"/>
                </w:tcPr>
                <w:p w14:paraId="3E002B5B">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116.423023</w:t>
                  </w:r>
                </w:p>
              </w:tc>
              <w:tc>
                <w:tcPr>
                  <w:tcW w:w="813" w:type="dxa"/>
                  <w:tcBorders>
                    <w:left w:val="single" w:color="000000" w:sz="2" w:space="0"/>
                    <w:tl2br w:val="nil"/>
                    <w:tr2bl w:val="nil"/>
                  </w:tcBorders>
                  <w:vAlign w:val="center"/>
                </w:tcPr>
                <w:p w14:paraId="5C6D911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39.962557</w:t>
                  </w:r>
                </w:p>
              </w:tc>
              <w:tc>
                <w:tcPr>
                  <w:tcW w:w="795" w:type="dxa"/>
                  <w:tcBorders>
                    <w:tl2br w:val="nil"/>
                    <w:tr2bl w:val="nil"/>
                  </w:tcBorders>
                  <w:vAlign w:val="center"/>
                </w:tcPr>
                <w:p w14:paraId="1F4B649C">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53.00</w:t>
                  </w:r>
                </w:p>
              </w:tc>
              <w:tc>
                <w:tcPr>
                  <w:tcW w:w="859" w:type="dxa"/>
                  <w:tcBorders>
                    <w:tl2br w:val="nil"/>
                    <w:tr2bl w:val="nil"/>
                  </w:tcBorders>
                  <w:vAlign w:val="center"/>
                </w:tcPr>
                <w:p w14:paraId="13144A19">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47.19</w:t>
                  </w:r>
                </w:p>
              </w:tc>
              <w:tc>
                <w:tcPr>
                  <w:tcW w:w="969" w:type="dxa"/>
                  <w:tcBorders>
                    <w:tl2br w:val="nil"/>
                    <w:tr2bl w:val="nil"/>
                  </w:tcBorders>
                  <w:vAlign w:val="center"/>
                </w:tcPr>
                <w:p w14:paraId="23042C16">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10.97</w:t>
                  </w:r>
                </w:p>
              </w:tc>
              <w:tc>
                <w:tcPr>
                  <w:tcW w:w="795" w:type="dxa"/>
                  <w:tcBorders>
                    <w:tl2br w:val="nil"/>
                    <w:tr2bl w:val="nil"/>
                  </w:tcBorders>
                  <w:vAlign w:val="center"/>
                </w:tcPr>
                <w:p w14:paraId="67454549">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10.00</w:t>
                  </w:r>
                </w:p>
              </w:tc>
            </w:tr>
          </w:tbl>
          <w:p w14:paraId="1F9FAFA8">
            <w:pPr>
              <w:pStyle w:val="59"/>
              <w:numPr>
                <w:ilvl w:val="0"/>
                <w:numId w:val="20"/>
              </w:numPr>
              <w:bidi w:val="0"/>
              <w:ind w:left="425" w:leftChars="0" w:hanging="425" w:firstLineChars="0"/>
              <w:rPr>
                <w:rFonts w:hint="eastAsia"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面源估算模型参数一览表</w:t>
            </w:r>
          </w:p>
          <w:tbl>
            <w:tblPr>
              <w:tblStyle w:val="23"/>
              <w:tblW w:w="4900" w:type="pct"/>
              <w:tblInd w:w="0" w:type="dxa"/>
              <w:tblBorders>
                <w:top w:val="single" w:color="auto" w:sz="2" w:space="0"/>
                <w:left w:val="none" w:color="auto" w:sz="0" w:space="0"/>
                <w:bottom w:val="single" w:color="auto" w:sz="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2234"/>
              <w:gridCol w:w="2453"/>
              <w:gridCol w:w="2730"/>
            </w:tblGrid>
            <w:tr w14:paraId="3BE9FF22">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11" w:hRule="atLeast"/>
              </w:trPr>
              <w:tc>
                <w:tcPr>
                  <w:tcW w:w="4777" w:type="dxa"/>
                  <w:gridSpan w:val="2"/>
                  <w:tcBorders>
                    <w:tl2br w:val="nil"/>
                    <w:tr2bl w:val="nil"/>
                  </w:tcBorders>
                  <w:vAlign w:val="center"/>
                </w:tcPr>
                <w:p w14:paraId="07282B0B">
                  <w:pPr>
                    <w:spacing w:line="240" w:lineRule="auto"/>
                    <w:jc w:val="center"/>
                    <w:rPr>
                      <w:color w:val="auto"/>
                      <w:sz w:val="21"/>
                      <w:szCs w:val="21"/>
                    </w:rPr>
                  </w:pPr>
                  <w:r>
                    <w:rPr>
                      <w:rFonts w:ascii="宋体" w:hAnsi="宋体" w:eastAsia="宋体"/>
                      <w:b w:val="0"/>
                      <w:color w:val="auto"/>
                      <w:sz w:val="21"/>
                      <w:szCs w:val="21"/>
                    </w:rPr>
                    <w:t>参数</w:t>
                  </w:r>
                </w:p>
              </w:tc>
              <w:tc>
                <w:tcPr>
                  <w:tcW w:w="2782" w:type="dxa"/>
                  <w:tcBorders>
                    <w:tl2br w:val="nil"/>
                    <w:tr2bl w:val="nil"/>
                  </w:tcBorders>
                  <w:vAlign w:val="center"/>
                </w:tcPr>
                <w:p w14:paraId="60938E5C">
                  <w:pPr>
                    <w:spacing w:line="240" w:lineRule="auto"/>
                    <w:jc w:val="center"/>
                    <w:rPr>
                      <w:color w:val="auto"/>
                      <w:sz w:val="21"/>
                      <w:szCs w:val="21"/>
                    </w:rPr>
                  </w:pPr>
                  <w:r>
                    <w:rPr>
                      <w:rFonts w:ascii="宋体" w:hAnsi="宋体" w:eastAsia="宋体"/>
                      <w:b w:val="0"/>
                      <w:color w:val="auto"/>
                      <w:sz w:val="21"/>
                      <w:szCs w:val="21"/>
                    </w:rPr>
                    <w:t>取值</w:t>
                  </w:r>
                </w:p>
              </w:tc>
            </w:tr>
            <w:tr w14:paraId="446C259F">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12" w:hRule="atLeast"/>
              </w:trPr>
              <w:tc>
                <w:tcPr>
                  <w:tcW w:w="2277" w:type="dxa"/>
                  <w:vMerge w:val="restart"/>
                  <w:tcBorders>
                    <w:tl2br w:val="nil"/>
                    <w:tr2bl w:val="nil"/>
                  </w:tcBorders>
                  <w:vAlign w:val="center"/>
                </w:tcPr>
                <w:p w14:paraId="1E64398F">
                  <w:pPr>
                    <w:spacing w:line="240" w:lineRule="auto"/>
                    <w:jc w:val="center"/>
                    <w:rPr>
                      <w:color w:val="auto"/>
                      <w:sz w:val="21"/>
                      <w:szCs w:val="21"/>
                    </w:rPr>
                  </w:pPr>
                  <w:r>
                    <w:rPr>
                      <w:rFonts w:ascii="宋体" w:hAnsi="宋体" w:eastAsia="宋体"/>
                      <w:b w:val="0"/>
                      <w:color w:val="auto"/>
                      <w:sz w:val="21"/>
                      <w:szCs w:val="21"/>
                    </w:rPr>
                    <w:t>城市/农村选项</w:t>
                  </w:r>
                </w:p>
              </w:tc>
              <w:tc>
                <w:tcPr>
                  <w:tcW w:w="2500" w:type="dxa"/>
                  <w:tcBorders>
                    <w:tl2br w:val="nil"/>
                    <w:tr2bl w:val="nil"/>
                  </w:tcBorders>
                  <w:vAlign w:val="center"/>
                </w:tcPr>
                <w:p w14:paraId="478CA868">
                  <w:pPr>
                    <w:spacing w:line="240" w:lineRule="auto"/>
                    <w:jc w:val="center"/>
                    <w:rPr>
                      <w:color w:val="auto"/>
                      <w:sz w:val="21"/>
                      <w:szCs w:val="21"/>
                    </w:rPr>
                  </w:pPr>
                  <w:r>
                    <w:rPr>
                      <w:rFonts w:ascii="宋体" w:hAnsi="宋体" w:eastAsia="宋体"/>
                      <w:b w:val="0"/>
                      <w:color w:val="auto"/>
                      <w:sz w:val="21"/>
                      <w:szCs w:val="21"/>
                    </w:rPr>
                    <w:t>城市/农村</w:t>
                  </w:r>
                </w:p>
              </w:tc>
              <w:tc>
                <w:tcPr>
                  <w:tcW w:w="2782" w:type="dxa"/>
                  <w:tcBorders>
                    <w:tl2br w:val="nil"/>
                    <w:tr2bl w:val="nil"/>
                  </w:tcBorders>
                  <w:vAlign w:val="center"/>
                </w:tcPr>
                <w:p w14:paraId="07000B1F">
                  <w:pPr>
                    <w:spacing w:line="240" w:lineRule="auto"/>
                    <w:jc w:val="center"/>
                    <w:rPr>
                      <w:color w:val="auto"/>
                      <w:sz w:val="21"/>
                      <w:szCs w:val="21"/>
                    </w:rPr>
                  </w:pPr>
                  <w:r>
                    <w:rPr>
                      <w:rFonts w:ascii="宋体" w:hAnsi="宋体" w:eastAsia="宋体"/>
                      <w:b w:val="0"/>
                      <w:color w:val="auto"/>
                      <w:sz w:val="21"/>
                      <w:szCs w:val="21"/>
                    </w:rPr>
                    <w:t>城市</w:t>
                  </w:r>
                </w:p>
              </w:tc>
            </w:tr>
            <w:tr w14:paraId="23E8A7D2">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55" w:hRule="atLeast"/>
              </w:trPr>
              <w:tc>
                <w:tcPr>
                  <w:tcW w:w="2277" w:type="dxa"/>
                  <w:vMerge w:val="continue"/>
                  <w:tcBorders>
                    <w:tl2br w:val="nil"/>
                    <w:tr2bl w:val="nil"/>
                  </w:tcBorders>
                  <w:vAlign w:val="center"/>
                </w:tcPr>
                <w:p w14:paraId="64157D59">
                  <w:pPr>
                    <w:spacing w:line="240" w:lineRule="auto"/>
                    <w:jc w:val="center"/>
                    <w:rPr>
                      <w:color w:val="auto"/>
                      <w:sz w:val="21"/>
                      <w:szCs w:val="21"/>
                    </w:rPr>
                  </w:pPr>
                </w:p>
              </w:tc>
              <w:tc>
                <w:tcPr>
                  <w:tcW w:w="2500" w:type="dxa"/>
                  <w:tcBorders>
                    <w:tl2br w:val="nil"/>
                    <w:tr2bl w:val="nil"/>
                  </w:tcBorders>
                  <w:vAlign w:val="center"/>
                </w:tcPr>
                <w:p w14:paraId="5E82D1D5">
                  <w:pPr>
                    <w:spacing w:line="240" w:lineRule="auto"/>
                    <w:ind w:left="0" w:leftChars="0" w:firstLine="0" w:firstLineChars="0"/>
                    <w:jc w:val="center"/>
                    <w:rPr>
                      <w:color w:val="auto"/>
                      <w:sz w:val="21"/>
                      <w:szCs w:val="21"/>
                    </w:rPr>
                  </w:pPr>
                  <w:r>
                    <w:rPr>
                      <w:rFonts w:ascii="宋体" w:hAnsi="宋体" w:eastAsia="宋体"/>
                      <w:b w:val="0"/>
                      <w:color w:val="auto"/>
                      <w:sz w:val="21"/>
                      <w:szCs w:val="21"/>
                    </w:rPr>
                    <w:t>人口数(城市人口数)</w:t>
                  </w:r>
                </w:p>
              </w:tc>
              <w:tc>
                <w:tcPr>
                  <w:tcW w:w="2782" w:type="dxa"/>
                  <w:tcBorders>
                    <w:tl2br w:val="nil"/>
                    <w:tr2bl w:val="nil"/>
                  </w:tcBorders>
                  <w:vAlign w:val="center"/>
                </w:tcPr>
                <w:p w14:paraId="65418884">
                  <w:pPr>
                    <w:spacing w:line="240" w:lineRule="auto"/>
                    <w:jc w:val="center"/>
                    <w:rPr>
                      <w:color w:val="auto"/>
                      <w:sz w:val="21"/>
                      <w:szCs w:val="21"/>
                    </w:rPr>
                  </w:pPr>
                  <w:r>
                    <w:rPr>
                      <w:rFonts w:ascii="宋体" w:hAnsi="宋体" w:eastAsia="宋体"/>
                      <w:b w:val="0"/>
                      <w:color w:val="auto"/>
                      <w:sz w:val="21"/>
                      <w:szCs w:val="21"/>
                    </w:rPr>
                    <w:t>500</w:t>
                  </w:r>
                </w:p>
              </w:tc>
            </w:tr>
            <w:tr w14:paraId="304D174D">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85" w:hRule="atLeast"/>
              </w:trPr>
              <w:tc>
                <w:tcPr>
                  <w:tcW w:w="4777" w:type="dxa"/>
                  <w:gridSpan w:val="2"/>
                  <w:tcBorders>
                    <w:tl2br w:val="nil"/>
                    <w:tr2bl w:val="nil"/>
                  </w:tcBorders>
                  <w:vAlign w:val="center"/>
                </w:tcPr>
                <w:p w14:paraId="669ED549">
                  <w:pPr>
                    <w:spacing w:line="240" w:lineRule="auto"/>
                    <w:jc w:val="center"/>
                    <w:rPr>
                      <w:rFonts w:hint="default" w:eastAsia="宋体"/>
                      <w:color w:val="auto"/>
                      <w:sz w:val="21"/>
                      <w:szCs w:val="21"/>
                      <w:lang w:val="en-US" w:eastAsia="zh-CN"/>
                    </w:rPr>
                  </w:pPr>
                  <w:r>
                    <w:rPr>
                      <w:rFonts w:ascii="宋体" w:hAnsi="宋体" w:eastAsia="宋体"/>
                      <w:b w:val="0"/>
                      <w:color w:val="auto"/>
                      <w:sz w:val="21"/>
                      <w:szCs w:val="21"/>
                    </w:rPr>
                    <w:t>最高环境温度</w:t>
                  </w:r>
                  <w:r>
                    <w:rPr>
                      <w:rFonts w:hint="eastAsia" w:ascii="宋体" w:hAnsi="宋体"/>
                      <w:b w:val="0"/>
                      <w:color w:val="auto"/>
                      <w:sz w:val="21"/>
                      <w:szCs w:val="21"/>
                      <w:lang w:eastAsia="zh-CN"/>
                    </w:rPr>
                    <w:t>，</w:t>
                  </w:r>
                  <w:r>
                    <w:rPr>
                      <w:rFonts w:hint="eastAsia" w:ascii="宋体" w:hAnsi="宋体"/>
                      <w:b w:val="0"/>
                      <w:color w:val="auto"/>
                      <w:sz w:val="21"/>
                      <w:szCs w:val="21"/>
                      <w:lang w:val="en-US" w:eastAsia="zh-CN"/>
                    </w:rPr>
                    <w:t>℃</w:t>
                  </w:r>
                </w:p>
              </w:tc>
              <w:tc>
                <w:tcPr>
                  <w:tcW w:w="2782" w:type="dxa"/>
                  <w:tcBorders>
                    <w:tl2br w:val="nil"/>
                    <w:tr2bl w:val="nil"/>
                  </w:tcBorders>
                  <w:vAlign w:val="center"/>
                </w:tcPr>
                <w:p w14:paraId="3D52B0EA">
                  <w:pPr>
                    <w:spacing w:line="240" w:lineRule="auto"/>
                    <w:jc w:val="center"/>
                    <w:rPr>
                      <w:color w:val="auto"/>
                      <w:sz w:val="21"/>
                      <w:szCs w:val="21"/>
                    </w:rPr>
                  </w:pPr>
                  <w:r>
                    <w:rPr>
                      <w:rFonts w:ascii="宋体" w:hAnsi="宋体" w:eastAsia="宋体"/>
                      <w:b w:val="0"/>
                      <w:color w:val="auto"/>
                      <w:sz w:val="21"/>
                      <w:szCs w:val="21"/>
                    </w:rPr>
                    <w:t>41.9</w:t>
                  </w:r>
                </w:p>
              </w:tc>
            </w:tr>
            <w:tr w14:paraId="6C00B9DE">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5" w:hRule="atLeast"/>
              </w:trPr>
              <w:tc>
                <w:tcPr>
                  <w:tcW w:w="4777" w:type="dxa"/>
                  <w:gridSpan w:val="2"/>
                  <w:tcBorders>
                    <w:tl2br w:val="nil"/>
                    <w:tr2bl w:val="nil"/>
                  </w:tcBorders>
                  <w:vAlign w:val="center"/>
                </w:tcPr>
                <w:p w14:paraId="2391A014">
                  <w:pPr>
                    <w:spacing w:line="240" w:lineRule="auto"/>
                    <w:jc w:val="center"/>
                    <w:rPr>
                      <w:color w:val="auto"/>
                      <w:sz w:val="21"/>
                      <w:szCs w:val="21"/>
                    </w:rPr>
                  </w:pPr>
                  <w:r>
                    <w:rPr>
                      <w:rFonts w:ascii="宋体" w:hAnsi="宋体" w:eastAsia="宋体"/>
                      <w:b w:val="0"/>
                      <w:color w:val="auto"/>
                      <w:sz w:val="21"/>
                      <w:szCs w:val="21"/>
                    </w:rPr>
                    <w:t>最低环境温度</w:t>
                  </w:r>
                  <w:r>
                    <w:rPr>
                      <w:rFonts w:hint="eastAsia" w:ascii="宋体" w:hAnsi="宋体"/>
                      <w:b w:val="0"/>
                      <w:color w:val="auto"/>
                      <w:sz w:val="21"/>
                      <w:szCs w:val="21"/>
                      <w:lang w:eastAsia="zh-CN"/>
                    </w:rPr>
                    <w:t>，</w:t>
                  </w:r>
                  <w:r>
                    <w:rPr>
                      <w:rFonts w:hint="eastAsia" w:ascii="宋体" w:hAnsi="宋体"/>
                      <w:b w:val="0"/>
                      <w:color w:val="auto"/>
                      <w:sz w:val="21"/>
                      <w:szCs w:val="21"/>
                      <w:lang w:val="en-US" w:eastAsia="zh-CN"/>
                    </w:rPr>
                    <w:t>℃</w:t>
                  </w:r>
                </w:p>
              </w:tc>
              <w:tc>
                <w:tcPr>
                  <w:tcW w:w="2782" w:type="dxa"/>
                  <w:tcBorders>
                    <w:tl2br w:val="nil"/>
                    <w:tr2bl w:val="nil"/>
                  </w:tcBorders>
                  <w:vAlign w:val="center"/>
                </w:tcPr>
                <w:p w14:paraId="0CAF8475">
                  <w:pPr>
                    <w:spacing w:line="240" w:lineRule="auto"/>
                    <w:jc w:val="center"/>
                    <w:rPr>
                      <w:color w:val="auto"/>
                      <w:sz w:val="21"/>
                      <w:szCs w:val="21"/>
                    </w:rPr>
                  </w:pPr>
                  <w:r>
                    <w:rPr>
                      <w:rFonts w:ascii="宋体" w:hAnsi="宋体" w:eastAsia="宋体"/>
                      <w:b w:val="0"/>
                      <w:color w:val="auto"/>
                      <w:sz w:val="21"/>
                      <w:szCs w:val="21"/>
                    </w:rPr>
                    <w:t>-27.4</w:t>
                  </w:r>
                </w:p>
              </w:tc>
            </w:tr>
            <w:tr w14:paraId="2B3B32A8">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5" w:hRule="atLeast"/>
              </w:trPr>
              <w:tc>
                <w:tcPr>
                  <w:tcW w:w="4777" w:type="dxa"/>
                  <w:gridSpan w:val="2"/>
                  <w:tcBorders>
                    <w:tl2br w:val="nil"/>
                    <w:tr2bl w:val="nil"/>
                  </w:tcBorders>
                  <w:vAlign w:val="center"/>
                </w:tcPr>
                <w:p w14:paraId="419D4487">
                  <w:pPr>
                    <w:spacing w:line="240" w:lineRule="auto"/>
                    <w:jc w:val="center"/>
                    <w:rPr>
                      <w:color w:val="auto"/>
                      <w:sz w:val="21"/>
                      <w:szCs w:val="21"/>
                    </w:rPr>
                  </w:pPr>
                  <w:r>
                    <w:rPr>
                      <w:rFonts w:ascii="宋体" w:hAnsi="宋体" w:eastAsia="宋体"/>
                      <w:b w:val="0"/>
                      <w:color w:val="auto"/>
                      <w:sz w:val="21"/>
                      <w:szCs w:val="21"/>
                    </w:rPr>
                    <w:t>土地利用类型</w:t>
                  </w:r>
                </w:p>
              </w:tc>
              <w:tc>
                <w:tcPr>
                  <w:tcW w:w="2782" w:type="dxa"/>
                  <w:tcBorders>
                    <w:tl2br w:val="nil"/>
                    <w:tr2bl w:val="nil"/>
                  </w:tcBorders>
                  <w:vAlign w:val="center"/>
                </w:tcPr>
                <w:p w14:paraId="2919BF82">
                  <w:pPr>
                    <w:spacing w:line="240" w:lineRule="auto"/>
                    <w:jc w:val="center"/>
                    <w:rPr>
                      <w:color w:val="auto"/>
                      <w:sz w:val="21"/>
                      <w:szCs w:val="21"/>
                    </w:rPr>
                  </w:pPr>
                  <w:r>
                    <w:rPr>
                      <w:rFonts w:ascii="宋体" w:hAnsi="宋体" w:eastAsia="宋体"/>
                      <w:b w:val="0"/>
                      <w:color w:val="auto"/>
                      <w:sz w:val="21"/>
                      <w:szCs w:val="21"/>
                    </w:rPr>
                    <w:t>城市</w:t>
                  </w:r>
                </w:p>
              </w:tc>
            </w:tr>
            <w:tr w14:paraId="4D86B156">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55" w:hRule="atLeast"/>
              </w:trPr>
              <w:tc>
                <w:tcPr>
                  <w:tcW w:w="4777" w:type="dxa"/>
                  <w:gridSpan w:val="2"/>
                  <w:tcBorders>
                    <w:tl2br w:val="nil"/>
                    <w:tr2bl w:val="nil"/>
                  </w:tcBorders>
                  <w:vAlign w:val="center"/>
                </w:tcPr>
                <w:p w14:paraId="627A8779">
                  <w:pPr>
                    <w:spacing w:line="240" w:lineRule="auto"/>
                    <w:jc w:val="center"/>
                    <w:rPr>
                      <w:color w:val="auto"/>
                      <w:sz w:val="21"/>
                      <w:szCs w:val="21"/>
                    </w:rPr>
                  </w:pPr>
                  <w:r>
                    <w:rPr>
                      <w:rFonts w:ascii="宋体" w:hAnsi="宋体" w:eastAsia="宋体"/>
                      <w:b w:val="0"/>
                      <w:color w:val="auto"/>
                      <w:sz w:val="21"/>
                      <w:szCs w:val="21"/>
                    </w:rPr>
                    <w:t>区域湿度条件</w:t>
                  </w:r>
                </w:p>
              </w:tc>
              <w:tc>
                <w:tcPr>
                  <w:tcW w:w="2782" w:type="dxa"/>
                  <w:tcBorders>
                    <w:tl2br w:val="nil"/>
                    <w:tr2bl w:val="nil"/>
                  </w:tcBorders>
                  <w:vAlign w:val="center"/>
                </w:tcPr>
                <w:p w14:paraId="604D786B">
                  <w:pPr>
                    <w:spacing w:line="240" w:lineRule="auto"/>
                    <w:jc w:val="center"/>
                    <w:rPr>
                      <w:color w:val="auto"/>
                      <w:sz w:val="21"/>
                      <w:szCs w:val="21"/>
                    </w:rPr>
                  </w:pPr>
                  <w:r>
                    <w:rPr>
                      <w:rFonts w:ascii="宋体" w:hAnsi="宋体" w:eastAsia="宋体"/>
                      <w:b w:val="0"/>
                      <w:color w:val="auto"/>
                      <w:sz w:val="21"/>
                      <w:szCs w:val="21"/>
                    </w:rPr>
                    <w:t>中等湿度</w:t>
                  </w:r>
                </w:p>
              </w:tc>
            </w:tr>
            <w:tr w14:paraId="351ECA91">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55" w:hRule="atLeast"/>
              </w:trPr>
              <w:tc>
                <w:tcPr>
                  <w:tcW w:w="2277" w:type="dxa"/>
                  <w:vMerge w:val="restart"/>
                  <w:tcBorders>
                    <w:tl2br w:val="nil"/>
                    <w:tr2bl w:val="nil"/>
                  </w:tcBorders>
                  <w:vAlign w:val="center"/>
                </w:tcPr>
                <w:p w14:paraId="4A7A84D2">
                  <w:pPr>
                    <w:spacing w:line="240" w:lineRule="auto"/>
                    <w:jc w:val="center"/>
                    <w:rPr>
                      <w:color w:val="auto"/>
                      <w:sz w:val="21"/>
                      <w:szCs w:val="21"/>
                    </w:rPr>
                  </w:pPr>
                  <w:r>
                    <w:rPr>
                      <w:rFonts w:ascii="宋体" w:hAnsi="宋体" w:eastAsia="宋体"/>
                      <w:b w:val="0"/>
                      <w:color w:val="auto"/>
                      <w:sz w:val="21"/>
                      <w:szCs w:val="21"/>
                    </w:rPr>
                    <w:t>是否考虑地形</w:t>
                  </w:r>
                </w:p>
              </w:tc>
              <w:tc>
                <w:tcPr>
                  <w:tcW w:w="2500" w:type="dxa"/>
                  <w:tcBorders>
                    <w:tl2br w:val="nil"/>
                    <w:tr2bl w:val="nil"/>
                  </w:tcBorders>
                  <w:vAlign w:val="center"/>
                </w:tcPr>
                <w:p w14:paraId="389EBC27">
                  <w:pPr>
                    <w:spacing w:line="240" w:lineRule="auto"/>
                    <w:jc w:val="center"/>
                    <w:rPr>
                      <w:color w:val="auto"/>
                      <w:sz w:val="21"/>
                      <w:szCs w:val="21"/>
                    </w:rPr>
                  </w:pPr>
                  <w:r>
                    <w:rPr>
                      <w:rFonts w:ascii="宋体" w:hAnsi="宋体" w:eastAsia="宋体"/>
                      <w:b w:val="0"/>
                      <w:color w:val="auto"/>
                      <w:sz w:val="21"/>
                      <w:szCs w:val="21"/>
                    </w:rPr>
                    <w:t>考虑地形</w:t>
                  </w:r>
                </w:p>
              </w:tc>
              <w:tc>
                <w:tcPr>
                  <w:tcW w:w="2782" w:type="dxa"/>
                  <w:tcBorders>
                    <w:tl2br w:val="nil"/>
                    <w:tr2bl w:val="nil"/>
                  </w:tcBorders>
                  <w:vAlign w:val="center"/>
                </w:tcPr>
                <w:p w14:paraId="42458FDB">
                  <w:pPr>
                    <w:spacing w:line="240" w:lineRule="auto"/>
                    <w:jc w:val="center"/>
                    <w:rPr>
                      <w:color w:val="auto"/>
                      <w:sz w:val="21"/>
                      <w:szCs w:val="21"/>
                    </w:rPr>
                  </w:pPr>
                  <w:r>
                    <w:rPr>
                      <w:rFonts w:ascii="宋体" w:hAnsi="宋体" w:eastAsia="宋体"/>
                      <w:b w:val="0"/>
                      <w:color w:val="auto"/>
                      <w:sz w:val="21"/>
                      <w:szCs w:val="21"/>
                    </w:rPr>
                    <w:t>是</w:t>
                  </w:r>
                </w:p>
              </w:tc>
            </w:tr>
            <w:tr w14:paraId="4A94FA42">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45" w:hRule="atLeast"/>
              </w:trPr>
              <w:tc>
                <w:tcPr>
                  <w:tcW w:w="2277" w:type="dxa"/>
                  <w:vMerge w:val="continue"/>
                  <w:tcBorders>
                    <w:tl2br w:val="nil"/>
                    <w:tr2bl w:val="nil"/>
                  </w:tcBorders>
                  <w:vAlign w:val="center"/>
                </w:tcPr>
                <w:p w14:paraId="52E597C8">
                  <w:pPr>
                    <w:spacing w:line="240" w:lineRule="auto"/>
                    <w:jc w:val="center"/>
                    <w:rPr>
                      <w:color w:val="auto"/>
                      <w:sz w:val="21"/>
                      <w:szCs w:val="21"/>
                    </w:rPr>
                  </w:pPr>
                </w:p>
              </w:tc>
              <w:tc>
                <w:tcPr>
                  <w:tcW w:w="2500" w:type="dxa"/>
                  <w:tcBorders>
                    <w:tl2br w:val="nil"/>
                    <w:tr2bl w:val="nil"/>
                  </w:tcBorders>
                  <w:vAlign w:val="center"/>
                </w:tcPr>
                <w:p w14:paraId="656036A4">
                  <w:pPr>
                    <w:spacing w:line="240" w:lineRule="auto"/>
                    <w:ind w:left="0" w:leftChars="0" w:firstLine="0" w:firstLineChars="0"/>
                    <w:jc w:val="center"/>
                    <w:rPr>
                      <w:color w:val="auto"/>
                      <w:sz w:val="21"/>
                      <w:szCs w:val="21"/>
                    </w:rPr>
                  </w:pPr>
                  <w:r>
                    <w:rPr>
                      <w:rFonts w:ascii="宋体" w:hAnsi="宋体" w:eastAsia="宋体"/>
                      <w:b w:val="0"/>
                      <w:color w:val="auto"/>
                      <w:sz w:val="21"/>
                      <w:szCs w:val="21"/>
                    </w:rPr>
                    <w:t>地形数据分辨率(m)</w:t>
                  </w:r>
                </w:p>
              </w:tc>
              <w:tc>
                <w:tcPr>
                  <w:tcW w:w="2782" w:type="dxa"/>
                  <w:tcBorders>
                    <w:tl2br w:val="nil"/>
                    <w:tr2bl w:val="nil"/>
                  </w:tcBorders>
                  <w:vAlign w:val="center"/>
                </w:tcPr>
                <w:p w14:paraId="73EC1A6F">
                  <w:pPr>
                    <w:spacing w:line="240" w:lineRule="auto"/>
                    <w:jc w:val="center"/>
                    <w:rPr>
                      <w:color w:val="auto"/>
                      <w:sz w:val="21"/>
                      <w:szCs w:val="21"/>
                    </w:rPr>
                  </w:pPr>
                  <w:r>
                    <w:rPr>
                      <w:rFonts w:ascii="宋体" w:hAnsi="宋体" w:eastAsia="宋体"/>
                      <w:b w:val="0"/>
                      <w:color w:val="auto"/>
                      <w:sz w:val="21"/>
                      <w:szCs w:val="21"/>
                    </w:rPr>
                    <w:t>90</w:t>
                  </w:r>
                </w:p>
              </w:tc>
            </w:tr>
            <w:tr w14:paraId="274B27B1">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55" w:hRule="atLeast"/>
              </w:trPr>
              <w:tc>
                <w:tcPr>
                  <w:tcW w:w="2277" w:type="dxa"/>
                  <w:vMerge w:val="restart"/>
                  <w:tcBorders>
                    <w:tl2br w:val="nil"/>
                    <w:tr2bl w:val="nil"/>
                  </w:tcBorders>
                  <w:vAlign w:val="center"/>
                </w:tcPr>
                <w:p w14:paraId="6759695D">
                  <w:pPr>
                    <w:spacing w:line="240" w:lineRule="auto"/>
                    <w:ind w:left="0" w:leftChars="0" w:firstLine="0" w:firstLineChars="0"/>
                    <w:jc w:val="center"/>
                    <w:rPr>
                      <w:color w:val="auto"/>
                      <w:sz w:val="21"/>
                      <w:szCs w:val="21"/>
                    </w:rPr>
                  </w:pPr>
                  <w:r>
                    <w:rPr>
                      <w:rFonts w:ascii="宋体" w:hAnsi="宋体" w:eastAsia="宋体"/>
                      <w:b w:val="0"/>
                      <w:color w:val="auto"/>
                      <w:sz w:val="21"/>
                      <w:szCs w:val="21"/>
                    </w:rPr>
                    <w:t>是否考虑岸线熏烟</w:t>
                  </w:r>
                </w:p>
              </w:tc>
              <w:tc>
                <w:tcPr>
                  <w:tcW w:w="2500" w:type="dxa"/>
                  <w:tcBorders>
                    <w:tl2br w:val="nil"/>
                    <w:tr2bl w:val="nil"/>
                  </w:tcBorders>
                  <w:vAlign w:val="center"/>
                </w:tcPr>
                <w:p w14:paraId="5CFEEB31">
                  <w:pPr>
                    <w:spacing w:line="240" w:lineRule="auto"/>
                    <w:jc w:val="center"/>
                    <w:rPr>
                      <w:color w:val="auto"/>
                      <w:sz w:val="21"/>
                      <w:szCs w:val="21"/>
                    </w:rPr>
                  </w:pPr>
                  <w:r>
                    <w:rPr>
                      <w:rFonts w:ascii="宋体" w:hAnsi="宋体" w:eastAsia="宋体"/>
                      <w:b w:val="0"/>
                      <w:color w:val="auto"/>
                      <w:sz w:val="21"/>
                      <w:szCs w:val="21"/>
                    </w:rPr>
                    <w:t>考虑岸线熏烟</w:t>
                  </w:r>
                </w:p>
              </w:tc>
              <w:tc>
                <w:tcPr>
                  <w:tcW w:w="2782" w:type="dxa"/>
                  <w:tcBorders>
                    <w:tl2br w:val="nil"/>
                    <w:tr2bl w:val="nil"/>
                  </w:tcBorders>
                  <w:vAlign w:val="center"/>
                </w:tcPr>
                <w:p w14:paraId="35A2FFA0">
                  <w:pPr>
                    <w:spacing w:line="240" w:lineRule="auto"/>
                    <w:jc w:val="center"/>
                    <w:rPr>
                      <w:color w:val="auto"/>
                      <w:sz w:val="21"/>
                      <w:szCs w:val="21"/>
                    </w:rPr>
                  </w:pPr>
                  <w:r>
                    <w:rPr>
                      <w:rFonts w:ascii="宋体" w:hAnsi="宋体" w:eastAsia="宋体"/>
                      <w:b w:val="0"/>
                      <w:color w:val="auto"/>
                      <w:sz w:val="21"/>
                      <w:szCs w:val="21"/>
                    </w:rPr>
                    <w:t>否</w:t>
                  </w:r>
                </w:p>
              </w:tc>
            </w:tr>
            <w:tr w14:paraId="37C5968C">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5" w:hRule="atLeast"/>
              </w:trPr>
              <w:tc>
                <w:tcPr>
                  <w:tcW w:w="2277" w:type="dxa"/>
                  <w:vMerge w:val="continue"/>
                  <w:tcBorders>
                    <w:tl2br w:val="nil"/>
                    <w:tr2bl w:val="nil"/>
                  </w:tcBorders>
                  <w:vAlign w:val="center"/>
                </w:tcPr>
                <w:p w14:paraId="51763B7C">
                  <w:pPr>
                    <w:spacing w:line="240" w:lineRule="auto"/>
                    <w:jc w:val="center"/>
                    <w:rPr>
                      <w:color w:val="auto"/>
                      <w:sz w:val="21"/>
                      <w:szCs w:val="21"/>
                    </w:rPr>
                  </w:pPr>
                </w:p>
              </w:tc>
              <w:tc>
                <w:tcPr>
                  <w:tcW w:w="2500" w:type="dxa"/>
                  <w:tcBorders>
                    <w:tl2br w:val="nil"/>
                    <w:tr2bl w:val="nil"/>
                  </w:tcBorders>
                  <w:vAlign w:val="center"/>
                </w:tcPr>
                <w:p w14:paraId="106ED1E6">
                  <w:pPr>
                    <w:spacing w:line="240" w:lineRule="auto"/>
                    <w:jc w:val="center"/>
                    <w:rPr>
                      <w:color w:val="auto"/>
                      <w:sz w:val="21"/>
                      <w:szCs w:val="21"/>
                    </w:rPr>
                  </w:pPr>
                  <w:r>
                    <w:rPr>
                      <w:rFonts w:ascii="宋体" w:hAnsi="宋体" w:eastAsia="宋体"/>
                      <w:b w:val="0"/>
                      <w:color w:val="auto"/>
                      <w:sz w:val="21"/>
                      <w:szCs w:val="21"/>
                    </w:rPr>
                    <w:t>岸线距离/m</w:t>
                  </w:r>
                </w:p>
              </w:tc>
              <w:tc>
                <w:tcPr>
                  <w:tcW w:w="2782" w:type="dxa"/>
                  <w:tcBorders>
                    <w:tl2br w:val="nil"/>
                    <w:tr2bl w:val="nil"/>
                  </w:tcBorders>
                  <w:vAlign w:val="center"/>
                </w:tcPr>
                <w:p w14:paraId="0243EEE0">
                  <w:pPr>
                    <w:spacing w:line="240" w:lineRule="auto"/>
                    <w:jc w:val="center"/>
                    <w:rPr>
                      <w:color w:val="auto"/>
                      <w:sz w:val="21"/>
                      <w:szCs w:val="21"/>
                    </w:rPr>
                  </w:pPr>
                  <w:r>
                    <w:rPr>
                      <w:rFonts w:ascii="宋体" w:hAnsi="宋体" w:eastAsia="宋体"/>
                      <w:b w:val="0"/>
                      <w:color w:val="auto"/>
                      <w:sz w:val="21"/>
                      <w:szCs w:val="21"/>
                    </w:rPr>
                    <w:t>/</w:t>
                  </w:r>
                </w:p>
              </w:tc>
            </w:tr>
            <w:tr w14:paraId="3B9273A4">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5" w:hRule="atLeast"/>
              </w:trPr>
              <w:tc>
                <w:tcPr>
                  <w:tcW w:w="2277" w:type="dxa"/>
                  <w:vMerge w:val="continue"/>
                  <w:tcBorders>
                    <w:tl2br w:val="nil"/>
                    <w:tr2bl w:val="nil"/>
                  </w:tcBorders>
                  <w:vAlign w:val="center"/>
                </w:tcPr>
                <w:p w14:paraId="0B6F0EF2">
                  <w:pPr>
                    <w:spacing w:line="240" w:lineRule="auto"/>
                    <w:jc w:val="center"/>
                    <w:rPr>
                      <w:color w:val="auto"/>
                      <w:sz w:val="21"/>
                      <w:szCs w:val="21"/>
                    </w:rPr>
                  </w:pPr>
                </w:p>
              </w:tc>
              <w:tc>
                <w:tcPr>
                  <w:tcW w:w="2500" w:type="dxa"/>
                  <w:tcBorders>
                    <w:tl2br w:val="nil"/>
                    <w:tr2bl w:val="nil"/>
                  </w:tcBorders>
                  <w:vAlign w:val="center"/>
                </w:tcPr>
                <w:p w14:paraId="2E2C3184">
                  <w:pPr>
                    <w:spacing w:line="240" w:lineRule="auto"/>
                    <w:jc w:val="center"/>
                    <w:rPr>
                      <w:color w:val="auto"/>
                      <w:sz w:val="21"/>
                      <w:szCs w:val="21"/>
                    </w:rPr>
                  </w:pPr>
                  <w:r>
                    <w:rPr>
                      <w:rFonts w:ascii="宋体" w:hAnsi="宋体" w:eastAsia="宋体"/>
                      <w:b w:val="0"/>
                      <w:color w:val="auto"/>
                      <w:sz w:val="21"/>
                      <w:szCs w:val="21"/>
                    </w:rPr>
                    <w:t>岸线方向/°</w:t>
                  </w:r>
                </w:p>
              </w:tc>
              <w:tc>
                <w:tcPr>
                  <w:tcW w:w="2782" w:type="dxa"/>
                  <w:tcBorders>
                    <w:tl2br w:val="nil"/>
                    <w:tr2bl w:val="nil"/>
                  </w:tcBorders>
                  <w:vAlign w:val="center"/>
                </w:tcPr>
                <w:p w14:paraId="76C9A482">
                  <w:pPr>
                    <w:spacing w:line="240" w:lineRule="auto"/>
                    <w:jc w:val="center"/>
                    <w:rPr>
                      <w:color w:val="auto"/>
                      <w:sz w:val="21"/>
                      <w:szCs w:val="21"/>
                    </w:rPr>
                  </w:pPr>
                  <w:r>
                    <w:rPr>
                      <w:rFonts w:ascii="宋体" w:hAnsi="宋体" w:eastAsia="宋体"/>
                      <w:b w:val="0"/>
                      <w:color w:val="auto"/>
                      <w:sz w:val="21"/>
                      <w:szCs w:val="21"/>
                    </w:rPr>
                    <w:t>/</w:t>
                  </w:r>
                </w:p>
              </w:tc>
            </w:tr>
          </w:tbl>
          <w:p w14:paraId="0169BFF0">
            <w:pPr>
              <w:pStyle w:val="59"/>
              <w:numPr>
                <w:ilvl w:val="0"/>
                <w:numId w:val="20"/>
              </w:numPr>
              <w:bidi w:val="0"/>
              <w:ind w:left="425" w:leftChars="0" w:hanging="425" w:firstLineChars="0"/>
              <w:rPr>
                <w:rFonts w:hint="default"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采用估算模型计算无组织排放废气结果一览表</w:t>
            </w:r>
          </w:p>
          <w:tbl>
            <w:tblPr>
              <w:tblStyle w:val="24"/>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37"/>
              <w:gridCol w:w="894"/>
              <w:gridCol w:w="1362"/>
              <w:gridCol w:w="1755"/>
              <w:gridCol w:w="1528"/>
              <w:gridCol w:w="892"/>
            </w:tblGrid>
            <w:tr w14:paraId="2518DA4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7" w:type="dxa"/>
                  <w:tcBorders>
                    <w:tl2br w:val="nil"/>
                    <w:tr2bl w:val="nil"/>
                  </w:tcBorders>
                  <w:vAlign w:val="center"/>
                </w:tcPr>
                <w:p w14:paraId="710896E2">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b/>
                      <w:bCs/>
                      <w:color w:val="auto"/>
                      <w:sz w:val="21"/>
                      <w:szCs w:val="21"/>
                      <w:vertAlign w:val="baseline"/>
                      <w:lang w:val="en-US" w:eastAsia="zh-CN"/>
                    </w:rPr>
                  </w:pPr>
                  <w:r>
                    <w:rPr>
                      <w:rFonts w:hint="eastAsia"/>
                      <w:b/>
                      <w:bCs/>
                      <w:color w:val="auto"/>
                      <w:sz w:val="21"/>
                      <w:szCs w:val="21"/>
                      <w:lang w:val="en-US" w:eastAsia="zh-CN"/>
                    </w:rPr>
                    <w:t>排放方式</w:t>
                  </w:r>
                </w:p>
              </w:tc>
              <w:tc>
                <w:tcPr>
                  <w:tcW w:w="894" w:type="dxa"/>
                  <w:tcBorders>
                    <w:tl2br w:val="nil"/>
                    <w:tr2bl w:val="nil"/>
                  </w:tcBorders>
                  <w:vAlign w:val="center"/>
                </w:tcPr>
                <w:p w14:paraId="17DC01FA">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b/>
                      <w:bCs/>
                      <w:color w:val="auto"/>
                      <w:sz w:val="21"/>
                      <w:szCs w:val="21"/>
                      <w:vertAlign w:val="baseline"/>
                      <w:lang w:val="en-US" w:eastAsia="zh-CN"/>
                    </w:rPr>
                  </w:pPr>
                  <w:r>
                    <w:rPr>
                      <w:rFonts w:hint="eastAsia"/>
                      <w:b/>
                      <w:bCs/>
                      <w:color w:val="auto"/>
                      <w:sz w:val="21"/>
                      <w:szCs w:val="21"/>
                      <w:lang w:val="en-US" w:eastAsia="zh-CN"/>
                    </w:rPr>
                    <w:t>污染源</w:t>
                  </w:r>
                </w:p>
              </w:tc>
              <w:tc>
                <w:tcPr>
                  <w:tcW w:w="1362" w:type="dxa"/>
                  <w:tcBorders>
                    <w:tl2br w:val="nil"/>
                    <w:tr2bl w:val="nil"/>
                  </w:tcBorders>
                  <w:vAlign w:val="center"/>
                </w:tcPr>
                <w:p w14:paraId="672C3935">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b/>
                      <w:bCs/>
                      <w:color w:val="auto"/>
                      <w:sz w:val="21"/>
                      <w:szCs w:val="21"/>
                      <w:vertAlign w:val="baseline"/>
                      <w:lang w:val="en-US" w:eastAsia="zh-CN"/>
                    </w:rPr>
                  </w:pPr>
                  <w:r>
                    <w:rPr>
                      <w:rFonts w:hint="eastAsia"/>
                      <w:b/>
                      <w:bCs/>
                      <w:color w:val="auto"/>
                      <w:sz w:val="21"/>
                      <w:szCs w:val="21"/>
                      <w:lang w:val="en-US" w:eastAsia="zh-CN"/>
                    </w:rPr>
                    <w:t>污染物</w:t>
                  </w:r>
                </w:p>
              </w:tc>
              <w:tc>
                <w:tcPr>
                  <w:tcW w:w="1755" w:type="dxa"/>
                  <w:tcBorders>
                    <w:tl2br w:val="nil"/>
                    <w:tr2bl w:val="nil"/>
                  </w:tcBorders>
                  <w:vAlign w:val="center"/>
                </w:tcPr>
                <w:p w14:paraId="057B1A3A">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b/>
                      <w:bCs/>
                      <w:color w:val="auto"/>
                      <w:sz w:val="21"/>
                      <w:szCs w:val="21"/>
                      <w:vertAlign w:val="baseline"/>
                      <w:lang w:val="en-US" w:eastAsia="zh-CN"/>
                    </w:rPr>
                  </w:pPr>
                  <w:r>
                    <w:rPr>
                      <w:rFonts w:hint="eastAsia"/>
                      <w:b/>
                      <w:bCs/>
                      <w:color w:val="auto"/>
                      <w:sz w:val="21"/>
                      <w:szCs w:val="21"/>
                      <w:lang w:val="en-US" w:eastAsia="zh-CN"/>
                    </w:rPr>
                    <w:t>下风向最大质量浓度</w:t>
                  </w:r>
                  <w:r>
                    <w:rPr>
                      <w:rFonts w:hint="default"/>
                      <w:b/>
                      <w:bCs/>
                      <w:color w:val="auto"/>
                      <w:sz w:val="21"/>
                      <w:szCs w:val="21"/>
                      <w:lang w:val="en-US" w:eastAsia="zh-CN"/>
                    </w:rPr>
                    <w:t>mg/m</w:t>
                  </w:r>
                  <w:r>
                    <w:rPr>
                      <w:rFonts w:hint="eastAsia"/>
                      <w:b/>
                      <w:bCs/>
                      <w:color w:val="auto"/>
                      <w:sz w:val="21"/>
                      <w:szCs w:val="21"/>
                      <w:vertAlign w:val="superscript"/>
                      <w:lang w:val="en-US" w:eastAsia="zh-CN"/>
                    </w:rPr>
                    <w:t>3</w:t>
                  </w:r>
                </w:p>
              </w:tc>
              <w:tc>
                <w:tcPr>
                  <w:tcW w:w="1528" w:type="dxa"/>
                  <w:tcBorders>
                    <w:tl2br w:val="nil"/>
                    <w:tr2bl w:val="nil"/>
                  </w:tcBorders>
                  <w:vAlign w:val="center"/>
                </w:tcPr>
                <w:p w14:paraId="48880D19">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b/>
                      <w:bCs/>
                      <w:color w:val="auto"/>
                      <w:sz w:val="21"/>
                      <w:szCs w:val="21"/>
                      <w:vertAlign w:val="baseline"/>
                      <w:lang w:val="en-US" w:eastAsia="zh-CN"/>
                    </w:rPr>
                  </w:pPr>
                  <w:r>
                    <w:rPr>
                      <w:rFonts w:hint="eastAsia"/>
                      <w:b/>
                      <w:bCs/>
                      <w:color w:val="auto"/>
                      <w:sz w:val="21"/>
                      <w:szCs w:val="21"/>
                      <w:lang w:val="en-US" w:eastAsia="zh-CN"/>
                    </w:rPr>
                    <w:t>最大落地浓度距离</w:t>
                  </w:r>
                  <w:r>
                    <w:rPr>
                      <w:rFonts w:hint="default"/>
                      <w:b/>
                      <w:bCs/>
                      <w:color w:val="auto"/>
                      <w:sz w:val="21"/>
                      <w:szCs w:val="21"/>
                      <w:lang w:val="en-US" w:eastAsia="zh-CN"/>
                    </w:rPr>
                    <w:t>m</w:t>
                  </w:r>
                </w:p>
              </w:tc>
              <w:tc>
                <w:tcPr>
                  <w:tcW w:w="892" w:type="dxa"/>
                  <w:tcBorders>
                    <w:tl2br w:val="nil"/>
                    <w:tr2bl w:val="nil"/>
                  </w:tcBorders>
                  <w:vAlign w:val="center"/>
                </w:tcPr>
                <w:p w14:paraId="20E45062">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b/>
                      <w:bCs/>
                      <w:color w:val="auto"/>
                      <w:sz w:val="21"/>
                      <w:szCs w:val="21"/>
                      <w:lang w:val="en-US" w:eastAsia="zh-CN"/>
                    </w:rPr>
                  </w:pPr>
                  <w:r>
                    <w:rPr>
                      <w:rFonts w:hint="eastAsia"/>
                      <w:b/>
                      <w:bCs/>
                      <w:color w:val="auto"/>
                      <w:sz w:val="21"/>
                      <w:szCs w:val="21"/>
                      <w:lang w:val="en-US" w:eastAsia="zh-CN"/>
                    </w:rPr>
                    <w:t>标准值</w:t>
                  </w:r>
                </w:p>
                <w:p w14:paraId="324A4D6E">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b/>
                      <w:bCs/>
                      <w:color w:val="auto"/>
                      <w:sz w:val="21"/>
                      <w:szCs w:val="21"/>
                      <w:vertAlign w:val="baseline"/>
                      <w:lang w:val="en-US" w:eastAsia="zh-CN"/>
                    </w:rPr>
                  </w:pPr>
                  <w:r>
                    <w:rPr>
                      <w:rFonts w:hint="default"/>
                      <w:b/>
                      <w:bCs/>
                      <w:color w:val="auto"/>
                      <w:sz w:val="21"/>
                      <w:szCs w:val="21"/>
                      <w:lang w:val="en-US" w:eastAsia="zh-CN"/>
                    </w:rPr>
                    <w:t>mg/m</w:t>
                  </w:r>
                  <w:r>
                    <w:rPr>
                      <w:rFonts w:hint="default"/>
                      <w:b/>
                      <w:bCs/>
                      <w:color w:val="auto"/>
                      <w:sz w:val="21"/>
                      <w:szCs w:val="21"/>
                      <w:vertAlign w:val="superscript"/>
                      <w:lang w:val="en-US" w:eastAsia="zh-CN"/>
                    </w:rPr>
                    <w:t>3</w:t>
                  </w:r>
                </w:p>
              </w:tc>
            </w:tr>
            <w:tr w14:paraId="3BF6490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7" w:type="dxa"/>
                  <w:vMerge w:val="restart"/>
                  <w:tcBorders>
                    <w:tl2br w:val="nil"/>
                    <w:tr2bl w:val="nil"/>
                  </w:tcBorders>
                  <w:vAlign w:val="center"/>
                </w:tcPr>
                <w:p w14:paraId="0A79DB51">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color w:val="auto"/>
                      <w:sz w:val="21"/>
                      <w:szCs w:val="21"/>
                      <w:vertAlign w:val="baseline"/>
                      <w:lang w:val="en-US" w:eastAsia="zh-CN"/>
                    </w:rPr>
                  </w:pPr>
                  <w:r>
                    <w:rPr>
                      <w:rFonts w:hint="eastAsia" w:ascii="宋体" w:hAnsi="宋体" w:cs="宋体"/>
                      <w:color w:val="auto"/>
                      <w:kern w:val="0"/>
                      <w:sz w:val="21"/>
                      <w:szCs w:val="21"/>
                      <w:lang w:val="en-US" w:eastAsia="zh-CN" w:bidi="ar"/>
                    </w:rPr>
                    <w:t>面</w:t>
                  </w:r>
                  <w:r>
                    <w:rPr>
                      <w:rFonts w:hint="eastAsia" w:ascii="宋体" w:hAnsi="宋体" w:eastAsia="宋体" w:cs="宋体"/>
                      <w:color w:val="auto"/>
                      <w:kern w:val="0"/>
                      <w:sz w:val="21"/>
                      <w:szCs w:val="21"/>
                      <w:lang w:val="en-US" w:eastAsia="zh-CN" w:bidi="ar"/>
                    </w:rPr>
                    <w:t>源</w:t>
                  </w:r>
                </w:p>
              </w:tc>
              <w:tc>
                <w:tcPr>
                  <w:tcW w:w="894" w:type="dxa"/>
                  <w:vMerge w:val="restart"/>
                  <w:tcBorders>
                    <w:tl2br w:val="nil"/>
                    <w:tr2bl w:val="nil"/>
                  </w:tcBorders>
                  <w:vAlign w:val="center"/>
                </w:tcPr>
                <w:p w14:paraId="222D0475">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color w:val="auto"/>
                      <w:sz w:val="21"/>
                      <w:szCs w:val="21"/>
                      <w:vertAlign w:val="baseline"/>
                      <w:lang w:val="en-US" w:eastAsia="zh-CN"/>
                    </w:rPr>
                  </w:pPr>
                  <w:r>
                    <w:rPr>
                      <w:rFonts w:hint="eastAsia" w:ascii="宋体" w:hAnsi="宋体" w:eastAsia="宋体" w:cs="宋体"/>
                      <w:color w:val="auto"/>
                      <w:kern w:val="0"/>
                      <w:sz w:val="21"/>
                      <w:szCs w:val="21"/>
                      <w:lang w:val="en-US" w:eastAsia="zh-CN" w:bidi="ar"/>
                    </w:rPr>
                    <w:t>实验室</w:t>
                  </w:r>
                </w:p>
              </w:tc>
              <w:tc>
                <w:tcPr>
                  <w:tcW w:w="1362" w:type="dxa"/>
                  <w:tcBorders>
                    <w:tl2br w:val="nil"/>
                    <w:tr2bl w:val="nil"/>
                  </w:tcBorders>
                  <w:shd w:val="clear" w:color="auto" w:fill="auto"/>
                  <w:vAlign w:val="center"/>
                </w:tcPr>
                <w:p w14:paraId="2F936B5A">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ascii="Times New Roman" w:hAnsi="Times New Roman" w:cstheme="minorBidi"/>
                      <w:color w:val="auto"/>
                      <w:kern w:val="2"/>
                      <w:sz w:val="21"/>
                      <w:szCs w:val="21"/>
                      <w:vertAlign w:val="baseline"/>
                      <w:lang w:val="en-US" w:eastAsia="zh-CN" w:bidi="ar-SA"/>
                    </w:rPr>
                    <w:t>颗粒物</w:t>
                  </w:r>
                </w:p>
              </w:tc>
              <w:tc>
                <w:tcPr>
                  <w:tcW w:w="1755" w:type="dxa"/>
                  <w:tcBorders>
                    <w:tl2br w:val="nil"/>
                    <w:tr2bl w:val="nil"/>
                  </w:tcBorders>
                  <w:shd w:val="clear" w:color="auto" w:fill="auto"/>
                  <w:vAlign w:val="center"/>
                </w:tcPr>
                <w:p w14:paraId="0613E7E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ascii="Times New Roman" w:hAnsi="Times New Roman" w:cstheme="minorBidi"/>
                      <w:color w:val="auto"/>
                      <w:kern w:val="2"/>
                      <w:sz w:val="21"/>
                      <w:szCs w:val="21"/>
                      <w:vertAlign w:val="baseline"/>
                      <w:lang w:val="en-US" w:eastAsia="zh-CN" w:bidi="ar-SA"/>
                    </w:rPr>
                    <w:t>0.0000053</w:t>
                  </w:r>
                </w:p>
              </w:tc>
              <w:tc>
                <w:tcPr>
                  <w:tcW w:w="1528" w:type="dxa"/>
                  <w:tcBorders>
                    <w:tl2br w:val="nil"/>
                    <w:tr2bl w:val="nil"/>
                  </w:tcBorders>
                  <w:shd w:val="clear" w:color="auto" w:fill="auto"/>
                  <w:vAlign w:val="center"/>
                </w:tcPr>
                <w:p w14:paraId="599D42B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ascii="Times New Roman" w:hAnsi="Times New Roman" w:cstheme="minorBidi"/>
                      <w:color w:val="auto"/>
                      <w:kern w:val="2"/>
                      <w:sz w:val="21"/>
                      <w:szCs w:val="21"/>
                      <w:vertAlign w:val="baseline"/>
                      <w:lang w:val="en-US" w:eastAsia="zh-CN" w:bidi="ar-SA"/>
                    </w:rPr>
                    <w:t>25</w:t>
                  </w:r>
                </w:p>
              </w:tc>
              <w:tc>
                <w:tcPr>
                  <w:tcW w:w="892" w:type="dxa"/>
                  <w:tcBorders>
                    <w:tl2br w:val="nil"/>
                    <w:tr2bl w:val="nil"/>
                  </w:tcBorders>
                  <w:shd w:val="clear" w:color="auto" w:fill="auto"/>
                  <w:vAlign w:val="center"/>
                </w:tcPr>
                <w:p w14:paraId="4F46CE5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ascii="Times New Roman" w:hAnsi="Times New Roman" w:cstheme="minorBidi"/>
                      <w:color w:val="auto"/>
                      <w:kern w:val="2"/>
                      <w:sz w:val="21"/>
                      <w:szCs w:val="21"/>
                      <w:vertAlign w:val="baseline"/>
                      <w:lang w:val="en-US" w:eastAsia="zh-CN" w:bidi="ar-SA"/>
                    </w:rPr>
                    <w:t>0.3</w:t>
                  </w:r>
                </w:p>
              </w:tc>
            </w:tr>
            <w:tr w14:paraId="765BA23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7" w:type="dxa"/>
                  <w:vMerge w:val="continue"/>
                  <w:tcBorders>
                    <w:tl2br w:val="nil"/>
                    <w:tr2bl w:val="nil"/>
                  </w:tcBorders>
                  <w:vAlign w:val="center"/>
                </w:tcPr>
                <w:p w14:paraId="3F90C762">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cs="宋体"/>
                      <w:color w:val="auto"/>
                      <w:kern w:val="0"/>
                      <w:sz w:val="21"/>
                      <w:szCs w:val="21"/>
                      <w:lang w:val="en-US" w:eastAsia="zh-CN" w:bidi="ar"/>
                    </w:rPr>
                  </w:pPr>
                </w:p>
              </w:tc>
              <w:tc>
                <w:tcPr>
                  <w:tcW w:w="894" w:type="dxa"/>
                  <w:vMerge w:val="continue"/>
                  <w:tcBorders>
                    <w:tl2br w:val="nil"/>
                    <w:tr2bl w:val="nil"/>
                  </w:tcBorders>
                  <w:vAlign w:val="center"/>
                </w:tcPr>
                <w:p w14:paraId="5647105B">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auto"/>
                      <w:kern w:val="0"/>
                      <w:sz w:val="21"/>
                      <w:szCs w:val="21"/>
                      <w:lang w:val="en-US" w:eastAsia="zh-CN" w:bidi="ar"/>
                    </w:rPr>
                  </w:pPr>
                </w:p>
              </w:tc>
              <w:tc>
                <w:tcPr>
                  <w:tcW w:w="1362" w:type="dxa"/>
                  <w:tcBorders>
                    <w:tl2br w:val="nil"/>
                    <w:tr2bl w:val="nil"/>
                  </w:tcBorders>
                  <w:shd w:val="clear" w:color="auto" w:fill="auto"/>
                  <w:vAlign w:val="center"/>
                </w:tcPr>
                <w:p w14:paraId="0FFC6076">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非甲烷总烃</w:t>
                  </w:r>
                </w:p>
              </w:tc>
              <w:tc>
                <w:tcPr>
                  <w:tcW w:w="1755" w:type="dxa"/>
                  <w:tcBorders>
                    <w:tl2br w:val="nil"/>
                    <w:tr2bl w:val="nil"/>
                  </w:tcBorders>
                  <w:shd w:val="clear" w:color="auto" w:fill="auto"/>
                  <w:vAlign w:val="center"/>
                </w:tcPr>
                <w:p w14:paraId="061A812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0.019</w:t>
                  </w:r>
                </w:p>
              </w:tc>
              <w:tc>
                <w:tcPr>
                  <w:tcW w:w="1528" w:type="dxa"/>
                  <w:tcBorders>
                    <w:tl2br w:val="nil"/>
                    <w:tr2bl w:val="nil"/>
                  </w:tcBorders>
                  <w:shd w:val="clear" w:color="auto" w:fill="auto"/>
                  <w:vAlign w:val="center"/>
                </w:tcPr>
                <w:p w14:paraId="2FB4AD3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25</w:t>
                  </w:r>
                </w:p>
              </w:tc>
              <w:tc>
                <w:tcPr>
                  <w:tcW w:w="892" w:type="dxa"/>
                  <w:tcBorders>
                    <w:tl2br w:val="nil"/>
                    <w:tr2bl w:val="nil"/>
                  </w:tcBorders>
                  <w:shd w:val="clear" w:color="auto" w:fill="auto"/>
                  <w:vAlign w:val="center"/>
                </w:tcPr>
                <w:p w14:paraId="58AE07B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1.0</w:t>
                  </w:r>
                </w:p>
              </w:tc>
            </w:tr>
          </w:tbl>
          <w:p w14:paraId="7A76CD55">
            <w:pPr>
              <w:adjustRightInd w:val="0"/>
              <w:spacing w:line="360" w:lineRule="auto"/>
              <w:ind w:firstLine="480" w:firstLineChars="200"/>
              <w:rPr>
                <w:rFonts w:hint="default" w:ascii="Times New Roman" w:hAnsi="Times New Roman" w:eastAsia="宋体" w:cs="Times New Roman"/>
                <w:b/>
                <w:bCs/>
                <w:color w:val="auto"/>
                <w:sz w:val="24"/>
                <w:highlight w:val="none"/>
                <w:lang w:val="en-US" w:eastAsia="zh-CN"/>
              </w:rPr>
            </w:pPr>
            <w:r>
              <w:rPr>
                <w:rFonts w:hint="eastAsia" w:ascii="Times New Roman" w:hAnsi="Times New Roman" w:cs="Times New Roman"/>
                <w:color w:val="auto"/>
                <w:sz w:val="24"/>
                <w:highlight w:val="none"/>
                <w:lang w:val="en-US" w:eastAsia="zh-CN"/>
              </w:rPr>
              <w:t>综上，本项目建设完成后无组织废气排放浓度满足北京市《大气污染物综合排放标准》（DB11/501-2017）表3中“单位周界无组织排放监控点浓度限值要求”。</w:t>
            </w:r>
          </w:p>
          <w:p w14:paraId="0F198D56">
            <w:pPr>
              <w:adjustRightInd w:val="0"/>
              <w:snapToGrid w:val="0"/>
              <w:spacing w:line="360" w:lineRule="auto"/>
              <w:ind w:firstLine="482" w:firstLineChars="200"/>
              <w:rPr>
                <w:rFonts w:hint="default" w:ascii="Times New Roman" w:hAnsi="Times New Roman" w:eastAsia="宋体" w:cs="Times New Roman"/>
                <w:b/>
                <w:bCs/>
                <w:color w:val="auto"/>
                <w:sz w:val="24"/>
                <w:highlight w:val="none"/>
                <w:lang w:val="en-US" w:eastAsia="zh-CN"/>
              </w:rPr>
            </w:pPr>
            <w:r>
              <w:rPr>
                <w:rFonts w:hint="eastAsia" w:cs="Times New Roman"/>
                <w:b/>
                <w:bCs/>
                <w:color w:val="auto"/>
                <w:sz w:val="24"/>
                <w:highlight w:val="none"/>
                <w:lang w:val="en-US" w:eastAsia="zh-CN"/>
              </w:rPr>
              <w:t>3、</w:t>
            </w:r>
            <w:r>
              <w:rPr>
                <w:rFonts w:hint="default" w:ascii="Times New Roman" w:hAnsi="Times New Roman" w:eastAsia="宋体" w:cs="Times New Roman"/>
                <w:b/>
                <w:bCs/>
                <w:color w:val="auto"/>
                <w:sz w:val="24"/>
                <w:highlight w:val="none"/>
                <w:lang w:val="en-US" w:eastAsia="zh-CN"/>
              </w:rPr>
              <w:t>废气治理措施可行性分析</w:t>
            </w:r>
          </w:p>
          <w:p w14:paraId="2F4C806E">
            <w:pPr>
              <w:adjustRightInd w:val="0"/>
              <w:spacing w:line="360" w:lineRule="auto"/>
              <w:ind w:firstLine="480" w:firstLineChars="200"/>
              <w:rPr>
                <w:rFonts w:hint="eastAsia" w:cs="Times New Roman"/>
                <w:color w:val="auto"/>
                <w:kern w:val="0"/>
                <w:sz w:val="24"/>
                <w:highlight w:val="none"/>
                <w:lang w:val="en-US" w:eastAsia="zh-CN"/>
              </w:rPr>
            </w:pPr>
            <w:r>
              <w:rPr>
                <w:rFonts w:hint="eastAsia" w:ascii="Times New Roman" w:hAnsi="Times New Roman" w:cs="Times New Roman"/>
                <w:color w:val="auto"/>
                <w:sz w:val="24"/>
                <w:highlight w:val="none"/>
                <w:lang w:val="en-US" w:eastAsia="zh-CN"/>
              </w:rPr>
              <w:t>本项目正负极浆料制备、涂布干燥过程产生的含NMP废气经收集后进入含吸附剂的转轮富集吸附，吸附废气经热解吸变为高浓度废气，高浓废气经冷凝器将气态转化为液态物料收集，经过冷凝回收净化的废气再经活性炭吸附处理后排放。NMP常温下沸点203℃，冷凝温度可达5℃，大部分气态物质将转化为液态物质回收，剩余气体再经活性炭进一步吸附处理。根据设备厂家提供的资料，该套装置对NMP的回收效率可达到99%。</w:t>
            </w:r>
            <w:r>
              <w:rPr>
                <w:rFonts w:hint="eastAsia" w:ascii="Times New Roman" w:hAnsi="Times New Roman" w:cs="Times New Roman"/>
                <w:color w:val="auto"/>
                <w:kern w:val="0"/>
                <w:sz w:val="24"/>
                <w:highlight w:val="none"/>
                <w:lang w:val="en-US" w:eastAsia="zh-CN"/>
              </w:rPr>
              <w:t>根据《N-甲基吡咯烷酮(NMP)废气回收及废液循环利用装置技术规范》（GB/T46839-2025），采用低温冷凝加分子筛转轮吸附工艺处理NMP废气，</w:t>
            </w:r>
            <w:r>
              <w:rPr>
                <w:rFonts w:hint="eastAsia" w:cs="Times New Roman"/>
                <w:color w:val="auto"/>
                <w:kern w:val="0"/>
                <w:sz w:val="24"/>
                <w:highlight w:val="none"/>
                <w:lang w:val="en-US" w:eastAsia="zh-CN"/>
              </w:rPr>
              <w:t>NMP回收率可达90-95%。</w:t>
            </w:r>
          </w:p>
          <w:p w14:paraId="00E99756">
            <w:pPr>
              <w:adjustRightInd w:val="0"/>
              <w:spacing w:line="360" w:lineRule="auto"/>
              <w:ind w:firstLine="480" w:firstLineChars="200"/>
              <w:rPr>
                <w:rFonts w:hint="default" w:cs="Times New Roman"/>
                <w:color w:val="auto"/>
                <w:kern w:val="0"/>
                <w:sz w:val="24"/>
                <w:highlight w:val="none"/>
                <w:lang w:val="en-US" w:eastAsia="zh-CN"/>
              </w:rPr>
            </w:pPr>
            <w:r>
              <w:rPr>
                <w:rFonts w:hint="eastAsia" w:cs="Times New Roman"/>
                <w:color w:val="auto"/>
                <w:kern w:val="0"/>
                <w:sz w:val="24"/>
                <w:highlight w:val="none"/>
                <w:lang w:val="en-US" w:eastAsia="zh-CN"/>
              </w:rPr>
              <w:t>本项目喷雾干燥过程产生的前驱体粉尘由设备自带的经旋风+布袋收集，综合收集效率99%。</w:t>
            </w:r>
          </w:p>
          <w:p w14:paraId="5BD9B7D0">
            <w:pPr>
              <w:adjustRightInd w:val="0"/>
              <w:spacing w:line="360" w:lineRule="auto"/>
              <w:ind w:firstLine="480" w:firstLineChars="200"/>
              <w:rPr>
                <w:rFonts w:hint="eastAsia" w:ascii="Times New Roman" w:hAnsi="Times New Roman" w:cs="Times New Roman"/>
                <w:color w:val="auto"/>
                <w:sz w:val="24"/>
                <w:highlight w:val="none"/>
                <w:lang w:val="en-US" w:eastAsia="zh-CN"/>
              </w:rPr>
            </w:pPr>
            <w:r>
              <w:rPr>
                <w:rFonts w:hint="eastAsia" w:ascii="Times New Roman" w:hAnsi="Times New Roman" w:cs="Times New Roman"/>
                <w:color w:val="auto"/>
                <w:sz w:val="24"/>
                <w:highlight w:val="none"/>
                <w:lang w:val="en-US" w:eastAsia="zh-CN"/>
              </w:rPr>
              <w:t>根据《排污许可证申请与核发技术规范电池工业》，锂电池制造中“NMP回收装置、袋式除尘器”均为可行性技术。</w:t>
            </w:r>
          </w:p>
          <w:p w14:paraId="1BC358ED">
            <w:pPr>
              <w:adjustRightInd w:val="0"/>
              <w:spacing w:line="360" w:lineRule="auto"/>
              <w:ind w:firstLine="480" w:firstLineChars="200"/>
              <w:rPr>
                <w:rFonts w:hint="eastAsia" w:cs="Times New Roman"/>
                <w:b w:val="0"/>
                <w:bCs/>
                <w:color w:val="auto"/>
                <w:sz w:val="24"/>
                <w:highlight w:val="none"/>
                <w:lang w:val="en-US" w:eastAsia="zh-CN"/>
              </w:rPr>
            </w:pPr>
            <w:r>
              <w:rPr>
                <w:rFonts w:hint="eastAsia" w:ascii="Times New Roman" w:hAnsi="Times New Roman" w:cs="Times New Roman"/>
                <w:color w:val="auto"/>
                <w:sz w:val="24"/>
                <w:highlight w:val="none"/>
                <w:lang w:val="en-US" w:eastAsia="zh-CN"/>
              </w:rPr>
              <w:t>手套箱为密闭设备，</w:t>
            </w:r>
            <w:r>
              <w:rPr>
                <w:rFonts w:hint="eastAsia" w:cs="Times New Roman"/>
                <w:b w:val="0"/>
                <w:bCs/>
                <w:color w:val="auto"/>
                <w:sz w:val="24"/>
                <w:highlight w:val="none"/>
                <w:lang w:val="en-US" w:eastAsia="zh-CN"/>
              </w:rPr>
              <w:t>内充氩气，内部气体经自带的吸附剂、活性炭循环吸附，保持手套箱内部干燥、洁净环境，所有废气不外排。</w:t>
            </w:r>
          </w:p>
          <w:p w14:paraId="2BC614F2">
            <w:pPr>
              <w:adjustRightInd w:val="0"/>
              <w:spacing w:line="360" w:lineRule="auto"/>
              <w:ind w:firstLine="480" w:firstLineChars="200"/>
              <w:rPr>
                <w:rFonts w:hint="default" w:cs="Times New Roman"/>
                <w:b w:val="0"/>
                <w:bCs/>
                <w:color w:val="auto"/>
                <w:sz w:val="24"/>
                <w:highlight w:val="none"/>
                <w:lang w:val="en-US" w:eastAsia="zh-CN"/>
              </w:rPr>
            </w:pPr>
            <w:r>
              <w:rPr>
                <w:rFonts w:hint="eastAsia" w:cs="Times New Roman"/>
                <w:b w:val="0"/>
                <w:bCs/>
                <w:color w:val="auto"/>
                <w:sz w:val="24"/>
                <w:highlight w:val="none"/>
                <w:lang w:val="en-US" w:eastAsia="zh-CN"/>
              </w:rPr>
              <w:t>综上分析，本项目采用的废气治理措施均为可行性措施。</w:t>
            </w:r>
          </w:p>
          <w:p w14:paraId="085415A6">
            <w:pPr>
              <w:numPr>
                <w:ilvl w:val="255"/>
                <w:numId w:val="0"/>
              </w:numPr>
              <w:adjustRightInd w:val="0"/>
              <w:spacing w:line="360" w:lineRule="auto"/>
              <w:ind w:left="420" w:leftChars="200"/>
              <w:rPr>
                <w:rFonts w:hint="default" w:ascii="Times New Roman" w:hAnsi="Times New Roman" w:eastAsia="宋体" w:cs="Times New Roman"/>
                <w:b/>
                <w:bCs/>
                <w:color w:val="auto"/>
                <w:sz w:val="24"/>
                <w:highlight w:val="none"/>
              </w:rPr>
            </w:pPr>
            <w:r>
              <w:rPr>
                <w:rFonts w:hint="eastAsia" w:cs="Times New Roman"/>
                <w:b/>
                <w:bCs/>
                <w:color w:val="auto"/>
                <w:sz w:val="24"/>
                <w:highlight w:val="none"/>
                <w:lang w:val="en-US" w:eastAsia="zh-CN"/>
              </w:rPr>
              <w:t>5、</w:t>
            </w:r>
            <w:r>
              <w:rPr>
                <w:rFonts w:hint="default" w:ascii="Times New Roman" w:hAnsi="Times New Roman" w:eastAsia="宋体" w:cs="Times New Roman"/>
                <w:b/>
                <w:bCs/>
                <w:color w:val="auto"/>
                <w:sz w:val="24"/>
                <w:highlight w:val="none"/>
              </w:rPr>
              <w:t>自行监测计划</w:t>
            </w:r>
          </w:p>
          <w:p w14:paraId="0A1DBD20">
            <w:pPr>
              <w:adjustRightInd w:val="0"/>
              <w:snapToGrid w:val="0"/>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本项目废气监测计划详见下表。</w:t>
            </w:r>
          </w:p>
          <w:p w14:paraId="115D03F0">
            <w:pPr>
              <w:keepNext w:val="0"/>
              <w:keepLines w:val="0"/>
              <w:widowControl/>
              <w:numPr>
                <w:ilvl w:val="0"/>
                <w:numId w:val="21"/>
              </w:numPr>
              <w:suppressLineNumbers w:val="0"/>
              <w:ind w:left="425" w:leftChars="0" w:hanging="425" w:firstLineChars="0"/>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项目废气监测计划</w:t>
            </w:r>
          </w:p>
          <w:tbl>
            <w:tblPr>
              <w:tblStyle w:val="24"/>
              <w:tblW w:w="5000" w:type="pct"/>
              <w:jc w:val="center"/>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988"/>
              <w:gridCol w:w="1472"/>
              <w:gridCol w:w="1019"/>
              <w:gridCol w:w="1010"/>
              <w:gridCol w:w="3080"/>
            </w:tblGrid>
            <w:tr w14:paraId="2E3E26FC">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PrEx>
              <w:trPr>
                <w:trHeight w:val="397" w:hRule="atLeast"/>
                <w:jc w:val="center"/>
              </w:trPr>
              <w:tc>
                <w:tcPr>
                  <w:tcW w:w="1047" w:type="dxa"/>
                  <w:tcBorders>
                    <w:tl2br w:val="nil"/>
                    <w:tr2bl w:val="nil"/>
                  </w:tcBorders>
                  <w:shd w:val="clear" w:color="auto" w:fill="FFFFFF"/>
                  <w:noWrap w:val="0"/>
                  <w:vAlign w:val="center"/>
                </w:tcPr>
                <w:p w14:paraId="7C6A8D7E">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jc w:val="center"/>
                    <w:textAlignment w:val="auto"/>
                    <w:rPr>
                      <w:rFonts w:hint="eastAsia"/>
                      <w:b/>
                      <w:bCs/>
                      <w:color w:val="auto"/>
                      <w:highlight w:val="none"/>
                      <w:lang w:val="en-US" w:eastAsia="zh-CN"/>
                    </w:rPr>
                  </w:pPr>
                  <w:r>
                    <w:rPr>
                      <w:rFonts w:hint="eastAsia"/>
                      <w:b/>
                      <w:bCs/>
                      <w:color w:val="auto"/>
                      <w:highlight w:val="none"/>
                      <w:lang w:val="en-US" w:eastAsia="zh-CN"/>
                    </w:rPr>
                    <w:t>类型</w:t>
                  </w:r>
                </w:p>
              </w:tc>
              <w:tc>
                <w:tcPr>
                  <w:tcW w:w="1560" w:type="dxa"/>
                  <w:tcBorders>
                    <w:tl2br w:val="nil"/>
                    <w:tr2bl w:val="nil"/>
                  </w:tcBorders>
                  <w:shd w:val="clear" w:color="auto" w:fill="FFFFFF"/>
                  <w:noWrap w:val="0"/>
                  <w:vAlign w:val="center"/>
                </w:tcPr>
                <w:p w14:paraId="78E27D22">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jc w:val="center"/>
                    <w:textAlignment w:val="auto"/>
                    <w:rPr>
                      <w:rFonts w:hint="eastAsia"/>
                      <w:b/>
                      <w:bCs/>
                      <w:color w:val="auto"/>
                      <w:highlight w:val="none"/>
                      <w:lang w:val="en-US" w:eastAsia="zh-CN"/>
                    </w:rPr>
                  </w:pPr>
                  <w:r>
                    <w:rPr>
                      <w:rFonts w:hint="eastAsia"/>
                      <w:b/>
                      <w:bCs/>
                      <w:color w:val="auto"/>
                      <w:highlight w:val="none"/>
                      <w:lang w:val="en-US" w:eastAsia="zh-CN"/>
                    </w:rPr>
                    <w:t>监测点位</w:t>
                  </w:r>
                </w:p>
              </w:tc>
              <w:tc>
                <w:tcPr>
                  <w:tcW w:w="1080" w:type="dxa"/>
                  <w:tcBorders>
                    <w:tl2br w:val="nil"/>
                    <w:tr2bl w:val="nil"/>
                  </w:tcBorders>
                  <w:shd w:val="clear" w:color="auto" w:fill="FFFFFF"/>
                  <w:noWrap w:val="0"/>
                  <w:vAlign w:val="center"/>
                </w:tcPr>
                <w:p w14:paraId="41534EBE">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b/>
                      <w:bCs/>
                      <w:color w:val="auto"/>
                      <w:highlight w:val="none"/>
                      <w:lang w:val="en-US" w:eastAsia="zh-CN"/>
                    </w:rPr>
                  </w:pPr>
                  <w:r>
                    <w:rPr>
                      <w:rFonts w:hint="eastAsia"/>
                      <w:b/>
                      <w:bCs/>
                      <w:color w:val="auto"/>
                      <w:highlight w:val="none"/>
                      <w:lang w:val="en-US" w:eastAsia="zh-CN"/>
                    </w:rPr>
                    <w:t>监测因子</w:t>
                  </w:r>
                </w:p>
              </w:tc>
              <w:tc>
                <w:tcPr>
                  <w:tcW w:w="1071" w:type="dxa"/>
                  <w:tcBorders>
                    <w:tl2br w:val="nil"/>
                    <w:tr2bl w:val="nil"/>
                  </w:tcBorders>
                  <w:shd w:val="clear" w:color="auto" w:fill="FFFFFF"/>
                  <w:noWrap w:val="0"/>
                  <w:vAlign w:val="center"/>
                </w:tcPr>
                <w:p w14:paraId="23B35EF4">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jc w:val="center"/>
                    <w:textAlignment w:val="auto"/>
                    <w:rPr>
                      <w:rFonts w:hint="eastAsia"/>
                      <w:b/>
                      <w:bCs/>
                      <w:color w:val="auto"/>
                      <w:highlight w:val="none"/>
                      <w:lang w:val="en-US" w:eastAsia="zh-CN"/>
                    </w:rPr>
                  </w:pPr>
                  <w:r>
                    <w:rPr>
                      <w:rFonts w:hint="eastAsia"/>
                      <w:b/>
                      <w:bCs/>
                      <w:color w:val="auto"/>
                      <w:highlight w:val="none"/>
                      <w:lang w:val="en-US" w:eastAsia="zh-CN"/>
                    </w:rPr>
                    <w:t>监测频率</w:t>
                  </w:r>
                </w:p>
              </w:tc>
              <w:tc>
                <w:tcPr>
                  <w:tcW w:w="3265" w:type="dxa"/>
                  <w:tcBorders>
                    <w:tl2br w:val="nil"/>
                    <w:tr2bl w:val="nil"/>
                  </w:tcBorders>
                  <w:shd w:val="clear" w:color="auto" w:fill="FFFFFF"/>
                  <w:noWrap w:val="0"/>
                  <w:vAlign w:val="center"/>
                </w:tcPr>
                <w:p w14:paraId="4F5E5F7B">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jc w:val="center"/>
                    <w:textAlignment w:val="auto"/>
                    <w:rPr>
                      <w:rFonts w:hint="eastAsia"/>
                      <w:b/>
                      <w:bCs/>
                      <w:color w:val="auto"/>
                      <w:highlight w:val="none"/>
                      <w:lang w:val="en-US" w:eastAsia="zh-CN"/>
                    </w:rPr>
                  </w:pPr>
                  <w:r>
                    <w:rPr>
                      <w:rFonts w:hint="eastAsia"/>
                      <w:b/>
                      <w:bCs/>
                      <w:color w:val="auto"/>
                      <w:highlight w:val="none"/>
                      <w:lang w:val="en-US" w:eastAsia="zh-CN"/>
                    </w:rPr>
                    <w:t>执行标准</w:t>
                  </w:r>
                </w:p>
              </w:tc>
            </w:tr>
            <w:tr w14:paraId="4C603DAE">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047" w:type="dxa"/>
                  <w:tcBorders>
                    <w:tl2br w:val="nil"/>
                    <w:tr2bl w:val="nil"/>
                  </w:tcBorders>
                  <w:shd w:val="clear" w:color="auto" w:fill="FFFFFF"/>
                  <w:noWrap w:val="0"/>
                  <w:vAlign w:val="center"/>
                </w:tcPr>
                <w:p w14:paraId="75A8F4FB">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废气</w:t>
                  </w:r>
                </w:p>
                <w:p w14:paraId="0E4522E0">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（无组织）</w:t>
                  </w:r>
                </w:p>
              </w:tc>
              <w:tc>
                <w:tcPr>
                  <w:tcW w:w="1560" w:type="dxa"/>
                  <w:tcBorders>
                    <w:tl2br w:val="nil"/>
                    <w:tr2bl w:val="nil"/>
                  </w:tcBorders>
                  <w:shd w:val="clear" w:color="auto" w:fill="FFFFFF"/>
                  <w:noWrap w:val="0"/>
                  <w:vAlign w:val="center"/>
                </w:tcPr>
                <w:p w14:paraId="22D98C57">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单位周界</w:t>
                  </w:r>
                </w:p>
                <w:p w14:paraId="1BC7A7AE">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（上风向1个点位、下风向3个点位）</w:t>
                  </w:r>
                </w:p>
              </w:tc>
              <w:tc>
                <w:tcPr>
                  <w:tcW w:w="1080" w:type="dxa"/>
                  <w:tcBorders>
                    <w:tl2br w:val="nil"/>
                    <w:tr2bl w:val="nil"/>
                  </w:tcBorders>
                  <w:shd w:val="clear" w:color="auto" w:fill="FFFFFF"/>
                  <w:noWrap w:val="0"/>
                  <w:vAlign w:val="center"/>
                </w:tcPr>
                <w:p w14:paraId="008414CF">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eastAsia="宋体"/>
                      <w:color w:val="auto"/>
                      <w:highlight w:val="none"/>
                      <w:lang w:val="en-US" w:eastAsia="zh-CN"/>
                    </w:rPr>
                  </w:pPr>
                  <w:r>
                    <w:rPr>
                      <w:rFonts w:hint="eastAsia"/>
                      <w:color w:val="auto"/>
                      <w:highlight w:val="none"/>
                      <w:lang w:val="en-US" w:eastAsia="zh-CN"/>
                    </w:rPr>
                    <w:t>非甲烷总烃、颗粒物</w:t>
                  </w:r>
                </w:p>
              </w:tc>
              <w:tc>
                <w:tcPr>
                  <w:tcW w:w="1071" w:type="dxa"/>
                  <w:tcBorders>
                    <w:tl2br w:val="nil"/>
                    <w:tr2bl w:val="nil"/>
                  </w:tcBorders>
                  <w:shd w:val="clear" w:color="auto" w:fill="FFFFFF"/>
                  <w:noWrap w:val="0"/>
                  <w:vAlign w:val="center"/>
                </w:tcPr>
                <w:p w14:paraId="0744FF3B">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color w:val="auto"/>
                      <w:highlight w:val="none"/>
                      <w:lang w:val="en-US" w:eastAsia="zh-CN"/>
                    </w:rPr>
                  </w:pPr>
                  <w:r>
                    <w:rPr>
                      <w:rFonts w:hint="eastAsia"/>
                      <w:color w:val="auto"/>
                      <w:highlight w:val="none"/>
                      <w:lang w:val="en-US" w:eastAsia="zh-CN"/>
                    </w:rPr>
                    <w:t>1次/年</w:t>
                  </w:r>
                </w:p>
              </w:tc>
              <w:tc>
                <w:tcPr>
                  <w:tcW w:w="3265" w:type="dxa"/>
                  <w:tcBorders>
                    <w:tl2br w:val="nil"/>
                    <w:tr2bl w:val="nil"/>
                  </w:tcBorders>
                  <w:shd w:val="clear" w:color="auto" w:fill="FFFFFF"/>
                  <w:noWrap w:val="0"/>
                  <w:vAlign w:val="center"/>
                </w:tcPr>
                <w:p w14:paraId="232D4283">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jc w:val="center"/>
                    <w:textAlignment w:val="auto"/>
                    <w:rPr>
                      <w:rFonts w:hint="default"/>
                      <w:color w:val="auto"/>
                      <w:highlight w:val="none"/>
                      <w:lang w:val="en-US" w:eastAsia="zh-CN"/>
                    </w:rPr>
                  </w:pPr>
                  <w:r>
                    <w:rPr>
                      <w:rFonts w:hint="eastAsia"/>
                      <w:color w:val="auto"/>
                      <w:highlight w:val="none"/>
                      <w:lang w:eastAsia="zh-CN"/>
                    </w:rPr>
                    <w:t>《大气污染物综合排放标准》DB11</w:t>
                  </w:r>
                  <w:r>
                    <w:rPr>
                      <w:rFonts w:hint="eastAsia"/>
                      <w:color w:val="auto"/>
                      <w:highlight w:val="none"/>
                      <w:lang w:val="en-US" w:eastAsia="zh-CN"/>
                    </w:rPr>
                    <w:t>/</w:t>
                  </w:r>
                  <w:r>
                    <w:rPr>
                      <w:rFonts w:hint="eastAsia"/>
                      <w:color w:val="auto"/>
                      <w:highlight w:val="none"/>
                      <w:lang w:eastAsia="zh-CN"/>
                    </w:rPr>
                    <w:t>501</w:t>
                  </w:r>
                  <w:r>
                    <w:rPr>
                      <w:rFonts w:hint="eastAsia"/>
                      <w:color w:val="auto"/>
                      <w:highlight w:val="none"/>
                      <w:lang w:val="en-US" w:eastAsia="zh-CN"/>
                    </w:rPr>
                    <w:t>-</w:t>
                  </w:r>
                  <w:r>
                    <w:rPr>
                      <w:rFonts w:hint="eastAsia"/>
                      <w:color w:val="auto"/>
                      <w:highlight w:val="none"/>
                      <w:lang w:eastAsia="zh-CN"/>
                    </w:rPr>
                    <w:t>2017</w:t>
                  </w:r>
                  <w:r>
                    <w:rPr>
                      <w:rFonts w:hint="eastAsia"/>
                      <w:color w:val="auto"/>
                      <w:highlight w:val="none"/>
                      <w:lang w:val="en-US" w:eastAsia="zh-CN"/>
                    </w:rPr>
                    <w:t>中“表3生产工艺废气及其他废气大气污染物排放限值-单位周界无组织排放监控点浓度限值”</w:t>
                  </w:r>
                </w:p>
              </w:tc>
            </w:tr>
          </w:tbl>
          <w:p w14:paraId="16AFBD65">
            <w:pPr>
              <w:adjustRightInd w:val="0"/>
              <w:snapToGrid w:val="0"/>
              <w:rPr>
                <w:rFonts w:hint="default" w:ascii="Times New Roman" w:hAnsi="Times New Roman" w:eastAsia="宋体" w:cs="Times New Roman"/>
                <w:bCs/>
                <w:color w:val="auto"/>
                <w:spacing w:val="-10"/>
                <w:szCs w:val="21"/>
                <w:highlight w:val="none"/>
              </w:rPr>
            </w:pPr>
            <w:r>
              <w:rPr>
                <w:rFonts w:hint="default" w:ascii="Times New Roman" w:hAnsi="Times New Roman" w:eastAsia="宋体" w:cs="Times New Roman"/>
                <w:bCs/>
                <w:color w:val="auto"/>
                <w:spacing w:val="-10"/>
                <w:szCs w:val="21"/>
                <w:highlight w:val="none"/>
              </w:rPr>
              <w:t>（注：</w:t>
            </w:r>
            <w:r>
              <w:rPr>
                <w:rFonts w:hint="default" w:ascii="Times New Roman" w:hAnsi="Times New Roman" w:eastAsia="宋体" w:cs="Times New Roman"/>
                <w:bCs/>
                <w:color w:val="auto"/>
                <w:szCs w:val="21"/>
                <w:highlight w:val="none"/>
              </w:rPr>
              <w:t>废气监测计划参照《</w:t>
            </w:r>
            <w:r>
              <w:rPr>
                <w:rFonts w:hint="default" w:ascii="Times New Roman" w:hAnsi="Times New Roman" w:eastAsia="宋体" w:cs="Times New Roman"/>
                <w:bCs/>
                <w:color w:val="auto"/>
                <w:szCs w:val="21"/>
                <w:highlight w:val="none"/>
                <w:lang w:val="ru-RU"/>
              </w:rPr>
              <w:t>排污单位自行监测技术指南 总则</w:t>
            </w:r>
            <w:r>
              <w:rPr>
                <w:rFonts w:hint="default" w:ascii="Times New Roman" w:hAnsi="Times New Roman" w:eastAsia="宋体" w:cs="Times New Roman"/>
                <w:bCs/>
                <w:color w:val="auto"/>
                <w:szCs w:val="21"/>
                <w:highlight w:val="none"/>
              </w:rPr>
              <w:t>》（HJ819-2017）</w:t>
            </w:r>
            <w:r>
              <w:rPr>
                <w:rFonts w:hint="default" w:ascii="Times New Roman" w:hAnsi="Times New Roman" w:eastAsia="宋体" w:cs="Times New Roman"/>
                <w:bCs/>
                <w:color w:val="auto"/>
                <w:spacing w:val="-10"/>
                <w:szCs w:val="21"/>
                <w:highlight w:val="none"/>
              </w:rPr>
              <w:t>）</w:t>
            </w:r>
          </w:p>
          <w:p w14:paraId="5F6A7D05">
            <w:pPr>
              <w:numPr>
                <w:ilvl w:val="0"/>
                <w:numId w:val="19"/>
              </w:numPr>
              <w:adjustRightInd w:val="0"/>
              <w:snapToGrid w:val="0"/>
              <w:spacing w:line="360" w:lineRule="auto"/>
              <w:rPr>
                <w:rFonts w:hint="default" w:ascii="Times New Roman" w:hAnsi="Times New Roman" w:eastAsia="宋体" w:cs="Times New Roman"/>
                <w:b/>
                <w:bCs/>
                <w:color w:val="auto"/>
                <w:spacing w:val="-10"/>
                <w:sz w:val="24"/>
                <w:highlight w:val="none"/>
              </w:rPr>
            </w:pPr>
            <w:r>
              <w:rPr>
                <w:rFonts w:hint="default" w:ascii="Times New Roman" w:hAnsi="Times New Roman" w:eastAsia="宋体" w:cs="Times New Roman"/>
                <w:b/>
                <w:bCs/>
                <w:color w:val="auto"/>
                <w:spacing w:val="-10"/>
                <w:sz w:val="24"/>
                <w:highlight w:val="none"/>
              </w:rPr>
              <w:t>废水</w:t>
            </w:r>
          </w:p>
          <w:p w14:paraId="2CD07F08">
            <w:pPr>
              <w:numPr>
                <w:ilvl w:val="255"/>
                <w:numId w:val="0"/>
              </w:numPr>
              <w:adjustRightInd w:val="0"/>
              <w:spacing w:line="360" w:lineRule="auto"/>
              <w:ind w:left="420" w:leftChars="200"/>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eastAsia="zh-CN"/>
              </w:rPr>
              <w:t>（1）</w:t>
            </w:r>
            <w:r>
              <w:rPr>
                <w:rFonts w:hint="default" w:ascii="Times New Roman" w:hAnsi="Times New Roman" w:eastAsia="宋体" w:cs="Times New Roman"/>
                <w:b/>
                <w:bCs/>
                <w:color w:val="auto"/>
                <w:sz w:val="24"/>
                <w:highlight w:val="none"/>
                <w:lang w:val="en-US" w:eastAsia="zh-CN"/>
              </w:rPr>
              <w:t>废水源强核算</w:t>
            </w:r>
          </w:p>
          <w:p w14:paraId="23D8A12C">
            <w:pPr>
              <w:adjustRightInd w:val="0"/>
              <w:snapToGrid w:val="0"/>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eastAsia" w:cs="Times New Roman"/>
                <w:color w:val="auto"/>
                <w:sz w:val="24"/>
                <w:highlight w:val="none"/>
                <w:lang w:val="en-US" w:eastAsia="zh-CN"/>
              </w:rPr>
              <w:t>本</w:t>
            </w:r>
            <w:r>
              <w:rPr>
                <w:rFonts w:hint="default" w:ascii="Times New Roman" w:hAnsi="Times New Roman" w:eastAsia="宋体" w:cs="Times New Roman"/>
                <w:color w:val="auto"/>
                <w:sz w:val="24"/>
                <w:highlight w:val="none"/>
                <w:lang w:val="en-US" w:eastAsia="zh-CN"/>
              </w:rPr>
              <w:t>项目排放的废水主要为生活污水</w:t>
            </w:r>
            <w:r>
              <w:rPr>
                <w:rFonts w:hint="default" w:ascii="Times New Roman" w:hAnsi="Times New Roman" w:eastAsia="宋体" w:cs="Times New Roman"/>
                <w:color w:val="auto"/>
                <w:sz w:val="24"/>
                <w:szCs w:val="32"/>
                <w:highlight w:val="none"/>
                <w:lang w:val="en-US" w:eastAsia="zh-CN"/>
              </w:rPr>
              <w:t>、</w:t>
            </w:r>
            <w:r>
              <w:rPr>
                <w:rFonts w:hint="eastAsia" w:cs="Times New Roman"/>
                <w:color w:val="auto"/>
                <w:sz w:val="24"/>
                <w:szCs w:val="32"/>
                <w:highlight w:val="none"/>
                <w:lang w:val="en-US" w:eastAsia="zh-CN"/>
              </w:rPr>
              <w:t>设备容器第二次清洗废水、纯水制备废水</w:t>
            </w:r>
            <w:r>
              <w:rPr>
                <w:rFonts w:hint="default" w:ascii="Times New Roman" w:hAnsi="Times New Roman" w:eastAsia="宋体" w:cs="Times New Roman"/>
                <w:color w:val="auto"/>
                <w:sz w:val="24"/>
                <w:szCs w:val="32"/>
                <w:highlight w:val="none"/>
                <w:lang w:val="en-US" w:eastAsia="zh-CN"/>
              </w:rPr>
              <w:t>，</w:t>
            </w:r>
            <w:r>
              <w:rPr>
                <w:rFonts w:hint="eastAsia" w:cs="Times New Roman"/>
                <w:color w:val="auto"/>
                <w:sz w:val="24"/>
                <w:szCs w:val="32"/>
                <w:highlight w:val="none"/>
                <w:lang w:val="en-US" w:eastAsia="zh-CN"/>
              </w:rPr>
              <w:t>以上</w:t>
            </w:r>
            <w:r>
              <w:rPr>
                <w:rFonts w:hint="eastAsia" w:cs="Times New Roman"/>
                <w:color w:val="auto"/>
                <w:sz w:val="24"/>
                <w:highlight w:val="none"/>
                <w:lang w:val="en-US" w:eastAsia="zh-CN"/>
              </w:rPr>
              <w:t>废水一起</w:t>
            </w:r>
            <w:r>
              <w:rPr>
                <w:rFonts w:hint="eastAsia" w:ascii="Times New Roman" w:hAnsi="Times New Roman" w:eastAsia="宋体" w:cs="Times New Roman"/>
                <w:color w:val="auto"/>
                <w:sz w:val="24"/>
                <w:szCs w:val="32"/>
                <w:highlight w:val="none"/>
                <w:lang w:val="en-US" w:eastAsia="zh-CN"/>
              </w:rPr>
              <w:t>进</w:t>
            </w:r>
            <w:r>
              <w:rPr>
                <w:rFonts w:hint="eastAsia" w:cs="Times New Roman"/>
                <w:color w:val="auto"/>
                <w:sz w:val="24"/>
                <w:szCs w:val="32"/>
                <w:highlight w:val="none"/>
                <w:lang w:eastAsia="zh-CN"/>
              </w:rPr>
              <w:t>化粪池</w:t>
            </w:r>
            <w:r>
              <w:rPr>
                <w:rFonts w:hint="default" w:ascii="Times New Roman" w:hAnsi="Times New Roman" w:eastAsia="宋体" w:cs="Times New Roman"/>
                <w:color w:val="auto"/>
                <w:sz w:val="24"/>
                <w:szCs w:val="32"/>
                <w:highlight w:val="none"/>
              </w:rPr>
              <w:t>处理后排入市政管网</w:t>
            </w:r>
            <w:r>
              <w:rPr>
                <w:rFonts w:hint="eastAsia" w:cs="Times New Roman"/>
                <w:color w:val="auto"/>
                <w:sz w:val="24"/>
                <w:szCs w:val="32"/>
                <w:highlight w:val="none"/>
                <w:lang w:eastAsia="zh-CN"/>
              </w:rPr>
              <w:t>，</w:t>
            </w:r>
            <w:r>
              <w:rPr>
                <w:rFonts w:hint="eastAsia" w:cs="Times New Roman"/>
                <w:color w:val="auto"/>
                <w:sz w:val="24"/>
                <w:szCs w:val="32"/>
                <w:highlight w:val="none"/>
                <w:lang w:val="en-US" w:eastAsia="zh-CN"/>
              </w:rPr>
              <w:t>最终进</w:t>
            </w:r>
            <w:r>
              <w:rPr>
                <w:rFonts w:hint="eastAsia" w:cs="Times New Roman"/>
                <w:color w:val="auto"/>
                <w:sz w:val="24"/>
                <w:highlight w:val="none"/>
                <w:lang w:val="en-US" w:eastAsia="zh-CN"/>
              </w:rPr>
              <w:t>高碑店再生水厂</w:t>
            </w:r>
            <w:r>
              <w:rPr>
                <w:rFonts w:hint="default" w:ascii="Times New Roman" w:hAnsi="Times New Roman" w:eastAsia="宋体" w:cs="Times New Roman"/>
                <w:color w:val="auto"/>
                <w:sz w:val="24"/>
                <w:highlight w:val="none"/>
                <w:lang w:val="en-US" w:eastAsia="zh-CN"/>
              </w:rPr>
              <w:t>。</w:t>
            </w:r>
          </w:p>
          <w:p w14:paraId="17107B1B">
            <w:pPr>
              <w:numPr>
                <w:ilvl w:val="0"/>
                <w:numId w:val="0"/>
              </w:numPr>
              <w:adjustRightInd w:val="0"/>
              <w:spacing w:line="360" w:lineRule="auto"/>
              <w:ind w:firstLine="480" w:firstLineChars="200"/>
              <w:rPr>
                <w:rFonts w:hint="default" w:ascii="Times New Roman" w:hAnsi="Times New Roman" w:eastAsia="宋体" w:cs="Times New Roman"/>
                <w:color w:val="auto"/>
                <w:sz w:val="24"/>
                <w:highlight w:val="none"/>
              </w:rPr>
            </w:pPr>
            <w:r>
              <w:rPr>
                <w:rFonts w:hint="eastAsia" w:cs="Times New Roman"/>
                <w:color w:val="auto"/>
                <w:sz w:val="24"/>
                <w:highlight w:val="none"/>
                <w:lang w:val="en-US" w:eastAsia="zh-CN"/>
              </w:rPr>
              <w:t>本项目生活污水排放量95.63</w:t>
            </w:r>
            <w:r>
              <w:rPr>
                <w:rFonts w:hint="default" w:ascii="Times New Roman" w:hAnsi="Times New Roman" w:eastAsia="宋体" w:cs="Times New Roman"/>
                <w:color w:val="auto"/>
                <w:sz w:val="24"/>
                <w:highlight w:val="none"/>
                <w:lang w:val="en-US" w:eastAsia="zh-CN"/>
              </w:rPr>
              <w:t>m</w:t>
            </w:r>
            <w:r>
              <w:rPr>
                <w:rFonts w:hint="default" w:ascii="Times New Roman" w:hAnsi="Times New Roman" w:eastAsia="宋体" w:cs="Times New Roman"/>
                <w:color w:val="auto"/>
                <w:sz w:val="24"/>
                <w:highlight w:val="none"/>
                <w:vertAlign w:val="superscript"/>
                <w:lang w:val="en-US" w:eastAsia="zh-CN"/>
              </w:rPr>
              <w:t>3</w:t>
            </w:r>
            <w:r>
              <w:rPr>
                <w:rFonts w:hint="default" w:ascii="Times New Roman" w:hAnsi="Times New Roman" w:eastAsia="宋体" w:cs="Times New Roman"/>
                <w:color w:val="auto"/>
                <w:sz w:val="24"/>
                <w:highlight w:val="none"/>
                <w:lang w:val="en-US" w:eastAsia="zh-CN"/>
              </w:rPr>
              <w:t>/a</w:t>
            </w:r>
            <w:r>
              <w:rPr>
                <w:rFonts w:hint="eastAsia" w:cs="Times New Roman"/>
                <w:color w:val="auto"/>
                <w:sz w:val="24"/>
                <w:highlight w:val="none"/>
                <w:lang w:val="en-US" w:eastAsia="zh-CN"/>
              </w:rPr>
              <w:t>、设备容器第二次清洗废水0.54</w:t>
            </w:r>
            <w:r>
              <w:rPr>
                <w:rFonts w:hint="default" w:ascii="Times New Roman" w:hAnsi="Times New Roman" w:eastAsia="宋体" w:cs="Times New Roman"/>
                <w:bCs/>
                <w:color w:val="auto"/>
                <w:sz w:val="24"/>
                <w:highlight w:val="none"/>
                <w:lang w:val="en-US" w:eastAsia="zh-CN"/>
              </w:rPr>
              <w:t>m</w:t>
            </w:r>
            <w:r>
              <w:rPr>
                <w:rFonts w:hint="default" w:ascii="Times New Roman" w:hAnsi="Times New Roman" w:eastAsia="宋体" w:cs="Times New Roman"/>
                <w:bCs/>
                <w:color w:val="auto"/>
                <w:sz w:val="24"/>
                <w:highlight w:val="none"/>
                <w:vertAlign w:val="superscript"/>
                <w:lang w:val="en-US" w:eastAsia="zh-CN"/>
              </w:rPr>
              <w:t>3</w:t>
            </w:r>
            <w:r>
              <w:rPr>
                <w:rFonts w:hint="default" w:ascii="Times New Roman" w:hAnsi="Times New Roman" w:eastAsia="宋体" w:cs="Times New Roman"/>
                <w:bCs/>
                <w:color w:val="auto"/>
                <w:sz w:val="24"/>
                <w:highlight w:val="none"/>
              </w:rPr>
              <w:t>/a</w:t>
            </w:r>
            <w:r>
              <w:rPr>
                <w:rFonts w:hint="eastAsia" w:cs="Times New Roman"/>
                <w:color w:val="auto"/>
                <w:sz w:val="24"/>
                <w:highlight w:val="none"/>
                <w:lang w:val="en-US" w:eastAsia="zh-CN"/>
              </w:rPr>
              <w:t>、纯水制备废水0.2676</w:t>
            </w:r>
            <w:r>
              <w:rPr>
                <w:rFonts w:hint="default" w:ascii="Times New Roman" w:hAnsi="Times New Roman" w:eastAsia="宋体" w:cs="Times New Roman"/>
                <w:color w:val="auto"/>
                <w:sz w:val="24"/>
                <w:highlight w:val="none"/>
                <w:lang w:val="en-US" w:eastAsia="zh-CN"/>
              </w:rPr>
              <w:t>m</w:t>
            </w:r>
            <w:r>
              <w:rPr>
                <w:rFonts w:hint="default" w:ascii="Times New Roman" w:hAnsi="Times New Roman" w:eastAsia="宋体" w:cs="Times New Roman"/>
                <w:color w:val="auto"/>
                <w:sz w:val="24"/>
                <w:highlight w:val="none"/>
                <w:vertAlign w:val="superscript"/>
                <w:lang w:val="en-US" w:eastAsia="zh-CN"/>
              </w:rPr>
              <w:t>3</w:t>
            </w:r>
            <w:r>
              <w:rPr>
                <w:rFonts w:hint="default" w:ascii="Times New Roman" w:hAnsi="Times New Roman" w:eastAsia="宋体" w:cs="Times New Roman"/>
                <w:color w:val="auto"/>
                <w:sz w:val="24"/>
                <w:highlight w:val="none"/>
                <w:lang w:val="en-US" w:eastAsia="zh-CN"/>
              </w:rPr>
              <w:t>/a</w:t>
            </w:r>
            <w:r>
              <w:rPr>
                <w:rFonts w:hint="eastAsia" w:eastAsia="宋体" w:cs="Times New Roman"/>
                <w:color w:val="auto"/>
                <w:sz w:val="24"/>
                <w:highlight w:val="none"/>
                <w:lang w:val="en-US" w:eastAsia="zh-CN"/>
              </w:rPr>
              <w:t>，</w:t>
            </w:r>
            <w:r>
              <w:rPr>
                <w:rFonts w:hint="default" w:cs="Times New Roman"/>
                <w:color w:val="auto"/>
                <w:sz w:val="24"/>
                <w:highlight w:val="none"/>
                <w:lang w:val="en-US" w:eastAsia="zh-CN"/>
              </w:rPr>
              <w:t>废水排放总量为</w:t>
            </w:r>
            <w:r>
              <w:rPr>
                <w:rFonts w:hint="eastAsia" w:cs="Times New Roman"/>
                <w:color w:val="auto"/>
                <w:sz w:val="24"/>
                <w:highlight w:val="none"/>
                <w:lang w:val="en-US" w:eastAsia="zh-CN"/>
              </w:rPr>
              <w:t>96.4376</w:t>
            </w:r>
            <w:r>
              <w:rPr>
                <w:rFonts w:hint="default" w:cs="Times New Roman"/>
                <w:color w:val="auto"/>
                <w:sz w:val="24"/>
                <w:highlight w:val="none"/>
                <w:lang w:val="en-US" w:eastAsia="zh-CN"/>
              </w:rPr>
              <w:t>m</w:t>
            </w:r>
            <w:r>
              <w:rPr>
                <w:rFonts w:hint="default" w:cs="Times New Roman"/>
                <w:color w:val="auto"/>
                <w:sz w:val="24"/>
                <w:highlight w:val="none"/>
                <w:vertAlign w:val="superscript"/>
                <w:lang w:val="en-US" w:eastAsia="zh-CN"/>
              </w:rPr>
              <w:t>3</w:t>
            </w:r>
            <w:r>
              <w:rPr>
                <w:rFonts w:hint="default" w:cs="Times New Roman"/>
                <w:color w:val="auto"/>
                <w:sz w:val="24"/>
                <w:highlight w:val="none"/>
                <w:lang w:val="en-US" w:eastAsia="zh-CN"/>
              </w:rPr>
              <w:t>/a（</w:t>
            </w:r>
            <w:r>
              <w:rPr>
                <w:rFonts w:hint="eastAsia" w:cs="Times New Roman"/>
                <w:color w:val="auto"/>
                <w:sz w:val="24"/>
                <w:highlight w:val="none"/>
                <w:lang w:val="en-US" w:eastAsia="zh-CN"/>
              </w:rPr>
              <w:t>最大日排水量0.425</w:t>
            </w:r>
            <w:r>
              <w:rPr>
                <w:rFonts w:hint="default" w:ascii="Times New Roman" w:hAnsi="Times New Roman" w:eastAsia="宋体" w:cs="Times New Roman"/>
                <w:color w:val="auto"/>
                <w:sz w:val="24"/>
                <w:highlight w:val="none"/>
                <w:lang w:val="en-US" w:eastAsia="zh-CN"/>
              </w:rPr>
              <w:t>m</w:t>
            </w:r>
            <w:r>
              <w:rPr>
                <w:rFonts w:hint="default" w:ascii="Times New Roman" w:hAnsi="Times New Roman" w:eastAsia="宋体" w:cs="Times New Roman"/>
                <w:color w:val="auto"/>
                <w:sz w:val="24"/>
                <w:highlight w:val="none"/>
                <w:vertAlign w:val="superscript"/>
                <w:lang w:val="en-US" w:eastAsia="zh-CN"/>
              </w:rPr>
              <w:t>3</w:t>
            </w:r>
            <w:r>
              <w:rPr>
                <w:rFonts w:hint="default" w:ascii="Times New Roman" w:hAnsi="Times New Roman" w:eastAsia="宋体" w:cs="Times New Roman"/>
                <w:color w:val="auto"/>
                <w:sz w:val="24"/>
                <w:highlight w:val="none"/>
                <w:lang w:val="en-US" w:eastAsia="zh-CN"/>
              </w:rPr>
              <w:t>/</w:t>
            </w:r>
            <w:r>
              <w:rPr>
                <w:rFonts w:hint="eastAsia" w:cs="Times New Roman"/>
                <w:color w:val="auto"/>
                <w:sz w:val="24"/>
                <w:highlight w:val="none"/>
                <w:lang w:val="en-US" w:eastAsia="zh-CN"/>
              </w:rPr>
              <w:t>d</w:t>
            </w:r>
            <w:r>
              <w:rPr>
                <w:rFonts w:hint="default" w:ascii="Times New Roman" w:hAnsi="Times New Roman" w:eastAsia="宋体" w:cs="Times New Roman"/>
                <w:color w:val="auto"/>
                <w:sz w:val="24"/>
                <w:highlight w:val="none"/>
                <w:lang w:val="en-US" w:eastAsia="zh-CN"/>
              </w:rPr>
              <w:t>）。</w:t>
            </w:r>
          </w:p>
          <w:p w14:paraId="7409A7DC">
            <w:pPr>
              <w:numPr>
                <w:ilvl w:val="0"/>
                <w:numId w:val="0"/>
              </w:numPr>
              <w:tabs>
                <w:tab w:val="left" w:pos="0"/>
              </w:tabs>
              <w:adjustRightInd w:val="0"/>
              <w:spacing w:line="360" w:lineRule="auto"/>
              <w:ind w:left="420" w:leftChars="0"/>
              <w:rPr>
                <w:rFonts w:hint="default" w:ascii="Times New Roman" w:hAnsi="Times New Roman" w:eastAsia="宋体" w:cs="Times New Roman"/>
                <w:color w:val="auto"/>
                <w:sz w:val="24"/>
                <w:highlight w:val="none"/>
              </w:rPr>
            </w:pPr>
            <w:r>
              <w:rPr>
                <w:rFonts w:hint="eastAsia" w:cs="Times New Roman"/>
                <w:color w:val="auto"/>
                <w:sz w:val="24"/>
                <w:highlight w:val="none"/>
                <w:lang w:val="en-US" w:eastAsia="zh-CN"/>
              </w:rPr>
              <w:t>1）</w:t>
            </w:r>
            <w:r>
              <w:rPr>
                <w:rFonts w:hint="default" w:ascii="Times New Roman" w:hAnsi="Times New Roman" w:eastAsia="宋体" w:cs="Times New Roman"/>
                <w:color w:val="auto"/>
                <w:sz w:val="24"/>
                <w:highlight w:val="none"/>
              </w:rPr>
              <w:t>生活污水</w:t>
            </w:r>
          </w:p>
          <w:p w14:paraId="5EFD8EEE">
            <w:pPr>
              <w:adjustRightInd w:val="0"/>
              <w:spacing w:line="360" w:lineRule="auto"/>
              <w:ind w:firstLine="600" w:firstLineChars="25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本项目生活污水</w:t>
            </w:r>
            <w:r>
              <w:rPr>
                <w:rFonts w:hint="eastAsia" w:cs="Times New Roman"/>
                <w:color w:val="auto"/>
                <w:sz w:val="24"/>
                <w:highlight w:val="none"/>
                <w:lang w:val="en-US" w:eastAsia="zh-CN"/>
              </w:rPr>
              <w:t>参考</w:t>
            </w:r>
            <w:r>
              <w:rPr>
                <w:rFonts w:hint="default" w:ascii="Times New Roman" w:hAnsi="Times New Roman" w:eastAsia="宋体" w:cs="Times New Roman"/>
                <w:color w:val="auto"/>
                <w:sz w:val="24"/>
                <w:highlight w:val="none"/>
                <w:lang w:val="en-US" w:eastAsia="zh-CN"/>
              </w:rPr>
              <w:t>《水工业工程设计手册-建筑和小区给排水》中</w:t>
            </w:r>
            <w:r>
              <w:rPr>
                <w:rFonts w:hint="eastAsia"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12.2.2污水水量和水质</w:t>
            </w:r>
            <w:r>
              <w:rPr>
                <w:rFonts w:hint="eastAsia"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，本项目生活污水排放量为</w:t>
            </w:r>
            <w:r>
              <w:rPr>
                <w:rFonts w:hint="eastAsia" w:cs="Times New Roman"/>
                <w:color w:val="auto"/>
                <w:sz w:val="24"/>
                <w:highlight w:val="none"/>
                <w:lang w:val="en-US" w:eastAsia="zh-CN"/>
              </w:rPr>
              <w:t>95.63</w:t>
            </w:r>
            <w:r>
              <w:rPr>
                <w:rFonts w:hint="default" w:ascii="Times New Roman" w:hAnsi="Times New Roman" w:eastAsia="宋体" w:cs="Times New Roman"/>
                <w:color w:val="auto"/>
                <w:sz w:val="24"/>
                <w:highlight w:val="none"/>
                <w:lang w:val="en-US" w:eastAsia="zh-CN"/>
              </w:rPr>
              <w:t>m</w:t>
            </w:r>
            <w:r>
              <w:rPr>
                <w:rFonts w:hint="default" w:ascii="Times New Roman" w:hAnsi="Times New Roman" w:eastAsia="宋体" w:cs="Times New Roman"/>
                <w:color w:val="auto"/>
                <w:sz w:val="24"/>
                <w:highlight w:val="none"/>
                <w:vertAlign w:val="superscript"/>
                <w:lang w:val="en-US" w:eastAsia="zh-CN"/>
              </w:rPr>
              <w:t>3</w:t>
            </w:r>
            <w:r>
              <w:rPr>
                <w:rFonts w:hint="default" w:ascii="Times New Roman" w:hAnsi="Times New Roman" w:eastAsia="宋体" w:cs="Times New Roman"/>
                <w:color w:val="auto"/>
                <w:sz w:val="24"/>
                <w:highlight w:val="none"/>
                <w:lang w:val="en-US" w:eastAsia="zh-CN"/>
              </w:rPr>
              <w:t>/a，水质及排放量参数详见下表。</w:t>
            </w:r>
          </w:p>
          <w:p w14:paraId="6B94BC88">
            <w:pPr>
              <w:keepNext w:val="0"/>
              <w:keepLines w:val="0"/>
              <w:widowControl/>
              <w:numPr>
                <w:ilvl w:val="0"/>
                <w:numId w:val="21"/>
              </w:numPr>
              <w:suppressLineNumbers w:val="0"/>
              <w:ind w:left="425" w:leftChars="0" w:hanging="425" w:firstLineChars="0"/>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生活污水水质</w:t>
            </w:r>
            <w:r>
              <w:rPr>
                <w:rFonts w:hint="default" w:ascii="Times New Roman" w:hAnsi="Times New Roman" w:eastAsia="宋体" w:cs="Times New Roman"/>
                <w:b/>
                <w:bCs/>
                <w:color w:val="auto"/>
                <w:sz w:val="24"/>
                <w:highlight w:val="none"/>
                <w:lang w:val="en-US" w:eastAsia="zh-CN"/>
              </w:rPr>
              <w:t>及排放量</w:t>
            </w:r>
          </w:p>
          <w:tbl>
            <w:tblPr>
              <w:tblStyle w:val="23"/>
              <w:tblW w:w="7456" w:type="dxa"/>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950"/>
              <w:gridCol w:w="2113"/>
              <w:gridCol w:w="916"/>
              <w:gridCol w:w="869"/>
              <w:gridCol w:w="869"/>
              <w:gridCol w:w="869"/>
              <w:gridCol w:w="870"/>
            </w:tblGrid>
            <w:tr w14:paraId="2D7DEFF5">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73" w:hRule="atLeast"/>
                <w:jc w:val="center"/>
              </w:trPr>
              <w:tc>
                <w:tcPr>
                  <w:tcW w:w="637" w:type="pct"/>
                  <w:tcBorders>
                    <w:tl2br w:val="nil"/>
                    <w:tr2bl w:val="nil"/>
                  </w:tcBorders>
                  <w:vAlign w:val="center"/>
                </w:tcPr>
                <w:p w14:paraId="74D584CE">
                  <w:pPr>
                    <w:adjustRightInd w:val="0"/>
                    <w:snapToGrid w:val="0"/>
                    <w:jc w:val="center"/>
                    <w:rPr>
                      <w:rFonts w:hint="default" w:ascii="Times New Roman" w:hAnsi="Times New Roman" w:eastAsia="宋体" w:cs="Times New Roman"/>
                      <w:b/>
                      <w:color w:val="auto"/>
                      <w:szCs w:val="21"/>
                      <w:highlight w:val="none"/>
                      <w:lang w:val="en-US" w:eastAsia="zh-CN"/>
                    </w:rPr>
                  </w:pPr>
                  <w:r>
                    <w:rPr>
                      <w:rFonts w:hint="eastAsia" w:cs="Times New Roman"/>
                      <w:b/>
                      <w:color w:val="auto"/>
                      <w:szCs w:val="21"/>
                      <w:highlight w:val="none"/>
                      <w:lang w:val="en-US" w:eastAsia="zh-CN"/>
                    </w:rPr>
                    <w:t>水量</w:t>
                  </w:r>
                </w:p>
              </w:tc>
              <w:tc>
                <w:tcPr>
                  <w:tcW w:w="1416" w:type="pct"/>
                  <w:tcBorders>
                    <w:tl2br w:val="nil"/>
                    <w:tr2bl w:val="nil"/>
                  </w:tcBorders>
                  <w:vAlign w:val="center"/>
                </w:tcPr>
                <w:p w14:paraId="373160A7">
                  <w:pPr>
                    <w:adjustRightInd w:val="0"/>
                    <w:snapToGrid w:val="0"/>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项目</w:t>
                  </w:r>
                </w:p>
              </w:tc>
              <w:tc>
                <w:tcPr>
                  <w:tcW w:w="614" w:type="pct"/>
                  <w:tcBorders>
                    <w:tl2br w:val="nil"/>
                    <w:tr2bl w:val="nil"/>
                  </w:tcBorders>
                  <w:vAlign w:val="center"/>
                </w:tcPr>
                <w:p w14:paraId="06BD8466">
                  <w:pPr>
                    <w:adjustRightInd w:val="0"/>
                    <w:snapToGrid w:val="0"/>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COD</w:t>
                  </w:r>
                  <w:r>
                    <w:rPr>
                      <w:rFonts w:hint="default" w:ascii="Times New Roman" w:hAnsi="Times New Roman" w:eastAsia="宋体" w:cs="Times New Roman"/>
                      <w:b/>
                      <w:color w:val="auto"/>
                      <w:szCs w:val="21"/>
                      <w:highlight w:val="none"/>
                      <w:vertAlign w:val="subscript"/>
                    </w:rPr>
                    <w:t>Cr</w:t>
                  </w:r>
                </w:p>
              </w:tc>
              <w:tc>
                <w:tcPr>
                  <w:tcW w:w="582" w:type="pct"/>
                  <w:tcBorders>
                    <w:tl2br w:val="nil"/>
                    <w:tr2bl w:val="nil"/>
                  </w:tcBorders>
                  <w:vAlign w:val="center"/>
                </w:tcPr>
                <w:p w14:paraId="4DD071A4">
                  <w:pPr>
                    <w:adjustRightInd w:val="0"/>
                    <w:snapToGrid w:val="0"/>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BOD</w:t>
                  </w:r>
                  <w:r>
                    <w:rPr>
                      <w:rFonts w:hint="default" w:ascii="Times New Roman" w:hAnsi="Times New Roman" w:eastAsia="宋体" w:cs="Times New Roman"/>
                      <w:b/>
                      <w:color w:val="auto"/>
                      <w:szCs w:val="21"/>
                      <w:highlight w:val="none"/>
                      <w:vertAlign w:val="subscript"/>
                    </w:rPr>
                    <w:t>5</w:t>
                  </w:r>
                </w:p>
              </w:tc>
              <w:tc>
                <w:tcPr>
                  <w:tcW w:w="582" w:type="pct"/>
                  <w:tcBorders>
                    <w:tl2br w:val="nil"/>
                    <w:tr2bl w:val="nil"/>
                  </w:tcBorders>
                  <w:vAlign w:val="center"/>
                </w:tcPr>
                <w:p w14:paraId="2053B992">
                  <w:pPr>
                    <w:adjustRightInd w:val="0"/>
                    <w:snapToGrid w:val="0"/>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SS</w:t>
                  </w:r>
                </w:p>
              </w:tc>
              <w:tc>
                <w:tcPr>
                  <w:tcW w:w="582" w:type="pct"/>
                  <w:tcBorders>
                    <w:tl2br w:val="nil"/>
                    <w:tr2bl w:val="nil"/>
                  </w:tcBorders>
                  <w:vAlign w:val="center"/>
                </w:tcPr>
                <w:p w14:paraId="1FB181D6">
                  <w:pPr>
                    <w:adjustRightInd w:val="0"/>
                    <w:snapToGrid w:val="0"/>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氨氮</w:t>
                  </w:r>
                </w:p>
              </w:tc>
              <w:tc>
                <w:tcPr>
                  <w:tcW w:w="583" w:type="pct"/>
                  <w:tcBorders>
                    <w:tl2br w:val="nil"/>
                    <w:tr2bl w:val="nil"/>
                  </w:tcBorders>
                  <w:vAlign w:val="center"/>
                </w:tcPr>
                <w:p w14:paraId="418201D8">
                  <w:pPr>
                    <w:adjustRightInd w:val="0"/>
                    <w:snapToGrid w:val="0"/>
                    <w:jc w:val="center"/>
                    <w:rPr>
                      <w:rFonts w:hint="default" w:ascii="Times New Roman" w:hAnsi="Times New Roman" w:eastAsia="宋体" w:cs="Times New Roman"/>
                      <w:b/>
                      <w:color w:val="auto"/>
                      <w:szCs w:val="21"/>
                      <w:highlight w:val="none"/>
                      <w:lang w:eastAsia="zh-CN"/>
                    </w:rPr>
                  </w:pPr>
                  <w:r>
                    <w:rPr>
                      <w:rFonts w:hint="default" w:ascii="Times New Roman" w:hAnsi="Times New Roman" w:eastAsia="宋体" w:cs="Times New Roman"/>
                      <w:b/>
                      <w:color w:val="auto"/>
                      <w:szCs w:val="21"/>
                      <w:highlight w:val="none"/>
                      <w:lang w:eastAsia="zh-CN"/>
                    </w:rPr>
                    <w:t>pH</w:t>
                  </w:r>
                </w:p>
              </w:tc>
            </w:tr>
            <w:tr w14:paraId="769A1709">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56" w:hRule="atLeast"/>
                <w:jc w:val="center"/>
              </w:trPr>
              <w:tc>
                <w:tcPr>
                  <w:tcW w:w="637" w:type="pct"/>
                  <w:vMerge w:val="restart"/>
                  <w:tcBorders>
                    <w:tl2br w:val="nil"/>
                    <w:tr2bl w:val="nil"/>
                  </w:tcBorders>
                  <w:vAlign w:val="center"/>
                </w:tcPr>
                <w:p w14:paraId="63B2584B">
                  <w:pPr>
                    <w:keepNext w:val="0"/>
                    <w:keepLines w:val="0"/>
                    <w:widowControl/>
                    <w:suppressLineNumbers w:val="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95.63</w:t>
                  </w:r>
                  <w:r>
                    <w:rPr>
                      <w:rFonts w:hint="default" w:ascii="Times New Roman" w:hAnsi="Times New Roman" w:eastAsia="宋体" w:cs="Times New Roman"/>
                      <w:color w:val="auto"/>
                      <w:sz w:val="24"/>
                      <w:highlight w:val="none"/>
                      <w:lang w:val="en-US" w:eastAsia="zh-CN"/>
                    </w:rPr>
                    <w:t>m</w:t>
                  </w:r>
                  <w:r>
                    <w:rPr>
                      <w:rFonts w:hint="default" w:ascii="Times New Roman" w:hAnsi="Times New Roman" w:eastAsia="宋体" w:cs="Times New Roman"/>
                      <w:color w:val="auto"/>
                      <w:sz w:val="24"/>
                      <w:highlight w:val="none"/>
                      <w:vertAlign w:val="superscript"/>
                      <w:lang w:val="en-US" w:eastAsia="zh-CN"/>
                    </w:rPr>
                    <w:t>3</w:t>
                  </w:r>
                  <w:r>
                    <w:rPr>
                      <w:rFonts w:hint="default" w:ascii="Times New Roman" w:hAnsi="Times New Roman" w:eastAsia="宋体" w:cs="Times New Roman"/>
                      <w:color w:val="auto"/>
                      <w:sz w:val="24"/>
                      <w:highlight w:val="none"/>
                      <w:lang w:val="en-US" w:eastAsia="zh-CN"/>
                    </w:rPr>
                    <w:t>/a</w:t>
                  </w:r>
                </w:p>
              </w:tc>
              <w:tc>
                <w:tcPr>
                  <w:tcW w:w="1416" w:type="pct"/>
                  <w:tcBorders>
                    <w:tl2br w:val="nil"/>
                    <w:tr2bl w:val="nil"/>
                  </w:tcBorders>
                  <w:vAlign w:val="center"/>
                </w:tcPr>
                <w:p w14:paraId="36C6F21C">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浓度范围</w:t>
                  </w:r>
                  <w:r>
                    <w:rPr>
                      <w:rFonts w:hint="default" w:ascii="Times New Roman" w:hAnsi="Times New Roman" w:eastAsia="宋体" w:cs="Times New Roman"/>
                      <w:color w:val="auto"/>
                      <w:szCs w:val="21"/>
                      <w:highlight w:val="none"/>
                    </w:rPr>
                    <w:t>（mg/L）</w:t>
                  </w:r>
                </w:p>
              </w:tc>
              <w:tc>
                <w:tcPr>
                  <w:tcW w:w="614" w:type="pct"/>
                  <w:tcBorders>
                    <w:tl2br w:val="nil"/>
                    <w:tr2bl w:val="nil"/>
                  </w:tcBorders>
                  <w:vAlign w:val="center"/>
                </w:tcPr>
                <w:p w14:paraId="3826C9FE">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350~450</w:t>
                  </w:r>
                </w:p>
              </w:tc>
              <w:tc>
                <w:tcPr>
                  <w:tcW w:w="582" w:type="pct"/>
                  <w:tcBorders>
                    <w:tl2br w:val="nil"/>
                    <w:tr2bl w:val="nil"/>
                  </w:tcBorders>
                  <w:vAlign w:val="center"/>
                </w:tcPr>
                <w:p w14:paraId="53E6805F">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180~250</w:t>
                  </w:r>
                </w:p>
              </w:tc>
              <w:tc>
                <w:tcPr>
                  <w:tcW w:w="582" w:type="pct"/>
                  <w:tcBorders>
                    <w:tl2br w:val="nil"/>
                    <w:tr2bl w:val="nil"/>
                  </w:tcBorders>
                  <w:vAlign w:val="center"/>
                </w:tcPr>
                <w:p w14:paraId="435E7548">
                  <w:pPr>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200~300</w:t>
                  </w:r>
                </w:p>
              </w:tc>
              <w:tc>
                <w:tcPr>
                  <w:tcW w:w="582" w:type="pct"/>
                  <w:tcBorders>
                    <w:tl2br w:val="nil"/>
                    <w:tr2bl w:val="nil"/>
                  </w:tcBorders>
                  <w:vAlign w:val="center"/>
                </w:tcPr>
                <w:p w14:paraId="73E98A05">
                  <w:pPr>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35~40</w:t>
                  </w:r>
                </w:p>
              </w:tc>
              <w:tc>
                <w:tcPr>
                  <w:tcW w:w="583" w:type="pct"/>
                  <w:tcBorders>
                    <w:tl2br w:val="nil"/>
                    <w:tr2bl w:val="nil"/>
                  </w:tcBorders>
                  <w:vAlign w:val="center"/>
                </w:tcPr>
                <w:p w14:paraId="4FAB941D">
                  <w:pPr>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6.5~7.5</w:t>
                  </w:r>
                </w:p>
                <w:p w14:paraId="70627D2C">
                  <w:pPr>
                    <w:snapToGrid w:val="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(无量纲)</w:t>
                  </w:r>
                </w:p>
              </w:tc>
            </w:tr>
            <w:tr w14:paraId="4862444C">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56" w:hRule="atLeast"/>
                <w:jc w:val="center"/>
              </w:trPr>
              <w:tc>
                <w:tcPr>
                  <w:tcW w:w="637" w:type="pct"/>
                  <w:vMerge w:val="continue"/>
                  <w:tcBorders>
                    <w:tl2br w:val="nil"/>
                    <w:tr2bl w:val="nil"/>
                  </w:tcBorders>
                  <w:vAlign w:val="center"/>
                </w:tcPr>
                <w:p w14:paraId="50ED02C4">
                  <w:pPr>
                    <w:adjustRightInd w:val="0"/>
                    <w:snapToGrid w:val="0"/>
                    <w:jc w:val="center"/>
                    <w:rPr>
                      <w:rFonts w:hint="default" w:ascii="Times New Roman" w:hAnsi="Times New Roman" w:eastAsia="宋体" w:cs="Times New Roman"/>
                      <w:color w:val="auto"/>
                      <w:szCs w:val="21"/>
                      <w:highlight w:val="none"/>
                    </w:rPr>
                  </w:pPr>
                </w:p>
              </w:tc>
              <w:tc>
                <w:tcPr>
                  <w:tcW w:w="1416" w:type="pct"/>
                  <w:tcBorders>
                    <w:tl2br w:val="nil"/>
                    <w:tr2bl w:val="nil"/>
                  </w:tcBorders>
                  <w:vAlign w:val="center"/>
                </w:tcPr>
                <w:p w14:paraId="72EB3487">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本项目取值</w:t>
                  </w:r>
                  <w:r>
                    <w:rPr>
                      <w:rFonts w:hint="default" w:ascii="Times New Roman" w:hAnsi="Times New Roman" w:eastAsia="宋体" w:cs="Times New Roman"/>
                      <w:color w:val="auto"/>
                      <w:szCs w:val="21"/>
                      <w:highlight w:val="none"/>
                    </w:rPr>
                    <w:t>（mg/L）</w:t>
                  </w:r>
                </w:p>
              </w:tc>
              <w:tc>
                <w:tcPr>
                  <w:tcW w:w="614" w:type="pct"/>
                  <w:tcBorders>
                    <w:tl2br w:val="nil"/>
                    <w:tr2bl w:val="nil"/>
                  </w:tcBorders>
                  <w:vAlign w:val="center"/>
                </w:tcPr>
                <w:p w14:paraId="20F4F307">
                  <w:pPr>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450</w:t>
                  </w:r>
                </w:p>
              </w:tc>
              <w:tc>
                <w:tcPr>
                  <w:tcW w:w="582" w:type="pct"/>
                  <w:tcBorders>
                    <w:tl2br w:val="nil"/>
                    <w:tr2bl w:val="nil"/>
                  </w:tcBorders>
                  <w:vAlign w:val="center"/>
                </w:tcPr>
                <w:p w14:paraId="60881415">
                  <w:pPr>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250</w:t>
                  </w:r>
                </w:p>
              </w:tc>
              <w:tc>
                <w:tcPr>
                  <w:tcW w:w="582" w:type="pct"/>
                  <w:tcBorders>
                    <w:tl2br w:val="nil"/>
                    <w:tr2bl w:val="nil"/>
                  </w:tcBorders>
                  <w:vAlign w:val="center"/>
                </w:tcPr>
                <w:p w14:paraId="28ADA4A5">
                  <w:pPr>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300</w:t>
                  </w:r>
                </w:p>
              </w:tc>
              <w:tc>
                <w:tcPr>
                  <w:tcW w:w="582" w:type="pct"/>
                  <w:tcBorders>
                    <w:tl2br w:val="nil"/>
                    <w:tr2bl w:val="nil"/>
                  </w:tcBorders>
                  <w:vAlign w:val="center"/>
                </w:tcPr>
                <w:p w14:paraId="38F0C952">
                  <w:pPr>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40</w:t>
                  </w:r>
                </w:p>
              </w:tc>
              <w:tc>
                <w:tcPr>
                  <w:tcW w:w="583" w:type="pct"/>
                  <w:tcBorders>
                    <w:tl2br w:val="nil"/>
                    <w:tr2bl w:val="nil"/>
                  </w:tcBorders>
                  <w:vAlign w:val="center"/>
                </w:tcPr>
                <w:p w14:paraId="1546AC3C">
                  <w:pPr>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6.5~7.5</w:t>
                  </w:r>
                </w:p>
                <w:p w14:paraId="6490128C">
                  <w:pPr>
                    <w:snapToGrid w:val="0"/>
                    <w:jc w:val="center"/>
                    <w:rPr>
                      <w:rFonts w:hint="default" w:ascii="Times New Roman" w:hAnsi="Times New Roman" w:eastAsia="宋体" w:cs="Times New Roman"/>
                      <w:color w:val="auto"/>
                      <w:szCs w:val="21"/>
                      <w:highlight w:val="none"/>
                    </w:rPr>
                  </w:pPr>
                  <w:r>
                    <w:rPr>
                      <w:rFonts w:hint="eastAsia" w:cs="Times New Roman"/>
                      <w:color w:val="auto"/>
                      <w:szCs w:val="21"/>
                      <w:highlight w:val="none"/>
                      <w:lang w:val="en-US" w:eastAsia="zh-CN"/>
                    </w:rPr>
                    <w:t>(无量纲)</w:t>
                  </w:r>
                </w:p>
              </w:tc>
            </w:tr>
            <w:tr w14:paraId="59698EDD">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91" w:hRule="atLeast"/>
                <w:jc w:val="center"/>
              </w:trPr>
              <w:tc>
                <w:tcPr>
                  <w:tcW w:w="637" w:type="pct"/>
                  <w:vMerge w:val="continue"/>
                  <w:tcBorders>
                    <w:tl2br w:val="nil"/>
                    <w:tr2bl w:val="nil"/>
                  </w:tcBorders>
                  <w:vAlign w:val="center"/>
                </w:tcPr>
                <w:p w14:paraId="3AC5694A">
                  <w:pPr>
                    <w:keepNext w:val="0"/>
                    <w:keepLines w:val="0"/>
                    <w:widowControl/>
                    <w:suppressLineNumbers w:val="0"/>
                    <w:ind w:firstLine="420" w:firstLineChars="200"/>
                    <w:jc w:val="center"/>
                    <w:rPr>
                      <w:rFonts w:hint="default" w:ascii="Times New Roman" w:hAnsi="Times New Roman" w:eastAsia="宋体" w:cs="Times New Roman"/>
                      <w:color w:val="auto"/>
                      <w:szCs w:val="21"/>
                      <w:highlight w:val="none"/>
                      <w:lang w:val="en-US" w:eastAsia="zh-CN"/>
                    </w:rPr>
                  </w:pPr>
                </w:p>
              </w:tc>
              <w:tc>
                <w:tcPr>
                  <w:tcW w:w="1416" w:type="pct"/>
                  <w:tcBorders>
                    <w:tl2br w:val="nil"/>
                    <w:tr2bl w:val="nil"/>
                  </w:tcBorders>
                  <w:vAlign w:val="center"/>
                </w:tcPr>
                <w:p w14:paraId="0C00AA88">
                  <w:pPr>
                    <w:keepNext w:val="0"/>
                    <w:keepLines w:val="0"/>
                    <w:widowControl/>
                    <w:suppressLineNumbers w:val="0"/>
                    <w:ind w:firstLine="420" w:firstLineChars="20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排放量（</w:t>
                  </w:r>
                  <w:r>
                    <w:rPr>
                      <w:rFonts w:hint="default" w:ascii="Times New Roman" w:hAnsi="Times New Roman" w:eastAsia="宋体" w:cs="Times New Roman"/>
                      <w:color w:val="auto"/>
                      <w:kern w:val="0"/>
                      <w:sz w:val="21"/>
                      <w:szCs w:val="21"/>
                      <w:lang w:val="en-US" w:eastAsia="zh-CN" w:bidi="ar"/>
                    </w:rPr>
                    <w:t>t/a</w:t>
                  </w:r>
                  <w:r>
                    <w:rPr>
                      <w:rFonts w:hint="default" w:ascii="Times New Roman" w:hAnsi="Times New Roman" w:eastAsia="宋体" w:cs="Times New Roman"/>
                      <w:color w:val="auto"/>
                      <w:szCs w:val="21"/>
                      <w:highlight w:val="none"/>
                      <w:lang w:val="en-US" w:eastAsia="zh-CN"/>
                    </w:rPr>
                    <w:t>）</w:t>
                  </w:r>
                </w:p>
              </w:tc>
              <w:tc>
                <w:tcPr>
                  <w:tcW w:w="614" w:type="pct"/>
                  <w:tcBorders>
                    <w:tl2br w:val="nil"/>
                    <w:tr2bl w:val="nil"/>
                  </w:tcBorders>
                  <w:vAlign w:val="center"/>
                </w:tcPr>
                <w:p w14:paraId="1991A26F">
                  <w:pPr>
                    <w:snapToGrid w:val="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0.0430</w:t>
                  </w:r>
                </w:p>
              </w:tc>
              <w:tc>
                <w:tcPr>
                  <w:tcW w:w="582" w:type="pct"/>
                  <w:tcBorders>
                    <w:tl2br w:val="nil"/>
                    <w:tr2bl w:val="nil"/>
                  </w:tcBorders>
                  <w:vAlign w:val="center"/>
                </w:tcPr>
                <w:p w14:paraId="4E95C042">
                  <w:pPr>
                    <w:snapToGrid w:val="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0.0239</w:t>
                  </w:r>
                </w:p>
              </w:tc>
              <w:tc>
                <w:tcPr>
                  <w:tcW w:w="582" w:type="pct"/>
                  <w:tcBorders>
                    <w:tl2br w:val="nil"/>
                    <w:tr2bl w:val="nil"/>
                  </w:tcBorders>
                  <w:vAlign w:val="center"/>
                </w:tcPr>
                <w:p w14:paraId="507C1038">
                  <w:pPr>
                    <w:snapToGrid w:val="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0.0287</w:t>
                  </w:r>
                </w:p>
              </w:tc>
              <w:tc>
                <w:tcPr>
                  <w:tcW w:w="582" w:type="pct"/>
                  <w:tcBorders>
                    <w:tl2br w:val="nil"/>
                    <w:tr2bl w:val="nil"/>
                  </w:tcBorders>
                  <w:vAlign w:val="center"/>
                </w:tcPr>
                <w:p w14:paraId="6CCC5270">
                  <w:pPr>
                    <w:snapToGrid w:val="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0.0038</w:t>
                  </w:r>
                </w:p>
              </w:tc>
              <w:tc>
                <w:tcPr>
                  <w:tcW w:w="583" w:type="pct"/>
                  <w:tcBorders>
                    <w:tl2br w:val="nil"/>
                    <w:tr2bl w:val="nil"/>
                  </w:tcBorders>
                  <w:vAlign w:val="center"/>
                </w:tcPr>
                <w:p w14:paraId="59187A3F">
                  <w:pPr>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w:t>
                  </w:r>
                </w:p>
              </w:tc>
            </w:tr>
          </w:tbl>
          <w:p w14:paraId="5B24C892">
            <w:pPr>
              <w:numPr>
                <w:ilvl w:val="0"/>
                <w:numId w:val="0"/>
              </w:numPr>
              <w:tabs>
                <w:tab w:val="left" w:pos="0"/>
              </w:tabs>
              <w:spacing w:line="360" w:lineRule="auto"/>
              <w:ind w:left="420" w:leftChars="0"/>
              <w:rPr>
                <w:rFonts w:hint="default" w:ascii="Times New Roman" w:hAnsi="Times New Roman" w:eastAsia="宋体" w:cs="Times New Roman"/>
                <w:bCs/>
                <w:color w:val="auto"/>
                <w:sz w:val="24"/>
                <w:highlight w:val="none"/>
                <w:lang w:val="en-US" w:eastAsia="zh-CN"/>
              </w:rPr>
            </w:pPr>
            <w:r>
              <w:rPr>
                <w:rFonts w:hint="eastAsia" w:cs="Times New Roman"/>
                <w:color w:val="auto"/>
                <w:sz w:val="24"/>
                <w:highlight w:val="none"/>
                <w:lang w:val="en-US" w:eastAsia="zh-CN"/>
              </w:rPr>
              <w:t>2）</w:t>
            </w:r>
            <w:r>
              <w:rPr>
                <w:rFonts w:hint="eastAsia" w:cs="Times New Roman"/>
                <w:bCs/>
                <w:color w:val="auto"/>
                <w:sz w:val="24"/>
                <w:highlight w:val="none"/>
                <w:lang w:val="en-US" w:eastAsia="zh-CN"/>
              </w:rPr>
              <w:t>容器第二遍</w:t>
            </w:r>
            <w:r>
              <w:rPr>
                <w:rFonts w:hint="default" w:ascii="Times New Roman" w:hAnsi="Times New Roman" w:eastAsia="宋体" w:cs="Times New Roman"/>
                <w:bCs/>
                <w:color w:val="auto"/>
                <w:sz w:val="24"/>
                <w:highlight w:val="none"/>
                <w:lang w:val="en-US" w:eastAsia="zh-CN"/>
              </w:rPr>
              <w:t>清洗废水</w:t>
            </w:r>
          </w:p>
          <w:p w14:paraId="099CF035">
            <w:pPr>
              <w:numPr>
                <w:ilvl w:val="0"/>
                <w:numId w:val="0"/>
              </w:numPr>
              <w:tabs>
                <w:tab w:val="left" w:pos="0"/>
              </w:tabs>
              <w:spacing w:line="360" w:lineRule="auto"/>
              <w:ind w:firstLine="480" w:firstLineChars="200"/>
              <w:rPr>
                <w:rFonts w:hint="default" w:ascii="Times New Roman" w:hAnsi="Times New Roman" w:eastAsia="宋体" w:cs="Times New Roman"/>
                <w:bCs/>
                <w:color w:val="auto"/>
                <w:sz w:val="24"/>
                <w:highlight w:val="none"/>
                <w:lang w:val="en-US" w:eastAsia="zh-CN"/>
              </w:rPr>
            </w:pPr>
            <w:r>
              <w:rPr>
                <w:rFonts w:hint="eastAsia" w:ascii="Times New Roman" w:hAnsi="Times New Roman" w:cs="Times New Roman"/>
                <w:bCs/>
                <w:color w:val="auto"/>
                <w:sz w:val="24"/>
                <w:highlight w:val="none"/>
                <w:lang w:val="en-US" w:eastAsia="zh-CN"/>
              </w:rPr>
              <w:t>本项目</w:t>
            </w:r>
            <w:r>
              <w:rPr>
                <w:rFonts w:hint="eastAsia" w:cs="Times New Roman"/>
                <w:bCs/>
                <w:color w:val="auto"/>
                <w:sz w:val="24"/>
                <w:highlight w:val="none"/>
                <w:lang w:val="en-US" w:eastAsia="zh-CN"/>
              </w:rPr>
              <w:t>容器</w:t>
            </w:r>
            <w:r>
              <w:rPr>
                <w:rFonts w:hint="default" w:ascii="Times New Roman" w:hAnsi="Times New Roman" w:eastAsia="宋体" w:cs="Times New Roman"/>
                <w:bCs/>
                <w:color w:val="auto"/>
                <w:sz w:val="24"/>
                <w:highlight w:val="none"/>
                <w:lang w:val="en-US" w:eastAsia="zh-CN"/>
              </w:rPr>
              <w:t>第</w:t>
            </w:r>
            <w:r>
              <w:rPr>
                <w:rFonts w:hint="eastAsia" w:cs="Times New Roman"/>
                <w:bCs/>
                <w:color w:val="auto"/>
                <w:sz w:val="24"/>
                <w:highlight w:val="none"/>
                <w:lang w:val="en-US" w:eastAsia="zh-CN"/>
              </w:rPr>
              <w:t>二遍清洗废水</w:t>
            </w:r>
            <w:r>
              <w:rPr>
                <w:rFonts w:hint="eastAsia" w:ascii="Times New Roman" w:hAnsi="Times New Roman" w:cs="Times New Roman"/>
                <w:bCs/>
                <w:color w:val="auto"/>
                <w:sz w:val="24"/>
                <w:highlight w:val="none"/>
                <w:lang w:val="en-US" w:eastAsia="zh-CN"/>
              </w:rPr>
              <w:t>参照《科研单位实验室废水处理工程设计与分析》（给水排水2012年第1期第38卷）中的参数，其中BOD按照B/C比为0.3取值，则清洗废水水质为COD</w:t>
            </w:r>
            <w:r>
              <w:rPr>
                <w:rFonts w:hint="eastAsia" w:ascii="Times New Roman" w:hAnsi="Times New Roman" w:cs="Times New Roman"/>
                <w:bCs/>
                <w:color w:val="auto"/>
                <w:sz w:val="24"/>
                <w:highlight w:val="none"/>
                <w:vertAlign w:val="subscript"/>
                <w:lang w:val="en-US" w:eastAsia="zh-CN"/>
              </w:rPr>
              <w:t>Cr</w:t>
            </w:r>
            <w:r>
              <w:rPr>
                <w:rFonts w:hint="eastAsia" w:ascii="Times New Roman" w:hAnsi="Times New Roman" w:cs="Times New Roman"/>
                <w:bCs/>
                <w:color w:val="auto"/>
                <w:sz w:val="24"/>
                <w:highlight w:val="none"/>
                <w:lang w:val="en-US" w:eastAsia="zh-CN"/>
              </w:rPr>
              <w:t>200mg/L、BOD</w:t>
            </w:r>
            <w:r>
              <w:rPr>
                <w:rFonts w:hint="eastAsia" w:ascii="Times New Roman" w:hAnsi="Times New Roman" w:cs="Times New Roman"/>
                <w:bCs/>
                <w:color w:val="auto"/>
                <w:sz w:val="24"/>
                <w:highlight w:val="none"/>
                <w:vertAlign w:val="subscript"/>
                <w:lang w:val="en-US" w:eastAsia="zh-CN"/>
              </w:rPr>
              <w:t>5</w:t>
            </w:r>
            <w:r>
              <w:rPr>
                <w:rFonts w:hint="eastAsia" w:ascii="Times New Roman" w:hAnsi="Times New Roman" w:cs="Times New Roman"/>
                <w:bCs/>
                <w:color w:val="auto"/>
                <w:sz w:val="24"/>
                <w:highlight w:val="none"/>
                <w:lang w:val="en-US" w:eastAsia="zh-CN"/>
              </w:rPr>
              <w:t>60mg/L、SS100mg/L、氨氮25mg/L。</w:t>
            </w:r>
            <w:r>
              <w:rPr>
                <w:rFonts w:hint="default" w:ascii="Times New Roman" w:hAnsi="Times New Roman" w:eastAsia="宋体" w:cs="Times New Roman"/>
                <w:bCs/>
                <w:color w:val="auto"/>
                <w:sz w:val="24"/>
                <w:highlight w:val="none"/>
                <w:lang w:val="en-US" w:eastAsia="zh-CN"/>
              </w:rPr>
              <w:t>废水</w:t>
            </w:r>
            <w:r>
              <w:rPr>
                <w:rFonts w:hint="default" w:ascii="Times New Roman" w:hAnsi="Times New Roman" w:eastAsia="宋体" w:cs="Times New Roman"/>
                <w:color w:val="auto"/>
                <w:sz w:val="24"/>
                <w:highlight w:val="none"/>
                <w:lang w:val="en-US" w:eastAsia="zh-CN"/>
              </w:rPr>
              <w:t>水质及排放量参数详见下表</w:t>
            </w:r>
            <w:r>
              <w:rPr>
                <w:rFonts w:hint="default" w:ascii="Times New Roman" w:hAnsi="Times New Roman" w:eastAsia="宋体" w:cs="Times New Roman"/>
                <w:bCs/>
                <w:color w:val="auto"/>
                <w:sz w:val="24"/>
                <w:highlight w:val="none"/>
                <w:lang w:val="en-US" w:eastAsia="zh-CN"/>
              </w:rPr>
              <w:t>。</w:t>
            </w:r>
          </w:p>
          <w:p w14:paraId="21CADBB4">
            <w:pPr>
              <w:keepNext w:val="0"/>
              <w:keepLines w:val="0"/>
              <w:widowControl/>
              <w:numPr>
                <w:ilvl w:val="0"/>
                <w:numId w:val="21"/>
              </w:numPr>
              <w:suppressLineNumbers w:val="0"/>
              <w:ind w:left="425" w:leftChars="0" w:hanging="425" w:firstLineChars="0"/>
              <w:jc w:val="center"/>
              <w:rPr>
                <w:rFonts w:hint="default" w:ascii="Times New Roman" w:hAnsi="Times New Roman" w:eastAsia="宋体" w:cs="Times New Roman"/>
                <w:color w:val="auto"/>
              </w:rPr>
            </w:pPr>
            <w:r>
              <w:rPr>
                <w:rFonts w:hint="eastAsia" w:cs="Times New Roman"/>
                <w:b/>
                <w:bCs/>
                <w:color w:val="auto"/>
                <w:kern w:val="0"/>
                <w:sz w:val="24"/>
                <w:szCs w:val="24"/>
                <w:lang w:val="en-US" w:eastAsia="zh-CN" w:bidi="ar"/>
              </w:rPr>
              <w:t>设备容器第二遍清洗</w:t>
            </w:r>
            <w:r>
              <w:rPr>
                <w:rFonts w:hint="default" w:ascii="Times New Roman" w:hAnsi="Times New Roman" w:eastAsia="宋体" w:cs="Times New Roman"/>
                <w:b/>
                <w:bCs/>
                <w:color w:val="auto"/>
                <w:kern w:val="0"/>
                <w:sz w:val="24"/>
                <w:szCs w:val="24"/>
                <w:lang w:val="en-US" w:eastAsia="zh-CN" w:bidi="ar"/>
              </w:rPr>
              <w:t>废水产生情况一览表</w:t>
            </w:r>
          </w:p>
          <w:tbl>
            <w:tblPr>
              <w:tblStyle w:val="23"/>
              <w:tblW w:w="7579" w:type="dxa"/>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889"/>
              <w:gridCol w:w="1770"/>
              <w:gridCol w:w="1758"/>
              <w:gridCol w:w="1080"/>
              <w:gridCol w:w="936"/>
              <w:gridCol w:w="1146"/>
            </w:tblGrid>
            <w:tr w14:paraId="3F8C951E">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68" w:hRule="atLeast"/>
                <w:jc w:val="center"/>
              </w:trPr>
              <w:tc>
                <w:tcPr>
                  <w:tcW w:w="586" w:type="pct"/>
                  <w:tcBorders>
                    <w:tl2br w:val="nil"/>
                    <w:tr2bl w:val="nil"/>
                  </w:tcBorders>
                  <w:shd w:val="clear" w:color="auto" w:fill="auto"/>
                  <w:vAlign w:val="center"/>
                </w:tcPr>
                <w:p w14:paraId="09E3B27D">
                  <w:pPr>
                    <w:adjustRightInd w:val="0"/>
                    <w:snapToGrid w:val="0"/>
                    <w:jc w:val="center"/>
                    <w:rPr>
                      <w:rFonts w:hint="default" w:ascii="Times New Roman" w:hAnsi="Times New Roman" w:eastAsia="宋体" w:cs="Times New Roman"/>
                      <w:b/>
                      <w:color w:val="auto"/>
                      <w:kern w:val="2"/>
                      <w:sz w:val="21"/>
                      <w:szCs w:val="21"/>
                      <w:highlight w:val="none"/>
                      <w:lang w:val="en-US" w:eastAsia="zh-CN" w:bidi="ar-SA"/>
                    </w:rPr>
                  </w:pPr>
                  <w:r>
                    <w:rPr>
                      <w:rFonts w:hint="eastAsia" w:cs="Times New Roman"/>
                      <w:b/>
                      <w:color w:val="auto"/>
                      <w:szCs w:val="21"/>
                      <w:highlight w:val="none"/>
                      <w:lang w:val="en-US" w:eastAsia="zh-CN"/>
                    </w:rPr>
                    <w:t>水量</w:t>
                  </w:r>
                </w:p>
              </w:tc>
              <w:tc>
                <w:tcPr>
                  <w:tcW w:w="1167" w:type="pct"/>
                  <w:tcBorders>
                    <w:tl2br w:val="nil"/>
                    <w:tr2bl w:val="nil"/>
                  </w:tcBorders>
                  <w:vAlign w:val="center"/>
                </w:tcPr>
                <w:p w14:paraId="26CFD7DE">
                  <w:pPr>
                    <w:adjustRightInd w:val="0"/>
                    <w:snapToGrid w:val="0"/>
                    <w:jc w:val="center"/>
                    <w:rPr>
                      <w:rFonts w:hint="default" w:ascii="Times New Roman" w:hAnsi="Times New Roman" w:eastAsia="宋体" w:cs="Times New Roman"/>
                      <w:b/>
                      <w:color w:val="auto"/>
                      <w:szCs w:val="21"/>
                      <w:highlight w:val="none"/>
                      <w:lang w:val="en-US" w:eastAsia="zh-CN"/>
                    </w:rPr>
                  </w:pPr>
                  <w:r>
                    <w:rPr>
                      <w:rFonts w:hint="default" w:ascii="Times New Roman" w:hAnsi="Times New Roman" w:eastAsia="宋体" w:cs="Times New Roman"/>
                      <w:b/>
                      <w:color w:val="auto"/>
                      <w:szCs w:val="21"/>
                      <w:highlight w:val="none"/>
                      <w:lang w:val="en-US" w:eastAsia="zh-CN"/>
                    </w:rPr>
                    <w:t>项目</w:t>
                  </w:r>
                </w:p>
              </w:tc>
              <w:tc>
                <w:tcPr>
                  <w:tcW w:w="1159" w:type="pct"/>
                  <w:tcBorders>
                    <w:tl2br w:val="nil"/>
                    <w:tr2bl w:val="nil"/>
                  </w:tcBorders>
                  <w:vAlign w:val="center"/>
                </w:tcPr>
                <w:p w14:paraId="727804F6">
                  <w:pPr>
                    <w:adjustRightInd w:val="0"/>
                    <w:snapToGrid w:val="0"/>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COD</w:t>
                  </w:r>
                  <w:r>
                    <w:rPr>
                      <w:rFonts w:hint="default" w:ascii="Times New Roman" w:hAnsi="Times New Roman" w:eastAsia="宋体" w:cs="Times New Roman"/>
                      <w:b/>
                      <w:color w:val="auto"/>
                      <w:szCs w:val="21"/>
                      <w:highlight w:val="none"/>
                      <w:vertAlign w:val="subscript"/>
                    </w:rPr>
                    <w:t>Cr</w:t>
                  </w:r>
                </w:p>
              </w:tc>
              <w:tc>
                <w:tcPr>
                  <w:tcW w:w="712" w:type="pct"/>
                  <w:tcBorders>
                    <w:tl2br w:val="nil"/>
                    <w:tr2bl w:val="nil"/>
                  </w:tcBorders>
                  <w:vAlign w:val="center"/>
                </w:tcPr>
                <w:p w14:paraId="4ACCBB92">
                  <w:pPr>
                    <w:adjustRightInd w:val="0"/>
                    <w:snapToGrid w:val="0"/>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BOD</w:t>
                  </w:r>
                  <w:r>
                    <w:rPr>
                      <w:rFonts w:hint="default" w:ascii="Times New Roman" w:hAnsi="Times New Roman" w:eastAsia="宋体" w:cs="Times New Roman"/>
                      <w:b/>
                      <w:color w:val="auto"/>
                      <w:szCs w:val="21"/>
                      <w:highlight w:val="none"/>
                      <w:vertAlign w:val="subscript"/>
                    </w:rPr>
                    <w:t>5</w:t>
                  </w:r>
                </w:p>
              </w:tc>
              <w:tc>
                <w:tcPr>
                  <w:tcW w:w="617" w:type="pct"/>
                  <w:tcBorders>
                    <w:tl2br w:val="nil"/>
                    <w:tr2bl w:val="nil"/>
                  </w:tcBorders>
                  <w:vAlign w:val="center"/>
                </w:tcPr>
                <w:p w14:paraId="3F35D530">
                  <w:pPr>
                    <w:adjustRightInd w:val="0"/>
                    <w:snapToGrid w:val="0"/>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SS</w:t>
                  </w:r>
                </w:p>
              </w:tc>
              <w:tc>
                <w:tcPr>
                  <w:tcW w:w="756" w:type="pct"/>
                  <w:tcBorders>
                    <w:tl2br w:val="nil"/>
                    <w:tr2bl w:val="nil"/>
                  </w:tcBorders>
                  <w:vAlign w:val="center"/>
                </w:tcPr>
                <w:p w14:paraId="69537E4B">
                  <w:pPr>
                    <w:adjustRightInd w:val="0"/>
                    <w:snapToGrid w:val="0"/>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氨氮</w:t>
                  </w:r>
                </w:p>
              </w:tc>
            </w:tr>
            <w:tr w14:paraId="72698501">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37" w:hRule="atLeast"/>
                <w:jc w:val="center"/>
              </w:trPr>
              <w:tc>
                <w:tcPr>
                  <w:tcW w:w="586" w:type="pct"/>
                  <w:vMerge w:val="restart"/>
                  <w:tcBorders>
                    <w:tl2br w:val="nil"/>
                    <w:tr2bl w:val="nil"/>
                  </w:tcBorders>
                  <w:shd w:val="clear" w:color="auto" w:fill="auto"/>
                  <w:vAlign w:val="center"/>
                </w:tcPr>
                <w:p w14:paraId="3F463A23">
                  <w:pPr>
                    <w:keepNext w:val="0"/>
                    <w:keepLines w:val="0"/>
                    <w:widowControl/>
                    <w:suppressLineNumbers w:val="0"/>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0.54</w:t>
                  </w:r>
                </w:p>
                <w:p w14:paraId="40C067E1">
                  <w:pPr>
                    <w:keepNext w:val="0"/>
                    <w:keepLines w:val="0"/>
                    <w:widowControl/>
                    <w:suppressLineNumbers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4"/>
                      <w:highlight w:val="none"/>
                      <w:lang w:val="en-US" w:eastAsia="zh-CN"/>
                    </w:rPr>
                    <w:t>m</w:t>
                  </w:r>
                  <w:r>
                    <w:rPr>
                      <w:rFonts w:hint="default" w:ascii="Times New Roman" w:hAnsi="Times New Roman" w:eastAsia="宋体" w:cs="Times New Roman"/>
                      <w:color w:val="auto"/>
                      <w:sz w:val="24"/>
                      <w:highlight w:val="none"/>
                      <w:vertAlign w:val="superscript"/>
                      <w:lang w:val="en-US" w:eastAsia="zh-CN"/>
                    </w:rPr>
                    <w:t>3</w:t>
                  </w:r>
                  <w:r>
                    <w:rPr>
                      <w:rFonts w:hint="default" w:ascii="Times New Roman" w:hAnsi="Times New Roman" w:eastAsia="宋体" w:cs="Times New Roman"/>
                      <w:color w:val="auto"/>
                      <w:sz w:val="24"/>
                      <w:highlight w:val="none"/>
                      <w:lang w:val="en-US" w:eastAsia="zh-CN"/>
                    </w:rPr>
                    <w:t>/a</w:t>
                  </w:r>
                </w:p>
              </w:tc>
              <w:tc>
                <w:tcPr>
                  <w:tcW w:w="1167" w:type="pct"/>
                  <w:tcBorders>
                    <w:tl2br w:val="nil"/>
                    <w:tr2bl w:val="nil"/>
                  </w:tcBorders>
                  <w:vAlign w:val="center"/>
                </w:tcPr>
                <w:p w14:paraId="0F26B5A5">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清洗废水</w:t>
                  </w:r>
                  <w:r>
                    <w:rPr>
                      <w:rFonts w:hint="eastAsia" w:cs="Times New Roman"/>
                      <w:color w:val="auto"/>
                      <w:szCs w:val="21"/>
                      <w:highlight w:val="none"/>
                      <w:lang w:val="en-US" w:eastAsia="zh-CN"/>
                    </w:rPr>
                    <w:t>产生浓度</w:t>
                  </w:r>
                  <w:r>
                    <w:rPr>
                      <w:rFonts w:hint="default" w:ascii="Times New Roman" w:hAnsi="Times New Roman" w:eastAsia="宋体" w:cs="Times New Roman"/>
                      <w:color w:val="auto"/>
                      <w:szCs w:val="21"/>
                      <w:highlight w:val="none"/>
                    </w:rPr>
                    <w:t>（mg/L）</w:t>
                  </w:r>
                </w:p>
              </w:tc>
              <w:tc>
                <w:tcPr>
                  <w:tcW w:w="1159" w:type="pct"/>
                  <w:tcBorders>
                    <w:tl2br w:val="nil"/>
                    <w:tr2bl w:val="nil"/>
                  </w:tcBorders>
                  <w:vAlign w:val="center"/>
                </w:tcPr>
                <w:p w14:paraId="5EEE11F4">
                  <w:pPr>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200</w:t>
                  </w:r>
                </w:p>
              </w:tc>
              <w:tc>
                <w:tcPr>
                  <w:tcW w:w="712" w:type="pct"/>
                  <w:tcBorders>
                    <w:tl2br w:val="nil"/>
                    <w:tr2bl w:val="nil"/>
                  </w:tcBorders>
                  <w:vAlign w:val="center"/>
                </w:tcPr>
                <w:p w14:paraId="7359B495">
                  <w:pPr>
                    <w:adjustRightInd w:val="0"/>
                    <w:snapToGrid w:val="0"/>
                    <w:jc w:val="center"/>
                    <w:rPr>
                      <w:rFonts w:hint="default" w:ascii="Times New Roman" w:hAnsi="Times New Roman" w:eastAsia="宋体" w:cs="Times New Roman"/>
                      <w:color w:val="auto"/>
                      <w:szCs w:val="21"/>
                      <w:highlight w:val="none"/>
                    </w:rPr>
                  </w:pPr>
                  <w:r>
                    <w:rPr>
                      <w:rFonts w:hint="eastAsia" w:cs="Times New Roman"/>
                      <w:color w:val="auto"/>
                      <w:szCs w:val="21"/>
                      <w:highlight w:val="none"/>
                      <w:lang w:val="en-US" w:eastAsia="zh-CN"/>
                    </w:rPr>
                    <w:t>6</w:t>
                  </w:r>
                  <w:r>
                    <w:rPr>
                      <w:rFonts w:hint="default" w:ascii="Times New Roman" w:hAnsi="Times New Roman" w:eastAsia="宋体" w:cs="Times New Roman"/>
                      <w:color w:val="auto"/>
                      <w:szCs w:val="21"/>
                      <w:highlight w:val="none"/>
                    </w:rPr>
                    <w:t>0</w:t>
                  </w:r>
                </w:p>
              </w:tc>
              <w:tc>
                <w:tcPr>
                  <w:tcW w:w="617" w:type="pct"/>
                  <w:tcBorders>
                    <w:tl2br w:val="nil"/>
                    <w:tr2bl w:val="nil"/>
                  </w:tcBorders>
                  <w:vAlign w:val="center"/>
                </w:tcPr>
                <w:p w14:paraId="5060CE29">
                  <w:pPr>
                    <w:snapToGrid w:val="0"/>
                    <w:jc w:val="center"/>
                    <w:rPr>
                      <w:rFonts w:hint="default" w:ascii="Times New Roman" w:hAnsi="Times New Roman" w:eastAsia="宋体" w:cs="Times New Roman"/>
                      <w:color w:val="auto"/>
                      <w:szCs w:val="21"/>
                      <w:highlight w:val="none"/>
                    </w:rPr>
                  </w:pPr>
                  <w:r>
                    <w:rPr>
                      <w:rFonts w:hint="eastAsia" w:cs="Times New Roman"/>
                      <w:color w:val="auto"/>
                      <w:szCs w:val="21"/>
                      <w:highlight w:val="none"/>
                      <w:lang w:val="en-US" w:eastAsia="zh-CN"/>
                    </w:rPr>
                    <w:t>10</w:t>
                  </w:r>
                  <w:r>
                    <w:rPr>
                      <w:rFonts w:hint="default" w:ascii="Times New Roman" w:hAnsi="Times New Roman" w:eastAsia="宋体" w:cs="Times New Roman"/>
                      <w:color w:val="auto"/>
                      <w:szCs w:val="21"/>
                      <w:highlight w:val="none"/>
                    </w:rPr>
                    <w:t>0</w:t>
                  </w:r>
                </w:p>
              </w:tc>
              <w:tc>
                <w:tcPr>
                  <w:tcW w:w="756" w:type="pct"/>
                  <w:tcBorders>
                    <w:tl2br w:val="nil"/>
                    <w:tr2bl w:val="nil"/>
                  </w:tcBorders>
                  <w:vAlign w:val="center"/>
                </w:tcPr>
                <w:p w14:paraId="65697C29">
                  <w:pPr>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25</w:t>
                  </w:r>
                </w:p>
              </w:tc>
            </w:tr>
            <w:tr w14:paraId="6F2150F8">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67" w:hRule="atLeast"/>
                <w:jc w:val="center"/>
              </w:trPr>
              <w:tc>
                <w:tcPr>
                  <w:tcW w:w="586" w:type="pct"/>
                  <w:vMerge w:val="continue"/>
                  <w:tcBorders>
                    <w:tl2br w:val="nil"/>
                    <w:tr2bl w:val="nil"/>
                  </w:tcBorders>
                  <w:vAlign w:val="center"/>
                </w:tcPr>
                <w:p w14:paraId="3B7E115C">
                  <w:pPr>
                    <w:keepNext w:val="0"/>
                    <w:keepLines w:val="0"/>
                    <w:widowControl/>
                    <w:suppressLineNumbers w:val="0"/>
                    <w:ind w:firstLine="420" w:firstLineChars="200"/>
                    <w:jc w:val="left"/>
                    <w:rPr>
                      <w:rFonts w:hint="default" w:ascii="Times New Roman" w:hAnsi="Times New Roman" w:eastAsia="宋体" w:cs="Times New Roman"/>
                      <w:color w:val="auto"/>
                      <w:szCs w:val="21"/>
                      <w:highlight w:val="none"/>
                      <w:lang w:val="en-US" w:eastAsia="zh-CN"/>
                    </w:rPr>
                  </w:pPr>
                </w:p>
              </w:tc>
              <w:tc>
                <w:tcPr>
                  <w:tcW w:w="1167" w:type="pct"/>
                  <w:tcBorders>
                    <w:tl2br w:val="nil"/>
                    <w:tr2bl w:val="nil"/>
                  </w:tcBorders>
                  <w:vAlign w:val="center"/>
                </w:tcPr>
                <w:p w14:paraId="2FE6651A">
                  <w:pPr>
                    <w:keepNext w:val="0"/>
                    <w:keepLines w:val="0"/>
                    <w:widowControl/>
                    <w:suppressLineNumbers w:val="0"/>
                    <w:ind w:firstLine="420" w:firstLineChars="200"/>
                    <w:jc w:val="left"/>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排放量（</w:t>
                  </w:r>
                  <w:r>
                    <w:rPr>
                      <w:rFonts w:hint="default" w:ascii="Times New Roman" w:hAnsi="Times New Roman" w:eastAsia="宋体" w:cs="Times New Roman"/>
                      <w:color w:val="auto"/>
                      <w:kern w:val="0"/>
                      <w:sz w:val="21"/>
                      <w:szCs w:val="21"/>
                      <w:lang w:val="en-US" w:eastAsia="zh-CN" w:bidi="ar"/>
                    </w:rPr>
                    <w:t>t/a</w:t>
                  </w:r>
                  <w:r>
                    <w:rPr>
                      <w:rFonts w:hint="default" w:ascii="Times New Roman" w:hAnsi="Times New Roman" w:eastAsia="宋体" w:cs="Times New Roman"/>
                      <w:color w:val="auto"/>
                      <w:szCs w:val="21"/>
                      <w:highlight w:val="none"/>
                      <w:lang w:val="en-US" w:eastAsia="zh-CN"/>
                    </w:rPr>
                    <w:t>）</w:t>
                  </w:r>
                </w:p>
              </w:tc>
              <w:tc>
                <w:tcPr>
                  <w:tcW w:w="1159" w:type="pct"/>
                  <w:tcBorders>
                    <w:tl2br w:val="nil"/>
                    <w:tr2bl w:val="nil"/>
                  </w:tcBorders>
                  <w:vAlign w:val="center"/>
                </w:tcPr>
                <w:p w14:paraId="3D926EC5">
                  <w:pPr>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0.000</w:t>
                  </w:r>
                  <w:r>
                    <w:rPr>
                      <w:rFonts w:hint="eastAsia" w:cs="Times New Roman"/>
                      <w:color w:val="auto"/>
                      <w:szCs w:val="21"/>
                      <w:highlight w:val="none"/>
                      <w:lang w:val="en-US" w:eastAsia="zh-CN"/>
                    </w:rPr>
                    <w:t>1</w:t>
                  </w:r>
                </w:p>
              </w:tc>
              <w:tc>
                <w:tcPr>
                  <w:tcW w:w="712" w:type="pct"/>
                  <w:tcBorders>
                    <w:tl2br w:val="nil"/>
                    <w:tr2bl w:val="nil"/>
                  </w:tcBorders>
                  <w:vAlign w:val="center"/>
                </w:tcPr>
                <w:p w14:paraId="02ACB996">
                  <w:pPr>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0.000</w:t>
                  </w:r>
                  <w:r>
                    <w:rPr>
                      <w:rFonts w:hint="eastAsia" w:cs="Times New Roman"/>
                      <w:color w:val="auto"/>
                      <w:szCs w:val="21"/>
                      <w:highlight w:val="none"/>
                      <w:lang w:val="en-US" w:eastAsia="zh-CN"/>
                    </w:rPr>
                    <w:t>03</w:t>
                  </w:r>
                </w:p>
              </w:tc>
              <w:tc>
                <w:tcPr>
                  <w:tcW w:w="617" w:type="pct"/>
                  <w:tcBorders>
                    <w:tl2br w:val="nil"/>
                    <w:tr2bl w:val="nil"/>
                  </w:tcBorders>
                  <w:vAlign w:val="center"/>
                </w:tcPr>
                <w:p w14:paraId="7FB951F9">
                  <w:pPr>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0.00</w:t>
                  </w:r>
                  <w:r>
                    <w:rPr>
                      <w:rFonts w:hint="eastAsia" w:cs="Times New Roman"/>
                      <w:color w:val="auto"/>
                      <w:szCs w:val="21"/>
                      <w:highlight w:val="none"/>
                      <w:lang w:val="en-US" w:eastAsia="zh-CN"/>
                    </w:rPr>
                    <w:t>005</w:t>
                  </w:r>
                </w:p>
              </w:tc>
              <w:tc>
                <w:tcPr>
                  <w:tcW w:w="756" w:type="pct"/>
                  <w:tcBorders>
                    <w:tl2br w:val="nil"/>
                    <w:tr2bl w:val="nil"/>
                  </w:tcBorders>
                  <w:vAlign w:val="center"/>
                </w:tcPr>
                <w:p w14:paraId="581AD5D2">
                  <w:pPr>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0.0000</w:t>
                  </w:r>
                  <w:r>
                    <w:rPr>
                      <w:rFonts w:hint="eastAsia" w:cs="Times New Roman"/>
                      <w:color w:val="auto"/>
                      <w:szCs w:val="21"/>
                      <w:highlight w:val="none"/>
                      <w:lang w:val="en-US" w:eastAsia="zh-CN"/>
                    </w:rPr>
                    <w:t>1</w:t>
                  </w:r>
                </w:p>
              </w:tc>
            </w:tr>
          </w:tbl>
          <w:p w14:paraId="0E3BF7DE">
            <w:pPr>
              <w:numPr>
                <w:ilvl w:val="0"/>
                <w:numId w:val="0"/>
              </w:numPr>
              <w:tabs>
                <w:tab w:val="left" w:pos="0"/>
              </w:tabs>
              <w:spacing w:line="360" w:lineRule="auto"/>
              <w:ind w:firstLine="480" w:firstLineChars="200"/>
              <w:rPr>
                <w:rFonts w:hint="eastAsia" w:ascii="Times New Roman" w:hAnsi="Times New Roman" w:eastAsia="宋体" w:cs="Times New Roman"/>
                <w:bCs/>
                <w:color w:val="auto"/>
                <w:sz w:val="24"/>
                <w:highlight w:val="none"/>
                <w:lang w:val="en-US" w:eastAsia="zh-CN"/>
              </w:rPr>
            </w:pPr>
            <w:r>
              <w:rPr>
                <w:rFonts w:hint="eastAsia" w:ascii="Times New Roman" w:hAnsi="Times New Roman" w:eastAsia="宋体" w:cs="Times New Roman"/>
                <w:bCs/>
                <w:color w:val="auto"/>
                <w:sz w:val="24"/>
                <w:highlight w:val="none"/>
                <w:lang w:val="en-US" w:eastAsia="zh-CN"/>
              </w:rPr>
              <w:t>3）纯水制备废水</w:t>
            </w:r>
          </w:p>
          <w:p w14:paraId="53E85F9F">
            <w:pPr>
              <w:numPr>
                <w:ilvl w:val="0"/>
                <w:numId w:val="0"/>
              </w:numPr>
              <w:tabs>
                <w:tab w:val="left" w:pos="0"/>
              </w:tabs>
              <w:spacing w:line="360" w:lineRule="auto"/>
              <w:ind w:firstLine="480" w:firstLineChars="200"/>
              <w:rPr>
                <w:rFonts w:hint="eastAsia" w:ascii="Times New Roman" w:hAnsi="Times New Roman" w:eastAsia="宋体" w:cs="Times New Roman"/>
                <w:bCs/>
                <w:color w:val="auto"/>
                <w:sz w:val="24"/>
                <w:highlight w:val="none"/>
                <w:lang w:val="en-US" w:eastAsia="zh-CN"/>
              </w:rPr>
            </w:pPr>
            <w:r>
              <w:rPr>
                <w:rFonts w:hint="eastAsia" w:ascii="Times New Roman" w:hAnsi="Times New Roman" w:eastAsia="宋体" w:cs="Times New Roman"/>
                <w:bCs/>
                <w:color w:val="auto"/>
                <w:sz w:val="24"/>
                <w:highlight w:val="none"/>
                <w:lang w:val="en-US" w:eastAsia="zh-CN"/>
              </w:rPr>
              <w:t>纯水制备废污染物浓度均较低，主要成分为</w:t>
            </w:r>
            <w:r>
              <w:rPr>
                <w:rFonts w:hint="default" w:ascii="Times New Roman" w:hAnsi="Times New Roman" w:eastAsia="宋体" w:cs="Times New Roman"/>
                <w:bCs/>
                <w:color w:val="auto"/>
                <w:sz w:val="24"/>
                <w:highlight w:val="none"/>
                <w:lang w:val="en-US" w:eastAsia="zh-CN"/>
              </w:rPr>
              <w:t>CaCl</w:t>
            </w:r>
            <w:r>
              <w:rPr>
                <w:rFonts w:hint="default" w:ascii="Times New Roman" w:hAnsi="Times New Roman" w:eastAsia="宋体" w:cs="Times New Roman"/>
                <w:bCs/>
                <w:color w:val="auto"/>
                <w:sz w:val="24"/>
                <w:highlight w:val="none"/>
                <w:vertAlign w:val="subscript"/>
                <w:lang w:val="en-US" w:eastAsia="zh-CN"/>
              </w:rPr>
              <w:t>2</w:t>
            </w:r>
            <w:r>
              <w:rPr>
                <w:rFonts w:hint="eastAsia" w:ascii="Times New Roman" w:hAnsi="Times New Roman" w:eastAsia="宋体" w:cs="Times New Roman"/>
                <w:bCs/>
                <w:color w:val="auto"/>
                <w:sz w:val="24"/>
                <w:highlight w:val="none"/>
                <w:lang w:val="en-US" w:eastAsia="zh-CN"/>
              </w:rPr>
              <w:t>、</w:t>
            </w:r>
            <w:r>
              <w:rPr>
                <w:rFonts w:hint="default" w:ascii="Times New Roman" w:hAnsi="Times New Roman" w:eastAsia="宋体" w:cs="Times New Roman"/>
                <w:bCs/>
                <w:color w:val="auto"/>
                <w:sz w:val="24"/>
                <w:highlight w:val="none"/>
                <w:lang w:val="en-US" w:eastAsia="zh-CN"/>
              </w:rPr>
              <w:t>MgCl</w:t>
            </w:r>
            <w:r>
              <w:rPr>
                <w:rFonts w:hint="default" w:ascii="Times New Roman" w:hAnsi="Times New Roman" w:eastAsia="宋体" w:cs="Times New Roman"/>
                <w:bCs/>
                <w:color w:val="auto"/>
                <w:sz w:val="24"/>
                <w:highlight w:val="none"/>
                <w:vertAlign w:val="subscript"/>
                <w:lang w:val="en-US" w:eastAsia="zh-CN"/>
              </w:rPr>
              <w:t>2</w:t>
            </w:r>
            <w:r>
              <w:rPr>
                <w:rFonts w:hint="eastAsia" w:ascii="Times New Roman" w:hAnsi="Times New Roman" w:eastAsia="宋体" w:cs="Times New Roman"/>
                <w:bCs/>
                <w:color w:val="auto"/>
                <w:sz w:val="24"/>
                <w:highlight w:val="none"/>
                <w:lang w:val="en-US" w:eastAsia="zh-CN"/>
              </w:rPr>
              <w:t>等可溶性盐类及</w:t>
            </w:r>
            <w:r>
              <w:rPr>
                <w:rFonts w:hint="default" w:ascii="Times New Roman" w:hAnsi="Times New Roman" w:eastAsia="宋体" w:cs="Times New Roman"/>
                <w:bCs/>
                <w:color w:val="auto"/>
                <w:sz w:val="24"/>
                <w:highlight w:val="none"/>
                <w:lang w:val="en-US" w:eastAsia="zh-CN"/>
              </w:rPr>
              <w:t>SS</w:t>
            </w:r>
            <w:r>
              <w:rPr>
                <w:rFonts w:hint="eastAsia" w:ascii="Times New Roman" w:hAnsi="Times New Roman" w:eastAsia="宋体" w:cs="Times New Roman"/>
                <w:bCs/>
                <w:color w:val="auto"/>
                <w:sz w:val="24"/>
                <w:highlight w:val="none"/>
                <w:lang w:val="en-US" w:eastAsia="zh-CN"/>
              </w:rPr>
              <w:t>、可溶性固体总量等，根据《生活饮用水卫生标准》（</w:t>
            </w:r>
            <w:r>
              <w:rPr>
                <w:rFonts w:hint="default" w:ascii="Times New Roman" w:hAnsi="Times New Roman" w:eastAsia="宋体" w:cs="Times New Roman"/>
                <w:bCs/>
                <w:color w:val="auto"/>
                <w:sz w:val="24"/>
                <w:highlight w:val="none"/>
                <w:lang w:val="en-US" w:eastAsia="zh-CN"/>
              </w:rPr>
              <w:t>GB5749-2022</w:t>
            </w:r>
            <w:r>
              <w:rPr>
                <w:rFonts w:hint="eastAsia" w:ascii="Times New Roman" w:hAnsi="Times New Roman" w:eastAsia="宋体" w:cs="Times New Roman"/>
                <w:bCs/>
                <w:color w:val="auto"/>
                <w:sz w:val="24"/>
                <w:highlight w:val="none"/>
                <w:lang w:val="en-US" w:eastAsia="zh-CN"/>
              </w:rPr>
              <w:t>），自来水中可溶性固体总量</w:t>
            </w:r>
            <w:r>
              <w:rPr>
                <w:rFonts w:hint="default" w:ascii="Times New Roman" w:hAnsi="Times New Roman" w:eastAsia="宋体" w:cs="Times New Roman"/>
                <w:bCs/>
                <w:color w:val="auto"/>
                <w:sz w:val="24"/>
                <w:highlight w:val="none"/>
                <w:lang w:val="en-US" w:eastAsia="zh-CN"/>
              </w:rPr>
              <w:t>≤1000mg/L</w:t>
            </w:r>
            <w:r>
              <w:rPr>
                <w:rFonts w:hint="eastAsia" w:ascii="Times New Roman" w:hAnsi="Times New Roman" w:eastAsia="宋体" w:cs="Times New Roman"/>
                <w:bCs/>
                <w:color w:val="auto"/>
                <w:sz w:val="24"/>
                <w:highlight w:val="none"/>
                <w:lang w:val="en-US" w:eastAsia="zh-CN"/>
              </w:rPr>
              <w:t>，本评价取保守值</w:t>
            </w:r>
            <w:r>
              <w:rPr>
                <w:rFonts w:hint="default" w:ascii="Times New Roman" w:hAnsi="Times New Roman" w:eastAsia="宋体" w:cs="Times New Roman"/>
                <w:bCs/>
                <w:color w:val="auto"/>
                <w:sz w:val="24"/>
                <w:highlight w:val="none"/>
                <w:lang w:val="en-US" w:eastAsia="zh-CN"/>
              </w:rPr>
              <w:t>1000mg/L</w:t>
            </w:r>
            <w:r>
              <w:rPr>
                <w:rFonts w:hint="eastAsia" w:ascii="Times New Roman" w:hAnsi="Times New Roman" w:eastAsia="宋体" w:cs="Times New Roman"/>
                <w:bCs/>
                <w:color w:val="auto"/>
                <w:sz w:val="24"/>
                <w:highlight w:val="none"/>
                <w:lang w:val="en-US" w:eastAsia="zh-CN"/>
              </w:rPr>
              <w:t>，制备后纯水中基本不含可溶性固体总量，因此自来水中可溶性固体总量全部进入废水中，则废水中可溶性固体总量浓度约为</w:t>
            </w:r>
            <w:r>
              <w:rPr>
                <w:rFonts w:hint="default" w:ascii="Times New Roman" w:hAnsi="Times New Roman" w:eastAsia="宋体" w:cs="Times New Roman"/>
                <w:bCs/>
                <w:color w:val="auto"/>
                <w:sz w:val="24"/>
                <w:highlight w:val="none"/>
                <w:lang w:val="en-US" w:eastAsia="zh-CN"/>
              </w:rPr>
              <w:t>3333mg/L</w:t>
            </w:r>
            <w:r>
              <w:rPr>
                <w:rFonts w:hint="eastAsia" w:ascii="Times New Roman" w:hAnsi="Times New Roman" w:eastAsia="宋体" w:cs="Times New Roman"/>
                <w:bCs/>
                <w:color w:val="auto"/>
                <w:sz w:val="24"/>
                <w:highlight w:val="none"/>
                <w:lang w:val="en-US" w:eastAsia="zh-CN"/>
              </w:rPr>
              <w:t>。其他水质参照《社会区域类环境影响评价》（中国环境科学出版社）中数据，项目纯水制备废水主要污染物的排放浓度取值：</w:t>
            </w:r>
            <w:r>
              <w:rPr>
                <w:rFonts w:hint="default" w:ascii="Times New Roman" w:hAnsi="Times New Roman" w:eastAsia="宋体" w:cs="Times New Roman"/>
                <w:bCs/>
                <w:color w:val="auto"/>
                <w:sz w:val="24"/>
                <w:highlight w:val="none"/>
                <w:lang w:val="en-US" w:eastAsia="zh-CN"/>
              </w:rPr>
              <w:t>pH</w:t>
            </w:r>
            <w:r>
              <w:rPr>
                <w:rFonts w:hint="eastAsia" w:ascii="Times New Roman" w:hAnsi="Times New Roman" w:eastAsia="宋体" w:cs="Times New Roman"/>
                <w:bCs/>
                <w:color w:val="auto"/>
                <w:sz w:val="24"/>
                <w:highlight w:val="none"/>
                <w:lang w:val="en-US" w:eastAsia="zh-CN"/>
              </w:rPr>
              <w:t>：</w:t>
            </w:r>
            <w:r>
              <w:rPr>
                <w:rFonts w:hint="default" w:ascii="Times New Roman" w:hAnsi="Times New Roman" w:eastAsia="宋体" w:cs="Times New Roman"/>
                <w:bCs/>
                <w:color w:val="auto"/>
                <w:sz w:val="24"/>
                <w:highlight w:val="none"/>
                <w:lang w:val="en-US" w:eastAsia="zh-CN"/>
              </w:rPr>
              <w:t>6.5~9</w:t>
            </w:r>
            <w:r>
              <w:rPr>
                <w:rFonts w:hint="eastAsia" w:ascii="Times New Roman" w:hAnsi="Times New Roman" w:eastAsia="宋体" w:cs="Times New Roman"/>
                <w:bCs/>
                <w:color w:val="auto"/>
                <w:sz w:val="24"/>
                <w:highlight w:val="none"/>
                <w:lang w:val="en-US" w:eastAsia="zh-CN"/>
              </w:rPr>
              <w:t>、</w:t>
            </w:r>
            <w:r>
              <w:rPr>
                <w:rFonts w:hint="default" w:ascii="Times New Roman" w:hAnsi="Times New Roman" w:eastAsia="宋体" w:cs="Times New Roman"/>
                <w:bCs/>
                <w:color w:val="auto"/>
                <w:sz w:val="24"/>
                <w:highlight w:val="none"/>
                <w:lang w:val="en-US" w:eastAsia="zh-CN"/>
              </w:rPr>
              <w:t>COD</w:t>
            </w:r>
            <w:r>
              <w:rPr>
                <w:rFonts w:hint="default" w:ascii="Times New Roman" w:hAnsi="Times New Roman" w:eastAsia="宋体" w:cs="Times New Roman"/>
                <w:bCs/>
                <w:color w:val="auto"/>
                <w:sz w:val="24"/>
                <w:highlight w:val="none"/>
                <w:vertAlign w:val="subscript"/>
                <w:lang w:val="en-US" w:eastAsia="zh-CN"/>
              </w:rPr>
              <w:t>Cr</w:t>
            </w:r>
            <w:r>
              <w:rPr>
                <w:rFonts w:hint="eastAsia" w:ascii="Times New Roman" w:hAnsi="Times New Roman" w:eastAsia="宋体" w:cs="Times New Roman"/>
                <w:bCs/>
                <w:color w:val="auto"/>
                <w:sz w:val="24"/>
                <w:highlight w:val="none"/>
                <w:lang w:val="en-US" w:eastAsia="zh-CN"/>
              </w:rPr>
              <w:t>：</w:t>
            </w:r>
            <w:r>
              <w:rPr>
                <w:rFonts w:hint="default" w:ascii="Times New Roman" w:hAnsi="Times New Roman" w:eastAsia="宋体" w:cs="Times New Roman"/>
                <w:bCs/>
                <w:color w:val="auto"/>
                <w:sz w:val="24"/>
                <w:highlight w:val="none"/>
                <w:lang w:val="en-US" w:eastAsia="zh-CN"/>
              </w:rPr>
              <w:t>50mg/L</w:t>
            </w:r>
            <w:r>
              <w:rPr>
                <w:rFonts w:hint="eastAsia" w:ascii="Times New Roman" w:hAnsi="Times New Roman" w:eastAsia="宋体" w:cs="Times New Roman"/>
                <w:bCs/>
                <w:color w:val="auto"/>
                <w:sz w:val="24"/>
                <w:highlight w:val="none"/>
                <w:lang w:val="en-US" w:eastAsia="zh-CN"/>
              </w:rPr>
              <w:t>、</w:t>
            </w:r>
            <w:r>
              <w:rPr>
                <w:rFonts w:hint="default" w:ascii="Times New Roman" w:hAnsi="Times New Roman" w:eastAsia="宋体" w:cs="Times New Roman"/>
                <w:bCs/>
                <w:color w:val="auto"/>
                <w:sz w:val="24"/>
                <w:highlight w:val="none"/>
                <w:lang w:val="en-US" w:eastAsia="zh-CN"/>
              </w:rPr>
              <w:t>BOD</w:t>
            </w:r>
            <w:r>
              <w:rPr>
                <w:rFonts w:hint="default" w:ascii="Times New Roman" w:hAnsi="Times New Roman" w:eastAsia="宋体" w:cs="Times New Roman"/>
                <w:bCs/>
                <w:color w:val="auto"/>
                <w:sz w:val="24"/>
                <w:highlight w:val="none"/>
                <w:vertAlign w:val="subscript"/>
                <w:lang w:val="en-US" w:eastAsia="zh-CN"/>
              </w:rPr>
              <w:t>5</w:t>
            </w:r>
            <w:r>
              <w:rPr>
                <w:rFonts w:hint="eastAsia" w:ascii="Times New Roman" w:hAnsi="Times New Roman" w:eastAsia="宋体" w:cs="Times New Roman"/>
                <w:bCs/>
                <w:color w:val="auto"/>
                <w:sz w:val="24"/>
                <w:highlight w:val="none"/>
                <w:lang w:val="en-US" w:eastAsia="zh-CN"/>
              </w:rPr>
              <w:t>：</w:t>
            </w:r>
            <w:r>
              <w:rPr>
                <w:rFonts w:hint="default" w:ascii="Times New Roman" w:hAnsi="Times New Roman" w:eastAsia="宋体" w:cs="Times New Roman"/>
                <w:bCs/>
                <w:color w:val="auto"/>
                <w:sz w:val="24"/>
                <w:highlight w:val="none"/>
                <w:lang w:val="en-US" w:eastAsia="zh-CN"/>
              </w:rPr>
              <w:t>30mg/L</w:t>
            </w:r>
            <w:r>
              <w:rPr>
                <w:rFonts w:hint="eastAsia" w:ascii="Times New Roman" w:hAnsi="Times New Roman" w:eastAsia="宋体" w:cs="Times New Roman"/>
                <w:bCs/>
                <w:color w:val="auto"/>
                <w:sz w:val="24"/>
                <w:highlight w:val="none"/>
                <w:lang w:val="en-US" w:eastAsia="zh-CN"/>
              </w:rPr>
              <w:t>、</w:t>
            </w:r>
            <w:r>
              <w:rPr>
                <w:rFonts w:hint="default" w:ascii="Times New Roman" w:hAnsi="Times New Roman" w:eastAsia="宋体" w:cs="Times New Roman"/>
                <w:bCs/>
                <w:color w:val="auto"/>
                <w:sz w:val="24"/>
                <w:highlight w:val="none"/>
                <w:lang w:val="en-US" w:eastAsia="zh-CN"/>
              </w:rPr>
              <w:t>SS</w:t>
            </w:r>
            <w:r>
              <w:rPr>
                <w:rFonts w:hint="eastAsia" w:ascii="Times New Roman" w:hAnsi="Times New Roman" w:eastAsia="宋体" w:cs="Times New Roman"/>
                <w:bCs/>
                <w:color w:val="auto"/>
                <w:sz w:val="24"/>
                <w:highlight w:val="none"/>
                <w:lang w:val="en-US" w:eastAsia="zh-CN"/>
              </w:rPr>
              <w:t>：</w:t>
            </w:r>
            <w:r>
              <w:rPr>
                <w:rFonts w:hint="default" w:ascii="Times New Roman" w:hAnsi="Times New Roman" w:eastAsia="宋体" w:cs="Times New Roman"/>
                <w:bCs/>
                <w:color w:val="auto"/>
                <w:sz w:val="24"/>
                <w:highlight w:val="none"/>
                <w:lang w:val="en-US" w:eastAsia="zh-CN"/>
              </w:rPr>
              <w:t>100mg/L</w:t>
            </w:r>
            <w:r>
              <w:rPr>
                <w:rFonts w:hint="eastAsia" w:ascii="Times New Roman" w:hAnsi="Times New Roman" w:eastAsia="宋体" w:cs="Times New Roman"/>
                <w:bCs/>
                <w:color w:val="auto"/>
                <w:sz w:val="24"/>
                <w:highlight w:val="none"/>
                <w:lang w:val="en-US" w:eastAsia="zh-CN"/>
              </w:rPr>
              <w:t>、氨氮：</w:t>
            </w:r>
            <w:r>
              <w:rPr>
                <w:rFonts w:hint="default" w:ascii="Times New Roman" w:hAnsi="Times New Roman" w:eastAsia="宋体" w:cs="Times New Roman"/>
                <w:bCs/>
                <w:color w:val="auto"/>
                <w:sz w:val="24"/>
                <w:highlight w:val="none"/>
                <w:lang w:val="en-US" w:eastAsia="zh-CN"/>
              </w:rPr>
              <w:t>10mg/L</w:t>
            </w:r>
            <w:r>
              <w:rPr>
                <w:rFonts w:hint="eastAsia" w:ascii="Times New Roman" w:hAnsi="Times New Roman" w:eastAsia="宋体" w:cs="Times New Roman"/>
                <w:bCs/>
                <w:color w:val="auto"/>
                <w:sz w:val="24"/>
                <w:highlight w:val="none"/>
                <w:lang w:val="en-US" w:eastAsia="zh-CN"/>
              </w:rPr>
              <w:t>。</w:t>
            </w:r>
          </w:p>
          <w:p w14:paraId="46201EB4">
            <w:pPr>
              <w:keepNext w:val="0"/>
              <w:keepLines w:val="0"/>
              <w:widowControl/>
              <w:numPr>
                <w:ilvl w:val="0"/>
                <w:numId w:val="21"/>
              </w:numPr>
              <w:suppressLineNumbers w:val="0"/>
              <w:ind w:left="425" w:leftChars="0" w:hanging="425" w:firstLineChars="0"/>
              <w:jc w:val="center"/>
              <w:rPr>
                <w:rFonts w:hint="default" w:ascii="Times New Roman" w:hAnsi="Times New Roman" w:eastAsia="宋体" w:cs="Times New Roman"/>
                <w:color w:val="auto"/>
              </w:rPr>
            </w:pPr>
            <w:r>
              <w:rPr>
                <w:rFonts w:hint="eastAsia" w:cs="Times New Roman"/>
                <w:b/>
                <w:bCs/>
                <w:color w:val="auto"/>
                <w:kern w:val="0"/>
                <w:sz w:val="24"/>
                <w:szCs w:val="24"/>
                <w:lang w:val="en-US" w:eastAsia="zh-CN" w:bidi="ar"/>
              </w:rPr>
              <w:t>纯水制备废水</w:t>
            </w:r>
            <w:r>
              <w:rPr>
                <w:rFonts w:hint="default" w:ascii="Times New Roman" w:hAnsi="Times New Roman" w:eastAsia="宋体" w:cs="Times New Roman"/>
                <w:b/>
                <w:bCs/>
                <w:color w:val="auto"/>
                <w:kern w:val="0"/>
                <w:sz w:val="24"/>
                <w:szCs w:val="24"/>
                <w:lang w:val="en-US" w:eastAsia="zh-CN" w:bidi="ar"/>
              </w:rPr>
              <w:t>产生情况一览表</w:t>
            </w:r>
          </w:p>
          <w:tbl>
            <w:tblPr>
              <w:tblStyle w:val="23"/>
              <w:tblW w:w="4900" w:type="pct"/>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755"/>
              <w:gridCol w:w="1463"/>
              <w:gridCol w:w="1039"/>
              <w:gridCol w:w="1039"/>
              <w:gridCol w:w="1039"/>
              <w:gridCol w:w="1039"/>
              <w:gridCol w:w="1043"/>
            </w:tblGrid>
            <w:tr w14:paraId="331090A4">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68" w:hRule="atLeast"/>
                <w:jc w:val="center"/>
              </w:trPr>
              <w:tc>
                <w:tcPr>
                  <w:tcW w:w="508" w:type="pct"/>
                  <w:tcBorders>
                    <w:tl2br w:val="nil"/>
                    <w:tr2bl w:val="nil"/>
                  </w:tcBorders>
                  <w:shd w:val="clear" w:color="auto" w:fill="auto"/>
                  <w:vAlign w:val="center"/>
                </w:tcPr>
                <w:p w14:paraId="2019E95B">
                  <w:pPr>
                    <w:adjustRightInd w:val="0"/>
                    <w:snapToGrid w:val="0"/>
                    <w:jc w:val="center"/>
                    <w:rPr>
                      <w:rFonts w:hint="default" w:ascii="Times New Roman" w:hAnsi="Times New Roman" w:eastAsia="宋体" w:cs="Times New Roman"/>
                      <w:b/>
                      <w:color w:val="auto"/>
                      <w:kern w:val="2"/>
                      <w:sz w:val="21"/>
                      <w:szCs w:val="21"/>
                      <w:highlight w:val="none"/>
                      <w:lang w:val="en-US" w:eastAsia="zh-CN" w:bidi="ar-SA"/>
                    </w:rPr>
                  </w:pPr>
                  <w:r>
                    <w:rPr>
                      <w:rFonts w:hint="eastAsia" w:cs="Times New Roman"/>
                      <w:b/>
                      <w:color w:val="auto"/>
                      <w:szCs w:val="21"/>
                      <w:highlight w:val="none"/>
                      <w:lang w:val="en-US" w:eastAsia="zh-CN"/>
                    </w:rPr>
                    <w:t>水量</w:t>
                  </w:r>
                </w:p>
              </w:tc>
              <w:tc>
                <w:tcPr>
                  <w:tcW w:w="986" w:type="pct"/>
                  <w:tcBorders>
                    <w:tl2br w:val="nil"/>
                    <w:tr2bl w:val="nil"/>
                  </w:tcBorders>
                  <w:vAlign w:val="center"/>
                </w:tcPr>
                <w:p w14:paraId="03A9C275">
                  <w:pPr>
                    <w:adjustRightInd w:val="0"/>
                    <w:snapToGrid w:val="0"/>
                    <w:jc w:val="center"/>
                    <w:rPr>
                      <w:rFonts w:hint="default" w:ascii="Times New Roman" w:hAnsi="Times New Roman" w:eastAsia="宋体" w:cs="Times New Roman"/>
                      <w:b/>
                      <w:color w:val="auto"/>
                      <w:szCs w:val="21"/>
                      <w:highlight w:val="none"/>
                      <w:lang w:val="en-US" w:eastAsia="zh-CN"/>
                    </w:rPr>
                  </w:pPr>
                  <w:r>
                    <w:rPr>
                      <w:rFonts w:hint="default" w:ascii="Times New Roman" w:hAnsi="Times New Roman" w:eastAsia="宋体" w:cs="Times New Roman"/>
                      <w:b/>
                      <w:color w:val="auto"/>
                      <w:szCs w:val="21"/>
                      <w:highlight w:val="none"/>
                      <w:lang w:val="en-US" w:eastAsia="zh-CN"/>
                    </w:rPr>
                    <w:t>项目</w:t>
                  </w:r>
                </w:p>
              </w:tc>
              <w:tc>
                <w:tcPr>
                  <w:tcW w:w="700" w:type="pct"/>
                  <w:tcBorders>
                    <w:tl2br w:val="nil"/>
                    <w:tr2bl w:val="nil"/>
                  </w:tcBorders>
                  <w:vAlign w:val="center"/>
                </w:tcPr>
                <w:p w14:paraId="331C2672">
                  <w:pPr>
                    <w:adjustRightInd w:val="0"/>
                    <w:snapToGrid w:val="0"/>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COD</w:t>
                  </w:r>
                  <w:r>
                    <w:rPr>
                      <w:rFonts w:hint="default" w:ascii="Times New Roman" w:hAnsi="Times New Roman" w:eastAsia="宋体" w:cs="Times New Roman"/>
                      <w:b/>
                      <w:color w:val="auto"/>
                      <w:szCs w:val="21"/>
                      <w:highlight w:val="none"/>
                      <w:vertAlign w:val="subscript"/>
                    </w:rPr>
                    <w:t>Cr</w:t>
                  </w:r>
                </w:p>
              </w:tc>
              <w:tc>
                <w:tcPr>
                  <w:tcW w:w="700" w:type="pct"/>
                  <w:tcBorders>
                    <w:tl2br w:val="nil"/>
                    <w:tr2bl w:val="nil"/>
                  </w:tcBorders>
                  <w:vAlign w:val="center"/>
                </w:tcPr>
                <w:p w14:paraId="00DD6064">
                  <w:pPr>
                    <w:adjustRightInd w:val="0"/>
                    <w:snapToGrid w:val="0"/>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BOD</w:t>
                  </w:r>
                  <w:r>
                    <w:rPr>
                      <w:rFonts w:hint="default" w:ascii="Times New Roman" w:hAnsi="Times New Roman" w:eastAsia="宋体" w:cs="Times New Roman"/>
                      <w:b/>
                      <w:color w:val="auto"/>
                      <w:szCs w:val="21"/>
                      <w:highlight w:val="none"/>
                      <w:vertAlign w:val="subscript"/>
                    </w:rPr>
                    <w:t>5</w:t>
                  </w:r>
                </w:p>
              </w:tc>
              <w:tc>
                <w:tcPr>
                  <w:tcW w:w="700" w:type="pct"/>
                  <w:tcBorders>
                    <w:tl2br w:val="nil"/>
                    <w:tr2bl w:val="nil"/>
                  </w:tcBorders>
                  <w:vAlign w:val="center"/>
                </w:tcPr>
                <w:p w14:paraId="1FD58FD8">
                  <w:pPr>
                    <w:adjustRightInd w:val="0"/>
                    <w:snapToGrid w:val="0"/>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SS</w:t>
                  </w:r>
                </w:p>
              </w:tc>
              <w:tc>
                <w:tcPr>
                  <w:tcW w:w="700" w:type="pct"/>
                  <w:tcBorders>
                    <w:tl2br w:val="nil"/>
                    <w:tr2bl w:val="nil"/>
                  </w:tcBorders>
                  <w:vAlign w:val="center"/>
                </w:tcPr>
                <w:p w14:paraId="069665FF">
                  <w:pPr>
                    <w:adjustRightInd w:val="0"/>
                    <w:snapToGrid w:val="0"/>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氨氮</w:t>
                  </w:r>
                </w:p>
              </w:tc>
              <w:tc>
                <w:tcPr>
                  <w:tcW w:w="703" w:type="pct"/>
                  <w:tcBorders>
                    <w:tl2br w:val="nil"/>
                    <w:tr2bl w:val="nil"/>
                  </w:tcBorders>
                  <w:vAlign w:val="center"/>
                </w:tcPr>
                <w:p w14:paraId="2588F9F4">
                  <w:pPr>
                    <w:adjustRightInd w:val="0"/>
                    <w:snapToGrid w:val="0"/>
                    <w:jc w:val="center"/>
                    <w:rPr>
                      <w:rFonts w:hint="default" w:ascii="Times New Roman" w:hAnsi="Times New Roman" w:eastAsia="宋体" w:cs="Times New Roman"/>
                      <w:b/>
                      <w:color w:val="auto"/>
                      <w:szCs w:val="21"/>
                      <w:highlight w:val="none"/>
                    </w:rPr>
                  </w:pPr>
                  <w:r>
                    <w:rPr>
                      <w:rFonts w:hint="eastAsia" w:ascii="Times New Roman" w:hAnsi="Times New Roman" w:eastAsia="宋体" w:cs="Times New Roman"/>
                      <w:b/>
                      <w:color w:val="auto"/>
                      <w:szCs w:val="21"/>
                      <w:highlight w:val="none"/>
                      <w:lang w:val="en-US" w:eastAsia="zh-CN"/>
                    </w:rPr>
                    <w:t>可溶性固体总量</w:t>
                  </w:r>
                </w:p>
              </w:tc>
            </w:tr>
            <w:tr w14:paraId="32EFB8E6">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37" w:hRule="atLeast"/>
                <w:jc w:val="center"/>
              </w:trPr>
              <w:tc>
                <w:tcPr>
                  <w:tcW w:w="508" w:type="pct"/>
                  <w:vMerge w:val="restart"/>
                  <w:tcBorders>
                    <w:tl2br w:val="nil"/>
                    <w:tr2bl w:val="nil"/>
                  </w:tcBorders>
                  <w:shd w:val="clear" w:color="auto" w:fill="auto"/>
                  <w:vAlign w:val="center"/>
                </w:tcPr>
                <w:p w14:paraId="176319B6">
                  <w:pPr>
                    <w:keepNext w:val="0"/>
                    <w:keepLines w:val="0"/>
                    <w:widowControl/>
                    <w:suppressLineNumbers w:val="0"/>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0.2676</w:t>
                  </w:r>
                </w:p>
                <w:p w14:paraId="1ED86AF7">
                  <w:pPr>
                    <w:keepNext w:val="0"/>
                    <w:keepLines w:val="0"/>
                    <w:widowControl/>
                    <w:suppressLineNumbers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4"/>
                      <w:highlight w:val="none"/>
                      <w:lang w:val="en-US" w:eastAsia="zh-CN"/>
                    </w:rPr>
                    <w:t>m</w:t>
                  </w:r>
                  <w:r>
                    <w:rPr>
                      <w:rFonts w:hint="default" w:ascii="Times New Roman" w:hAnsi="Times New Roman" w:eastAsia="宋体" w:cs="Times New Roman"/>
                      <w:color w:val="auto"/>
                      <w:sz w:val="24"/>
                      <w:highlight w:val="none"/>
                      <w:vertAlign w:val="superscript"/>
                      <w:lang w:val="en-US" w:eastAsia="zh-CN"/>
                    </w:rPr>
                    <w:t>3</w:t>
                  </w:r>
                  <w:r>
                    <w:rPr>
                      <w:rFonts w:hint="default" w:ascii="Times New Roman" w:hAnsi="Times New Roman" w:eastAsia="宋体" w:cs="Times New Roman"/>
                      <w:color w:val="auto"/>
                      <w:sz w:val="24"/>
                      <w:highlight w:val="none"/>
                      <w:lang w:val="en-US" w:eastAsia="zh-CN"/>
                    </w:rPr>
                    <w:t>/a</w:t>
                  </w:r>
                </w:p>
              </w:tc>
              <w:tc>
                <w:tcPr>
                  <w:tcW w:w="986" w:type="pct"/>
                  <w:tcBorders>
                    <w:tl2br w:val="nil"/>
                    <w:tr2bl w:val="nil"/>
                  </w:tcBorders>
                  <w:vAlign w:val="center"/>
                </w:tcPr>
                <w:p w14:paraId="204DF447">
                  <w:pPr>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清洗废水</w:t>
                  </w:r>
                  <w:r>
                    <w:rPr>
                      <w:rFonts w:hint="eastAsia" w:ascii="Times New Roman" w:hAnsi="Times New Roman" w:eastAsia="宋体" w:cs="Times New Roman"/>
                      <w:color w:val="auto"/>
                      <w:szCs w:val="21"/>
                      <w:highlight w:val="none"/>
                      <w:lang w:val="en-US" w:eastAsia="zh-CN"/>
                    </w:rPr>
                    <w:t>产生浓度</w:t>
                  </w:r>
                  <w:r>
                    <w:rPr>
                      <w:rFonts w:hint="default" w:ascii="Times New Roman" w:hAnsi="Times New Roman" w:eastAsia="宋体" w:cs="Times New Roman"/>
                      <w:color w:val="auto"/>
                      <w:szCs w:val="21"/>
                      <w:highlight w:val="none"/>
                      <w:lang w:val="en-US" w:eastAsia="zh-CN"/>
                    </w:rPr>
                    <w:t>（mg/L）</w:t>
                  </w:r>
                </w:p>
              </w:tc>
              <w:tc>
                <w:tcPr>
                  <w:tcW w:w="700" w:type="pct"/>
                  <w:tcBorders>
                    <w:tl2br w:val="nil"/>
                    <w:tr2bl w:val="nil"/>
                  </w:tcBorders>
                  <w:vAlign w:val="center"/>
                </w:tcPr>
                <w:p w14:paraId="34A2BA24">
                  <w:pPr>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50</w:t>
                  </w:r>
                </w:p>
              </w:tc>
              <w:tc>
                <w:tcPr>
                  <w:tcW w:w="700" w:type="pct"/>
                  <w:tcBorders>
                    <w:tl2br w:val="nil"/>
                    <w:tr2bl w:val="nil"/>
                  </w:tcBorders>
                  <w:vAlign w:val="center"/>
                </w:tcPr>
                <w:p w14:paraId="44D37BB4">
                  <w:pPr>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30</w:t>
                  </w:r>
                </w:p>
              </w:tc>
              <w:tc>
                <w:tcPr>
                  <w:tcW w:w="700" w:type="pct"/>
                  <w:tcBorders>
                    <w:tl2br w:val="nil"/>
                    <w:tr2bl w:val="nil"/>
                  </w:tcBorders>
                  <w:vAlign w:val="center"/>
                </w:tcPr>
                <w:p w14:paraId="35E47018">
                  <w:pPr>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10</w:t>
                  </w:r>
                  <w:r>
                    <w:rPr>
                      <w:rFonts w:hint="default" w:ascii="Times New Roman" w:hAnsi="Times New Roman" w:eastAsia="宋体" w:cs="Times New Roman"/>
                      <w:color w:val="auto"/>
                      <w:szCs w:val="21"/>
                      <w:highlight w:val="none"/>
                      <w:lang w:val="en-US" w:eastAsia="zh-CN"/>
                    </w:rPr>
                    <w:t>0</w:t>
                  </w:r>
                </w:p>
              </w:tc>
              <w:tc>
                <w:tcPr>
                  <w:tcW w:w="700" w:type="pct"/>
                  <w:tcBorders>
                    <w:tl2br w:val="nil"/>
                    <w:tr2bl w:val="nil"/>
                  </w:tcBorders>
                  <w:vAlign w:val="center"/>
                </w:tcPr>
                <w:p w14:paraId="7069BC94">
                  <w:pPr>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10</w:t>
                  </w:r>
                </w:p>
              </w:tc>
              <w:tc>
                <w:tcPr>
                  <w:tcW w:w="703" w:type="pct"/>
                  <w:tcBorders>
                    <w:tl2br w:val="nil"/>
                    <w:tr2bl w:val="nil"/>
                  </w:tcBorders>
                  <w:vAlign w:val="center"/>
                </w:tcPr>
                <w:p w14:paraId="0ABD06BD">
                  <w:pPr>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3333</w:t>
                  </w:r>
                </w:p>
              </w:tc>
            </w:tr>
            <w:tr w14:paraId="76D1BDBE">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67" w:hRule="atLeast"/>
                <w:jc w:val="center"/>
              </w:trPr>
              <w:tc>
                <w:tcPr>
                  <w:tcW w:w="508" w:type="pct"/>
                  <w:vMerge w:val="continue"/>
                  <w:tcBorders>
                    <w:tl2br w:val="nil"/>
                    <w:tr2bl w:val="nil"/>
                  </w:tcBorders>
                  <w:vAlign w:val="center"/>
                </w:tcPr>
                <w:p w14:paraId="5D1E4F8F">
                  <w:pPr>
                    <w:keepNext w:val="0"/>
                    <w:keepLines w:val="0"/>
                    <w:widowControl/>
                    <w:suppressLineNumbers w:val="0"/>
                    <w:ind w:firstLine="420" w:firstLineChars="200"/>
                    <w:jc w:val="left"/>
                    <w:rPr>
                      <w:rFonts w:hint="default" w:ascii="Times New Roman" w:hAnsi="Times New Roman" w:eastAsia="宋体" w:cs="Times New Roman"/>
                      <w:color w:val="auto"/>
                      <w:szCs w:val="21"/>
                      <w:highlight w:val="none"/>
                      <w:lang w:val="en-US" w:eastAsia="zh-CN"/>
                    </w:rPr>
                  </w:pPr>
                </w:p>
              </w:tc>
              <w:tc>
                <w:tcPr>
                  <w:tcW w:w="986" w:type="pct"/>
                  <w:tcBorders>
                    <w:tl2br w:val="nil"/>
                    <w:tr2bl w:val="nil"/>
                  </w:tcBorders>
                  <w:vAlign w:val="center"/>
                </w:tcPr>
                <w:p w14:paraId="7B06F014">
                  <w:pPr>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排放量（t/a）</w:t>
                  </w:r>
                </w:p>
              </w:tc>
              <w:tc>
                <w:tcPr>
                  <w:tcW w:w="700" w:type="pct"/>
                  <w:tcBorders>
                    <w:tl2br w:val="nil"/>
                    <w:tr2bl w:val="nil"/>
                  </w:tcBorders>
                  <w:vAlign w:val="center"/>
                </w:tcPr>
                <w:p w14:paraId="237AA2E7">
                  <w:pPr>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0.000</w:t>
                  </w:r>
                  <w:r>
                    <w:rPr>
                      <w:rFonts w:hint="eastAsia" w:cs="Times New Roman"/>
                      <w:color w:val="auto"/>
                      <w:szCs w:val="21"/>
                      <w:highlight w:val="none"/>
                      <w:lang w:val="en-US" w:eastAsia="zh-CN"/>
                    </w:rPr>
                    <w:t>0</w:t>
                  </w:r>
                  <w:r>
                    <w:rPr>
                      <w:rFonts w:hint="eastAsia" w:ascii="Times New Roman" w:hAnsi="Times New Roman" w:eastAsia="宋体" w:cs="Times New Roman"/>
                      <w:color w:val="auto"/>
                      <w:szCs w:val="21"/>
                      <w:highlight w:val="none"/>
                      <w:lang w:val="en-US" w:eastAsia="zh-CN"/>
                    </w:rPr>
                    <w:t>1</w:t>
                  </w:r>
                </w:p>
              </w:tc>
              <w:tc>
                <w:tcPr>
                  <w:tcW w:w="700" w:type="pct"/>
                  <w:tcBorders>
                    <w:tl2br w:val="nil"/>
                    <w:tr2bl w:val="nil"/>
                  </w:tcBorders>
                  <w:vAlign w:val="center"/>
                </w:tcPr>
                <w:p w14:paraId="72A9FD56">
                  <w:pPr>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0.000</w:t>
                  </w:r>
                  <w:r>
                    <w:rPr>
                      <w:rFonts w:hint="eastAsia" w:ascii="Times New Roman" w:hAnsi="Times New Roman" w:eastAsia="宋体" w:cs="Times New Roman"/>
                      <w:color w:val="auto"/>
                      <w:szCs w:val="21"/>
                      <w:highlight w:val="none"/>
                      <w:lang w:val="en-US" w:eastAsia="zh-CN"/>
                    </w:rPr>
                    <w:t>0</w:t>
                  </w:r>
                  <w:r>
                    <w:rPr>
                      <w:rFonts w:hint="eastAsia" w:cs="Times New Roman"/>
                      <w:color w:val="auto"/>
                      <w:szCs w:val="21"/>
                      <w:highlight w:val="none"/>
                      <w:lang w:val="en-US" w:eastAsia="zh-CN"/>
                    </w:rPr>
                    <w:t>1</w:t>
                  </w:r>
                </w:p>
              </w:tc>
              <w:tc>
                <w:tcPr>
                  <w:tcW w:w="700" w:type="pct"/>
                  <w:tcBorders>
                    <w:tl2br w:val="nil"/>
                    <w:tr2bl w:val="nil"/>
                  </w:tcBorders>
                  <w:vAlign w:val="center"/>
                </w:tcPr>
                <w:p w14:paraId="0485351D">
                  <w:pPr>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0.00</w:t>
                  </w:r>
                  <w:r>
                    <w:rPr>
                      <w:rFonts w:hint="eastAsia" w:ascii="Times New Roman" w:hAnsi="Times New Roman" w:eastAsia="宋体" w:cs="Times New Roman"/>
                      <w:color w:val="auto"/>
                      <w:szCs w:val="21"/>
                      <w:highlight w:val="none"/>
                      <w:lang w:val="en-US" w:eastAsia="zh-CN"/>
                    </w:rPr>
                    <w:t>00</w:t>
                  </w:r>
                  <w:r>
                    <w:rPr>
                      <w:rFonts w:hint="eastAsia" w:cs="Times New Roman"/>
                      <w:color w:val="auto"/>
                      <w:szCs w:val="21"/>
                      <w:highlight w:val="none"/>
                      <w:lang w:val="en-US" w:eastAsia="zh-CN"/>
                    </w:rPr>
                    <w:t>3</w:t>
                  </w:r>
                </w:p>
              </w:tc>
              <w:tc>
                <w:tcPr>
                  <w:tcW w:w="700" w:type="pct"/>
                  <w:tcBorders>
                    <w:tl2br w:val="nil"/>
                    <w:tr2bl w:val="nil"/>
                  </w:tcBorders>
                  <w:vAlign w:val="center"/>
                </w:tcPr>
                <w:p w14:paraId="184EC152">
                  <w:pPr>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0.0000</w:t>
                  </w:r>
                  <w:r>
                    <w:rPr>
                      <w:rFonts w:hint="eastAsia" w:cs="Times New Roman"/>
                      <w:color w:val="auto"/>
                      <w:szCs w:val="21"/>
                      <w:highlight w:val="none"/>
                      <w:lang w:val="en-US" w:eastAsia="zh-CN"/>
                    </w:rPr>
                    <w:t>03</w:t>
                  </w:r>
                </w:p>
              </w:tc>
              <w:tc>
                <w:tcPr>
                  <w:tcW w:w="703" w:type="pct"/>
                  <w:tcBorders>
                    <w:tl2br w:val="nil"/>
                    <w:tr2bl w:val="nil"/>
                  </w:tcBorders>
                  <w:vAlign w:val="center"/>
                </w:tcPr>
                <w:p w14:paraId="1F0A6686">
                  <w:pPr>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0.0009</w:t>
                  </w:r>
                </w:p>
              </w:tc>
            </w:tr>
          </w:tbl>
          <w:p w14:paraId="296CA377">
            <w:pPr>
              <w:numPr>
                <w:ilvl w:val="0"/>
                <w:numId w:val="0"/>
              </w:numPr>
              <w:tabs>
                <w:tab w:val="left" w:pos="0"/>
              </w:tabs>
              <w:spacing w:line="360" w:lineRule="auto"/>
              <w:ind w:left="420" w:leftChars="0"/>
              <w:rPr>
                <w:rFonts w:hint="default" w:ascii="Times New Roman" w:hAnsi="Times New Roman" w:eastAsia="宋体" w:cs="Times New Roman"/>
                <w:color w:val="auto"/>
                <w:sz w:val="24"/>
                <w:highlight w:val="none"/>
              </w:rPr>
            </w:pPr>
            <w:r>
              <w:rPr>
                <w:rFonts w:hint="eastAsia" w:cs="Times New Roman"/>
                <w:color w:val="auto"/>
                <w:sz w:val="24"/>
                <w:highlight w:val="none"/>
                <w:lang w:val="en-US" w:eastAsia="zh-CN"/>
              </w:rPr>
              <w:t>4）</w:t>
            </w:r>
            <w:r>
              <w:rPr>
                <w:rFonts w:hint="default" w:ascii="Times New Roman" w:hAnsi="Times New Roman" w:eastAsia="宋体" w:cs="Times New Roman"/>
                <w:color w:val="auto"/>
                <w:sz w:val="24"/>
                <w:highlight w:val="none"/>
              </w:rPr>
              <w:t>综合污水</w:t>
            </w:r>
          </w:p>
          <w:p w14:paraId="4C032BF1">
            <w:pPr>
              <w:spacing w:line="360" w:lineRule="auto"/>
              <w:ind w:firstLine="480" w:firstLineChars="200"/>
              <w:rPr>
                <w:rFonts w:hint="default" w:ascii="Times New Roman" w:hAnsi="Times New Roman" w:eastAsia="宋体" w:cs="Times New Roman"/>
                <w:bCs/>
                <w:color w:val="auto"/>
                <w:sz w:val="24"/>
                <w:highlight w:val="none"/>
                <w:lang w:val="en-US" w:eastAsia="zh-CN"/>
              </w:rPr>
            </w:pPr>
            <w:r>
              <w:rPr>
                <w:rFonts w:hint="eastAsia" w:cs="Times New Roman"/>
                <w:bCs/>
                <w:color w:val="auto"/>
                <w:sz w:val="24"/>
                <w:highlight w:val="none"/>
                <w:lang w:val="en-US" w:eastAsia="zh-CN"/>
              </w:rPr>
              <w:t>以上废水一起进化粪池，</w:t>
            </w:r>
            <w:r>
              <w:rPr>
                <w:rFonts w:hint="default" w:ascii="Times New Roman" w:hAnsi="Times New Roman" w:eastAsia="宋体" w:cs="Times New Roman"/>
                <w:bCs/>
                <w:color w:val="auto"/>
                <w:sz w:val="24"/>
                <w:highlight w:val="none"/>
                <w:lang w:val="en-US" w:eastAsia="zh-CN"/>
              </w:rPr>
              <w:t>根据《化粪池原理及水污染物去除率》中数据，化粪池对各个污染物COD</w:t>
            </w:r>
            <w:r>
              <w:rPr>
                <w:rFonts w:hint="default" w:ascii="Times New Roman" w:hAnsi="Times New Roman" w:eastAsia="宋体" w:cs="Times New Roman"/>
                <w:b/>
                <w:bCs/>
                <w:color w:val="auto"/>
                <w:kern w:val="0"/>
                <w:sz w:val="21"/>
                <w:szCs w:val="21"/>
                <w:highlight w:val="none"/>
                <w:vertAlign w:val="subscript"/>
              </w:rPr>
              <w:t>Cr</w:t>
            </w:r>
            <w:r>
              <w:rPr>
                <w:rFonts w:hint="default" w:ascii="Times New Roman" w:hAnsi="Times New Roman" w:eastAsia="宋体" w:cs="Times New Roman"/>
                <w:bCs/>
                <w:color w:val="auto"/>
                <w:sz w:val="24"/>
                <w:highlight w:val="none"/>
                <w:lang w:val="en-US" w:eastAsia="zh-CN"/>
              </w:rPr>
              <w:t>、BOD</w:t>
            </w:r>
            <w:r>
              <w:rPr>
                <w:rFonts w:hint="default" w:ascii="Times New Roman" w:hAnsi="Times New Roman" w:eastAsia="宋体" w:cs="Times New Roman"/>
                <w:bCs/>
                <w:color w:val="auto"/>
                <w:sz w:val="24"/>
                <w:highlight w:val="none"/>
                <w:vertAlign w:val="subscript"/>
                <w:lang w:val="en-US" w:eastAsia="zh-CN"/>
              </w:rPr>
              <w:t>5</w:t>
            </w:r>
            <w:r>
              <w:rPr>
                <w:rFonts w:hint="default" w:ascii="Times New Roman" w:hAnsi="Times New Roman" w:eastAsia="宋体" w:cs="Times New Roman"/>
                <w:bCs/>
                <w:color w:val="auto"/>
                <w:sz w:val="24"/>
                <w:highlight w:val="none"/>
                <w:lang w:val="en-US" w:eastAsia="zh-CN"/>
              </w:rPr>
              <w:t>、SS、氨氮的去除率分别为15%、9%、30%、3%。本项目废水中各污染物产生量计算结果汇总见下表。</w:t>
            </w:r>
          </w:p>
          <w:p w14:paraId="5AF5287B">
            <w:pPr>
              <w:keepNext w:val="0"/>
              <w:keepLines w:val="0"/>
              <w:widowControl/>
              <w:numPr>
                <w:ilvl w:val="0"/>
                <w:numId w:val="21"/>
              </w:numPr>
              <w:suppressLineNumbers w:val="0"/>
              <w:ind w:left="425" w:leftChars="0" w:hanging="425" w:firstLineChars="0"/>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项目综合污水水污染物产生及排放情况一览表</w:t>
            </w:r>
          </w:p>
          <w:tbl>
            <w:tblPr>
              <w:tblStyle w:val="24"/>
              <w:tblW w:w="4900" w:type="pct"/>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169"/>
              <w:gridCol w:w="1515"/>
              <w:gridCol w:w="789"/>
              <w:gridCol w:w="789"/>
              <w:gridCol w:w="789"/>
              <w:gridCol w:w="789"/>
              <w:gridCol w:w="789"/>
              <w:gridCol w:w="788"/>
            </w:tblGrid>
            <w:tr w14:paraId="1726ABC4">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169" w:type="dxa"/>
                  <w:tcBorders>
                    <w:tl2br w:val="nil"/>
                    <w:tr2bl w:val="nil"/>
                  </w:tcBorders>
                  <w:vAlign w:val="center"/>
                </w:tcPr>
                <w:p w14:paraId="36CC8413">
                  <w:pPr>
                    <w:widowControl/>
                    <w:adjustRightInd w:val="0"/>
                    <w:snapToGrid w:val="0"/>
                    <w:jc w:val="center"/>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项目</w:t>
                  </w:r>
                </w:p>
              </w:tc>
              <w:tc>
                <w:tcPr>
                  <w:tcW w:w="1515" w:type="dxa"/>
                  <w:tcBorders>
                    <w:tl2br w:val="nil"/>
                    <w:tr2bl w:val="nil"/>
                  </w:tcBorders>
                  <w:vAlign w:val="center"/>
                </w:tcPr>
                <w:p w14:paraId="759EC053">
                  <w:pPr>
                    <w:widowControl/>
                    <w:adjustRightInd w:val="0"/>
                    <w:snapToGrid w:val="0"/>
                    <w:jc w:val="center"/>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污染物种类</w:t>
                  </w:r>
                </w:p>
              </w:tc>
              <w:tc>
                <w:tcPr>
                  <w:tcW w:w="789" w:type="dxa"/>
                  <w:tcBorders>
                    <w:tl2br w:val="nil"/>
                    <w:tr2bl w:val="nil"/>
                  </w:tcBorders>
                  <w:vAlign w:val="center"/>
                </w:tcPr>
                <w:p w14:paraId="6CE3B160">
                  <w:pPr>
                    <w:widowControl/>
                    <w:adjustRightInd w:val="0"/>
                    <w:snapToGrid w:val="0"/>
                    <w:jc w:val="center"/>
                    <w:rPr>
                      <w:rFonts w:hint="default" w:ascii="Times New Roman" w:hAnsi="Times New Roman" w:eastAsia="宋体" w:cs="Times New Roman"/>
                      <w:b/>
                      <w:bCs/>
                      <w:color w:val="auto"/>
                      <w:kern w:val="0"/>
                      <w:sz w:val="21"/>
                      <w:szCs w:val="21"/>
                      <w:highlight w:val="none"/>
                      <w:vertAlign w:val="subscript"/>
                    </w:rPr>
                  </w:pPr>
                  <w:r>
                    <w:rPr>
                      <w:rFonts w:hint="default" w:ascii="Times New Roman" w:hAnsi="Times New Roman" w:eastAsia="宋体" w:cs="Times New Roman"/>
                      <w:b/>
                      <w:bCs/>
                      <w:color w:val="auto"/>
                      <w:kern w:val="0"/>
                      <w:sz w:val="21"/>
                      <w:szCs w:val="21"/>
                      <w:highlight w:val="none"/>
                    </w:rPr>
                    <w:t>COD</w:t>
                  </w:r>
                  <w:r>
                    <w:rPr>
                      <w:rFonts w:hint="default" w:ascii="Times New Roman" w:hAnsi="Times New Roman" w:eastAsia="宋体" w:cs="Times New Roman"/>
                      <w:b/>
                      <w:bCs/>
                      <w:color w:val="auto"/>
                      <w:kern w:val="0"/>
                      <w:sz w:val="21"/>
                      <w:szCs w:val="21"/>
                      <w:highlight w:val="none"/>
                      <w:vertAlign w:val="subscript"/>
                    </w:rPr>
                    <w:t>Cr</w:t>
                  </w:r>
                </w:p>
              </w:tc>
              <w:tc>
                <w:tcPr>
                  <w:tcW w:w="789" w:type="dxa"/>
                  <w:tcBorders>
                    <w:tl2br w:val="nil"/>
                    <w:tr2bl w:val="nil"/>
                  </w:tcBorders>
                  <w:vAlign w:val="center"/>
                </w:tcPr>
                <w:p w14:paraId="79BB8B9C">
                  <w:pPr>
                    <w:widowControl/>
                    <w:adjustRightInd w:val="0"/>
                    <w:snapToGrid w:val="0"/>
                    <w:jc w:val="center"/>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BOD</w:t>
                  </w:r>
                  <w:r>
                    <w:rPr>
                      <w:rFonts w:hint="default" w:ascii="Times New Roman" w:hAnsi="Times New Roman" w:eastAsia="宋体" w:cs="Times New Roman"/>
                      <w:b/>
                      <w:bCs/>
                      <w:color w:val="auto"/>
                      <w:kern w:val="0"/>
                      <w:sz w:val="21"/>
                      <w:szCs w:val="21"/>
                      <w:highlight w:val="none"/>
                      <w:vertAlign w:val="subscript"/>
                    </w:rPr>
                    <w:t>5</w:t>
                  </w:r>
                </w:p>
              </w:tc>
              <w:tc>
                <w:tcPr>
                  <w:tcW w:w="789" w:type="dxa"/>
                  <w:tcBorders>
                    <w:tl2br w:val="nil"/>
                    <w:tr2bl w:val="nil"/>
                  </w:tcBorders>
                  <w:vAlign w:val="center"/>
                </w:tcPr>
                <w:p w14:paraId="173B7FD5">
                  <w:pPr>
                    <w:widowControl/>
                    <w:adjustRightInd w:val="0"/>
                    <w:snapToGrid w:val="0"/>
                    <w:jc w:val="center"/>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SS</w:t>
                  </w:r>
                </w:p>
              </w:tc>
              <w:tc>
                <w:tcPr>
                  <w:tcW w:w="789" w:type="dxa"/>
                  <w:tcBorders>
                    <w:tl2br w:val="nil"/>
                    <w:tr2bl w:val="nil"/>
                  </w:tcBorders>
                  <w:shd w:val="clear" w:color="auto" w:fill="auto"/>
                  <w:vAlign w:val="center"/>
                </w:tcPr>
                <w:p w14:paraId="144A1028">
                  <w:pPr>
                    <w:widowControl/>
                    <w:adjustRightInd w:val="0"/>
                    <w:snapToGrid w:val="0"/>
                    <w:jc w:val="center"/>
                    <w:rPr>
                      <w:rFonts w:hint="default" w:ascii="Times New Roman" w:hAnsi="Times New Roman" w:eastAsia="宋体" w:cs="Times New Roman"/>
                      <w:b/>
                      <w:bCs/>
                      <w:color w:val="auto"/>
                      <w:kern w:val="0"/>
                      <w:sz w:val="21"/>
                      <w:szCs w:val="21"/>
                      <w:highlight w:val="none"/>
                      <w:lang w:val="en-US" w:eastAsia="zh-CN" w:bidi="ar-SA"/>
                    </w:rPr>
                  </w:pPr>
                  <w:r>
                    <w:rPr>
                      <w:rFonts w:hint="default" w:ascii="Times New Roman" w:hAnsi="Times New Roman" w:eastAsia="宋体" w:cs="Times New Roman"/>
                      <w:b/>
                      <w:bCs/>
                      <w:color w:val="auto"/>
                      <w:kern w:val="0"/>
                      <w:sz w:val="21"/>
                      <w:szCs w:val="21"/>
                      <w:highlight w:val="none"/>
                    </w:rPr>
                    <w:t>氨氮</w:t>
                  </w:r>
                </w:p>
              </w:tc>
              <w:tc>
                <w:tcPr>
                  <w:tcW w:w="789" w:type="dxa"/>
                  <w:tcBorders>
                    <w:tl2br w:val="nil"/>
                    <w:tr2bl w:val="nil"/>
                  </w:tcBorders>
                  <w:vAlign w:val="center"/>
                </w:tcPr>
                <w:p w14:paraId="0782F684">
                  <w:pPr>
                    <w:widowControl/>
                    <w:adjustRightInd w:val="0"/>
                    <w:snapToGrid w:val="0"/>
                    <w:jc w:val="center"/>
                    <w:rPr>
                      <w:rFonts w:hint="default" w:ascii="Times New Roman" w:hAnsi="Times New Roman" w:eastAsia="宋体" w:cs="Times New Roman"/>
                      <w:b/>
                      <w:bCs/>
                      <w:color w:val="auto"/>
                      <w:kern w:val="0"/>
                      <w:sz w:val="21"/>
                      <w:szCs w:val="21"/>
                      <w:highlight w:val="none"/>
                    </w:rPr>
                  </w:pPr>
                  <w:r>
                    <w:rPr>
                      <w:rFonts w:hint="eastAsia" w:ascii="Times New Roman" w:hAnsi="Times New Roman" w:eastAsia="宋体" w:cs="Times New Roman"/>
                      <w:b/>
                      <w:color w:val="auto"/>
                      <w:szCs w:val="21"/>
                      <w:highlight w:val="none"/>
                      <w:lang w:val="en-US" w:eastAsia="zh-CN"/>
                    </w:rPr>
                    <w:t>可溶性固体总量</w:t>
                  </w:r>
                </w:p>
              </w:tc>
              <w:tc>
                <w:tcPr>
                  <w:tcW w:w="788" w:type="dxa"/>
                  <w:tcBorders>
                    <w:tl2br w:val="nil"/>
                    <w:tr2bl w:val="nil"/>
                  </w:tcBorders>
                  <w:vAlign w:val="center"/>
                </w:tcPr>
                <w:p w14:paraId="56B18884">
                  <w:pPr>
                    <w:widowControl/>
                    <w:adjustRightInd w:val="0"/>
                    <w:snapToGrid w:val="0"/>
                    <w:jc w:val="center"/>
                    <w:rPr>
                      <w:rFonts w:hint="default" w:ascii="Times New Roman" w:hAnsi="Times New Roman" w:eastAsia="宋体" w:cs="Times New Roman"/>
                      <w:b/>
                      <w:bCs/>
                      <w:color w:val="auto"/>
                      <w:kern w:val="0"/>
                      <w:sz w:val="21"/>
                      <w:szCs w:val="21"/>
                      <w:highlight w:val="none"/>
                      <w:lang w:eastAsia="zh-CN"/>
                    </w:rPr>
                  </w:pPr>
                  <w:r>
                    <w:rPr>
                      <w:rFonts w:hint="default" w:ascii="Times New Roman" w:hAnsi="Times New Roman" w:eastAsia="宋体" w:cs="Times New Roman"/>
                      <w:b/>
                      <w:bCs/>
                      <w:color w:val="auto"/>
                      <w:kern w:val="0"/>
                      <w:sz w:val="21"/>
                      <w:szCs w:val="21"/>
                      <w:highlight w:val="none"/>
                      <w:lang w:eastAsia="zh-CN"/>
                    </w:rPr>
                    <w:t>pH</w:t>
                  </w:r>
                </w:p>
                <w:p w14:paraId="2D9D44DE">
                  <w:pPr>
                    <w:widowControl/>
                    <w:adjustRightInd w:val="0"/>
                    <w:snapToGrid w:val="0"/>
                    <w:jc w:val="center"/>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无量纲</w:t>
                  </w:r>
                </w:p>
              </w:tc>
            </w:tr>
            <w:tr w14:paraId="20537ADE">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51" w:hRule="atLeast"/>
                <w:jc w:val="center"/>
              </w:trPr>
              <w:tc>
                <w:tcPr>
                  <w:tcW w:w="1169" w:type="dxa"/>
                  <w:vMerge w:val="restart"/>
                  <w:tcBorders>
                    <w:tl2br w:val="nil"/>
                    <w:tr2bl w:val="nil"/>
                  </w:tcBorders>
                  <w:shd w:val="clear" w:color="auto" w:fill="auto"/>
                  <w:vAlign w:val="center"/>
                </w:tcPr>
                <w:p w14:paraId="37A5B612">
                  <w:pPr>
                    <w:widowControl/>
                    <w:adjustRightInd w:val="0"/>
                    <w:snapToGrid w:val="0"/>
                    <w:jc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生活污水</w:t>
                  </w:r>
                  <w:r>
                    <w:rPr>
                      <w:rFonts w:hint="eastAsia" w:cs="Times New Roman"/>
                      <w:color w:val="auto"/>
                      <w:sz w:val="21"/>
                      <w:szCs w:val="21"/>
                      <w:highlight w:val="none"/>
                      <w:lang w:val="en-US" w:eastAsia="zh-CN"/>
                    </w:rPr>
                    <w:t>95.63</w:t>
                  </w:r>
                  <w:r>
                    <w:rPr>
                      <w:rFonts w:hint="default" w:ascii="Times New Roman" w:hAnsi="Times New Roman" w:eastAsia="宋体" w:cs="Times New Roman"/>
                      <w:b w:val="0"/>
                      <w:bCs w:val="0"/>
                      <w:color w:val="auto"/>
                      <w:sz w:val="21"/>
                      <w:szCs w:val="21"/>
                      <w:highlight w:val="none"/>
                      <w:lang w:val="en-US" w:eastAsia="zh-CN"/>
                    </w:rPr>
                    <w:t>m</w:t>
                  </w:r>
                  <w:r>
                    <w:rPr>
                      <w:rFonts w:hint="default" w:ascii="Times New Roman" w:hAnsi="Times New Roman" w:eastAsia="宋体" w:cs="Times New Roman"/>
                      <w:b w:val="0"/>
                      <w:bCs w:val="0"/>
                      <w:color w:val="auto"/>
                      <w:sz w:val="21"/>
                      <w:szCs w:val="21"/>
                      <w:highlight w:val="none"/>
                      <w:vertAlign w:val="superscript"/>
                      <w:lang w:val="en-US" w:eastAsia="zh-CN"/>
                    </w:rPr>
                    <w:t>3</w:t>
                  </w:r>
                  <w:r>
                    <w:rPr>
                      <w:rFonts w:hint="default" w:ascii="Times New Roman" w:hAnsi="Times New Roman" w:eastAsia="宋体" w:cs="Times New Roman"/>
                      <w:b w:val="0"/>
                      <w:bCs w:val="0"/>
                      <w:color w:val="auto"/>
                      <w:sz w:val="21"/>
                      <w:szCs w:val="21"/>
                      <w:highlight w:val="none"/>
                      <w:lang w:val="en-US" w:eastAsia="zh-CN"/>
                    </w:rPr>
                    <w:t>/a</w:t>
                  </w:r>
                </w:p>
              </w:tc>
              <w:tc>
                <w:tcPr>
                  <w:tcW w:w="1515" w:type="dxa"/>
                  <w:tcBorders>
                    <w:tl2br w:val="nil"/>
                    <w:tr2bl w:val="nil"/>
                  </w:tcBorders>
                  <w:shd w:val="clear" w:color="auto" w:fill="auto"/>
                  <w:vAlign w:val="center"/>
                </w:tcPr>
                <w:p w14:paraId="2B2FF959">
                  <w:pPr>
                    <w:adjustRightInd w:val="0"/>
                    <w:snapToGrid w:val="0"/>
                    <w:jc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产生浓度</w:t>
                  </w:r>
                  <w:r>
                    <w:rPr>
                      <w:rFonts w:hint="default" w:ascii="Times New Roman" w:hAnsi="Times New Roman" w:eastAsia="宋体" w:cs="Times New Roman"/>
                      <w:b w:val="0"/>
                      <w:bCs w:val="0"/>
                      <w:color w:val="auto"/>
                      <w:sz w:val="21"/>
                      <w:szCs w:val="21"/>
                      <w:highlight w:val="none"/>
                    </w:rPr>
                    <w:t>（mg/L）</w:t>
                  </w:r>
                </w:p>
              </w:tc>
              <w:tc>
                <w:tcPr>
                  <w:tcW w:w="789" w:type="dxa"/>
                  <w:tcBorders>
                    <w:tl2br w:val="nil"/>
                    <w:tr2bl w:val="nil"/>
                  </w:tcBorders>
                  <w:shd w:val="clear" w:color="auto" w:fill="auto"/>
                  <w:vAlign w:val="center"/>
                </w:tcPr>
                <w:p w14:paraId="0FFC98B7">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450</w:t>
                  </w:r>
                </w:p>
              </w:tc>
              <w:tc>
                <w:tcPr>
                  <w:tcW w:w="789" w:type="dxa"/>
                  <w:tcBorders>
                    <w:tl2br w:val="nil"/>
                    <w:tr2bl w:val="nil"/>
                  </w:tcBorders>
                  <w:shd w:val="clear" w:color="auto" w:fill="auto"/>
                  <w:vAlign w:val="center"/>
                </w:tcPr>
                <w:p w14:paraId="18053AA9">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250</w:t>
                  </w:r>
                </w:p>
              </w:tc>
              <w:tc>
                <w:tcPr>
                  <w:tcW w:w="789" w:type="dxa"/>
                  <w:tcBorders>
                    <w:tl2br w:val="nil"/>
                    <w:tr2bl w:val="nil"/>
                  </w:tcBorders>
                  <w:shd w:val="clear" w:color="auto" w:fill="auto"/>
                  <w:vAlign w:val="center"/>
                </w:tcPr>
                <w:p w14:paraId="6A688071">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300</w:t>
                  </w:r>
                </w:p>
              </w:tc>
              <w:tc>
                <w:tcPr>
                  <w:tcW w:w="789" w:type="dxa"/>
                  <w:tcBorders>
                    <w:tl2br w:val="nil"/>
                    <w:tr2bl w:val="nil"/>
                  </w:tcBorders>
                  <w:shd w:val="clear" w:color="auto" w:fill="auto"/>
                  <w:vAlign w:val="center"/>
                </w:tcPr>
                <w:p w14:paraId="5CE59C34">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40</w:t>
                  </w:r>
                </w:p>
              </w:tc>
              <w:tc>
                <w:tcPr>
                  <w:tcW w:w="789" w:type="dxa"/>
                  <w:tcBorders>
                    <w:tl2br w:val="nil"/>
                    <w:tr2bl w:val="nil"/>
                  </w:tcBorders>
                  <w:shd w:val="clear" w:color="auto" w:fill="auto"/>
                  <w:vAlign w:val="center"/>
                </w:tcPr>
                <w:p w14:paraId="222774FB">
                  <w:pPr>
                    <w:keepNext w:val="0"/>
                    <w:keepLines w:val="0"/>
                    <w:widowControl/>
                    <w:suppressLineNumbers w:val="0"/>
                    <w:jc w:val="center"/>
                    <w:textAlignment w:val="center"/>
                    <w:rPr>
                      <w:rFonts w:hint="eastAsia" w:ascii="Times New Roman" w:hAnsi="Times New Roman" w:eastAsia="宋体" w:cs="Times New Roman"/>
                      <w:b w:val="0"/>
                      <w:bCs w:val="0"/>
                      <w:color w:val="auto"/>
                      <w:kern w:val="0"/>
                      <w:sz w:val="21"/>
                      <w:szCs w:val="21"/>
                      <w:highlight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w:t>
                  </w:r>
                </w:p>
              </w:tc>
              <w:tc>
                <w:tcPr>
                  <w:tcW w:w="788" w:type="dxa"/>
                  <w:tcBorders>
                    <w:tl2br w:val="nil"/>
                    <w:tr2bl w:val="nil"/>
                  </w:tcBorders>
                  <w:shd w:val="clear" w:color="auto" w:fill="auto"/>
                  <w:vAlign w:val="center"/>
                </w:tcPr>
                <w:p w14:paraId="152E048C">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6.5~7.5</w:t>
                  </w:r>
                </w:p>
              </w:tc>
            </w:tr>
            <w:tr w14:paraId="0E0C9FCB">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51" w:hRule="atLeast"/>
                <w:jc w:val="center"/>
              </w:trPr>
              <w:tc>
                <w:tcPr>
                  <w:tcW w:w="1169" w:type="dxa"/>
                  <w:vMerge w:val="continue"/>
                  <w:tcBorders>
                    <w:tl2br w:val="nil"/>
                    <w:tr2bl w:val="nil"/>
                  </w:tcBorders>
                  <w:vAlign w:val="center"/>
                </w:tcPr>
                <w:p w14:paraId="03980E56">
                  <w:pPr>
                    <w:widowControl/>
                    <w:adjustRightInd w:val="0"/>
                    <w:snapToGrid w:val="0"/>
                    <w:jc w:val="center"/>
                    <w:rPr>
                      <w:rFonts w:hint="default" w:ascii="Times New Roman" w:hAnsi="Times New Roman" w:eastAsia="宋体" w:cs="Times New Roman"/>
                      <w:b w:val="0"/>
                      <w:bCs w:val="0"/>
                      <w:color w:val="auto"/>
                      <w:kern w:val="0"/>
                      <w:sz w:val="21"/>
                      <w:szCs w:val="21"/>
                      <w:highlight w:val="none"/>
                    </w:rPr>
                  </w:pPr>
                </w:p>
              </w:tc>
              <w:tc>
                <w:tcPr>
                  <w:tcW w:w="1515" w:type="dxa"/>
                  <w:tcBorders>
                    <w:tl2br w:val="nil"/>
                    <w:tr2bl w:val="nil"/>
                  </w:tcBorders>
                  <w:shd w:val="clear" w:color="auto" w:fill="auto"/>
                  <w:vAlign w:val="center"/>
                </w:tcPr>
                <w:p w14:paraId="19B1CC8B">
                  <w:pPr>
                    <w:adjustRightInd w:val="0"/>
                    <w:snapToGrid w:val="0"/>
                    <w:jc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产生量（t/a）</w:t>
                  </w:r>
                </w:p>
              </w:tc>
              <w:tc>
                <w:tcPr>
                  <w:tcW w:w="789" w:type="dxa"/>
                  <w:tcBorders>
                    <w:tl2br w:val="nil"/>
                    <w:tr2bl w:val="nil"/>
                  </w:tcBorders>
                  <w:shd w:val="clear" w:color="auto" w:fill="auto"/>
                  <w:vAlign w:val="center"/>
                </w:tcPr>
                <w:p w14:paraId="6AB580E3">
                  <w:pPr>
                    <w:keepNext w:val="0"/>
                    <w:keepLines w:val="0"/>
                    <w:widowControl/>
                    <w:suppressLineNumbers w:val="0"/>
                    <w:jc w:val="center"/>
                    <w:textAlignment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0.043</w:t>
                  </w:r>
                </w:p>
              </w:tc>
              <w:tc>
                <w:tcPr>
                  <w:tcW w:w="789" w:type="dxa"/>
                  <w:tcBorders>
                    <w:tl2br w:val="nil"/>
                    <w:tr2bl w:val="nil"/>
                  </w:tcBorders>
                  <w:shd w:val="clear" w:color="auto" w:fill="auto"/>
                  <w:vAlign w:val="center"/>
                </w:tcPr>
                <w:p w14:paraId="6EBBDFB4">
                  <w:pPr>
                    <w:keepNext w:val="0"/>
                    <w:keepLines w:val="0"/>
                    <w:widowControl/>
                    <w:suppressLineNumbers w:val="0"/>
                    <w:jc w:val="center"/>
                    <w:textAlignment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0.0239</w:t>
                  </w:r>
                </w:p>
              </w:tc>
              <w:tc>
                <w:tcPr>
                  <w:tcW w:w="789" w:type="dxa"/>
                  <w:tcBorders>
                    <w:tl2br w:val="nil"/>
                    <w:tr2bl w:val="nil"/>
                  </w:tcBorders>
                  <w:shd w:val="clear" w:color="auto" w:fill="auto"/>
                  <w:vAlign w:val="center"/>
                </w:tcPr>
                <w:p w14:paraId="0BAF4EDA">
                  <w:pPr>
                    <w:keepNext w:val="0"/>
                    <w:keepLines w:val="0"/>
                    <w:widowControl/>
                    <w:suppressLineNumbers w:val="0"/>
                    <w:jc w:val="center"/>
                    <w:textAlignment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0.0287</w:t>
                  </w:r>
                </w:p>
              </w:tc>
              <w:tc>
                <w:tcPr>
                  <w:tcW w:w="789" w:type="dxa"/>
                  <w:tcBorders>
                    <w:tl2br w:val="nil"/>
                    <w:tr2bl w:val="nil"/>
                  </w:tcBorders>
                  <w:shd w:val="clear" w:color="auto" w:fill="auto"/>
                  <w:vAlign w:val="center"/>
                </w:tcPr>
                <w:p w14:paraId="2DC70E39">
                  <w:pPr>
                    <w:keepNext w:val="0"/>
                    <w:keepLines w:val="0"/>
                    <w:widowControl/>
                    <w:suppressLineNumbers w:val="0"/>
                    <w:jc w:val="center"/>
                    <w:textAlignment w:val="center"/>
                    <w:rPr>
                      <w:rFonts w:hint="eastAsia"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0.0038</w:t>
                  </w:r>
                </w:p>
              </w:tc>
              <w:tc>
                <w:tcPr>
                  <w:tcW w:w="789" w:type="dxa"/>
                  <w:tcBorders>
                    <w:tl2br w:val="nil"/>
                    <w:tr2bl w:val="nil"/>
                  </w:tcBorders>
                  <w:shd w:val="clear" w:color="auto" w:fill="auto"/>
                  <w:vAlign w:val="center"/>
                </w:tcPr>
                <w:p w14:paraId="26140CD7">
                  <w:pPr>
                    <w:keepNext w:val="0"/>
                    <w:keepLines w:val="0"/>
                    <w:widowControl/>
                    <w:suppressLineNumbers w:val="0"/>
                    <w:jc w:val="center"/>
                    <w:textAlignment w:val="center"/>
                    <w:rPr>
                      <w:rFonts w:hint="default" w:cs="Times New Roman"/>
                      <w:color w:val="auto"/>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w:t>
                  </w:r>
                </w:p>
              </w:tc>
              <w:tc>
                <w:tcPr>
                  <w:tcW w:w="788" w:type="dxa"/>
                  <w:tcBorders>
                    <w:tl2br w:val="nil"/>
                    <w:tr2bl w:val="nil"/>
                  </w:tcBorders>
                  <w:shd w:val="clear" w:color="auto" w:fill="auto"/>
                  <w:vAlign w:val="center"/>
                </w:tcPr>
                <w:p w14:paraId="2CBFE2F2">
                  <w:pPr>
                    <w:keepNext w:val="0"/>
                    <w:keepLines w:val="0"/>
                    <w:widowControl/>
                    <w:suppressLineNumbers w:val="0"/>
                    <w:jc w:val="center"/>
                    <w:textAlignment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w:t>
                  </w:r>
                </w:p>
              </w:tc>
            </w:tr>
            <w:tr w14:paraId="7C958CEE">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51" w:hRule="atLeast"/>
                <w:jc w:val="center"/>
              </w:trPr>
              <w:tc>
                <w:tcPr>
                  <w:tcW w:w="1169" w:type="dxa"/>
                  <w:vMerge w:val="restart"/>
                  <w:tcBorders>
                    <w:tl2br w:val="nil"/>
                    <w:tr2bl w:val="nil"/>
                  </w:tcBorders>
                  <w:vAlign w:val="center"/>
                </w:tcPr>
                <w:p w14:paraId="799B8DBF">
                  <w:pPr>
                    <w:widowControl/>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第</w:t>
                  </w:r>
                  <w:r>
                    <w:rPr>
                      <w:rFonts w:hint="eastAsia" w:cs="Times New Roman"/>
                      <w:b w:val="0"/>
                      <w:bCs w:val="0"/>
                      <w:color w:val="auto"/>
                      <w:kern w:val="0"/>
                      <w:sz w:val="21"/>
                      <w:szCs w:val="21"/>
                      <w:highlight w:val="none"/>
                      <w:lang w:val="en-US" w:eastAsia="zh-CN"/>
                    </w:rPr>
                    <w:t>二遍</w:t>
                  </w:r>
                  <w:r>
                    <w:rPr>
                      <w:rFonts w:hint="default" w:ascii="Times New Roman" w:hAnsi="Times New Roman" w:eastAsia="宋体" w:cs="Times New Roman"/>
                      <w:b w:val="0"/>
                      <w:bCs w:val="0"/>
                      <w:color w:val="auto"/>
                      <w:kern w:val="0"/>
                      <w:sz w:val="21"/>
                      <w:szCs w:val="21"/>
                      <w:highlight w:val="none"/>
                      <w:lang w:val="en-US" w:eastAsia="zh-CN"/>
                    </w:rPr>
                    <w:t>清洗废水</w:t>
                  </w:r>
                  <w:r>
                    <w:rPr>
                      <w:rFonts w:hint="eastAsia" w:ascii="Times New Roman" w:hAnsi="Times New Roman" w:eastAsia="宋体" w:cs="Times New Roman"/>
                      <w:b w:val="0"/>
                      <w:bCs w:val="0"/>
                      <w:color w:val="auto"/>
                      <w:kern w:val="0"/>
                      <w:sz w:val="21"/>
                      <w:szCs w:val="21"/>
                      <w:highlight w:val="none"/>
                      <w:lang w:val="en-US" w:eastAsia="zh-CN"/>
                    </w:rPr>
                    <w:t>0.</w:t>
                  </w:r>
                  <w:r>
                    <w:rPr>
                      <w:rFonts w:hint="eastAsia" w:cs="Times New Roman"/>
                      <w:b w:val="0"/>
                      <w:bCs w:val="0"/>
                      <w:color w:val="auto"/>
                      <w:kern w:val="0"/>
                      <w:sz w:val="21"/>
                      <w:szCs w:val="21"/>
                      <w:highlight w:val="none"/>
                      <w:lang w:val="en-US" w:eastAsia="zh-CN"/>
                    </w:rPr>
                    <w:t>54</w:t>
                  </w:r>
                  <w:r>
                    <w:rPr>
                      <w:rFonts w:hint="default" w:ascii="Times New Roman" w:hAnsi="Times New Roman" w:eastAsia="宋体" w:cs="Times New Roman"/>
                      <w:b w:val="0"/>
                      <w:bCs w:val="0"/>
                      <w:color w:val="auto"/>
                      <w:kern w:val="0"/>
                      <w:sz w:val="21"/>
                      <w:szCs w:val="21"/>
                      <w:highlight w:val="none"/>
                      <w:lang w:val="en-US" w:eastAsia="zh-CN"/>
                    </w:rPr>
                    <w:t>m</w:t>
                  </w:r>
                  <w:r>
                    <w:rPr>
                      <w:rFonts w:hint="default" w:ascii="Times New Roman" w:hAnsi="Times New Roman" w:eastAsia="宋体" w:cs="Times New Roman"/>
                      <w:b w:val="0"/>
                      <w:bCs w:val="0"/>
                      <w:color w:val="auto"/>
                      <w:kern w:val="0"/>
                      <w:sz w:val="21"/>
                      <w:szCs w:val="21"/>
                      <w:highlight w:val="none"/>
                      <w:vertAlign w:val="superscript"/>
                      <w:lang w:val="en-US" w:eastAsia="zh-CN"/>
                    </w:rPr>
                    <w:t>3</w:t>
                  </w:r>
                  <w:r>
                    <w:rPr>
                      <w:rFonts w:hint="default" w:ascii="Times New Roman" w:hAnsi="Times New Roman" w:eastAsia="宋体" w:cs="Times New Roman"/>
                      <w:b w:val="0"/>
                      <w:bCs w:val="0"/>
                      <w:color w:val="auto"/>
                      <w:kern w:val="0"/>
                      <w:sz w:val="21"/>
                      <w:szCs w:val="21"/>
                      <w:highlight w:val="none"/>
                      <w:lang w:val="en-US" w:eastAsia="zh-CN"/>
                    </w:rPr>
                    <w:t>/a</w:t>
                  </w:r>
                </w:p>
              </w:tc>
              <w:tc>
                <w:tcPr>
                  <w:tcW w:w="1515" w:type="dxa"/>
                  <w:tcBorders>
                    <w:tl2br w:val="nil"/>
                    <w:tr2bl w:val="nil"/>
                  </w:tcBorders>
                  <w:shd w:val="clear" w:color="auto" w:fill="auto"/>
                  <w:vAlign w:val="center"/>
                </w:tcPr>
                <w:p w14:paraId="614157A6">
                  <w:pPr>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rPr>
                    <w:t>产生浓度</w:t>
                  </w:r>
                  <w:r>
                    <w:rPr>
                      <w:rFonts w:hint="default" w:ascii="Times New Roman" w:hAnsi="Times New Roman" w:eastAsia="宋体" w:cs="Times New Roman"/>
                      <w:b w:val="0"/>
                      <w:bCs w:val="0"/>
                      <w:color w:val="auto"/>
                      <w:sz w:val="21"/>
                      <w:szCs w:val="21"/>
                      <w:highlight w:val="none"/>
                    </w:rPr>
                    <w:t>（mg/L）</w:t>
                  </w:r>
                </w:p>
              </w:tc>
              <w:tc>
                <w:tcPr>
                  <w:tcW w:w="789" w:type="dxa"/>
                  <w:tcBorders>
                    <w:tl2br w:val="nil"/>
                    <w:tr2bl w:val="nil"/>
                  </w:tcBorders>
                  <w:shd w:val="clear" w:color="auto" w:fill="auto"/>
                  <w:vAlign w:val="center"/>
                </w:tcPr>
                <w:p w14:paraId="1B738A13">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200</w:t>
                  </w:r>
                </w:p>
              </w:tc>
              <w:tc>
                <w:tcPr>
                  <w:tcW w:w="789" w:type="dxa"/>
                  <w:tcBorders>
                    <w:tl2br w:val="nil"/>
                    <w:tr2bl w:val="nil"/>
                  </w:tcBorders>
                  <w:shd w:val="clear" w:color="auto" w:fill="auto"/>
                  <w:vAlign w:val="center"/>
                </w:tcPr>
                <w:p w14:paraId="4832C3B8">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60</w:t>
                  </w:r>
                </w:p>
              </w:tc>
              <w:tc>
                <w:tcPr>
                  <w:tcW w:w="789" w:type="dxa"/>
                  <w:tcBorders>
                    <w:tl2br w:val="nil"/>
                    <w:tr2bl w:val="nil"/>
                  </w:tcBorders>
                  <w:shd w:val="clear" w:color="auto" w:fill="auto"/>
                  <w:vAlign w:val="center"/>
                </w:tcPr>
                <w:p w14:paraId="3BB9652B">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100</w:t>
                  </w:r>
                </w:p>
              </w:tc>
              <w:tc>
                <w:tcPr>
                  <w:tcW w:w="789" w:type="dxa"/>
                  <w:tcBorders>
                    <w:tl2br w:val="nil"/>
                    <w:tr2bl w:val="nil"/>
                  </w:tcBorders>
                  <w:shd w:val="clear" w:color="auto" w:fill="auto"/>
                  <w:vAlign w:val="center"/>
                </w:tcPr>
                <w:p w14:paraId="7678227C">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25</w:t>
                  </w:r>
                </w:p>
              </w:tc>
              <w:tc>
                <w:tcPr>
                  <w:tcW w:w="789" w:type="dxa"/>
                  <w:tcBorders>
                    <w:tl2br w:val="nil"/>
                    <w:tr2bl w:val="nil"/>
                  </w:tcBorders>
                  <w:shd w:val="clear" w:color="auto" w:fill="auto"/>
                  <w:vAlign w:val="center"/>
                </w:tcPr>
                <w:p w14:paraId="7F0E8FB8">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w:t>
                  </w:r>
                </w:p>
              </w:tc>
              <w:tc>
                <w:tcPr>
                  <w:tcW w:w="788" w:type="dxa"/>
                  <w:tcBorders>
                    <w:tl2br w:val="nil"/>
                    <w:tr2bl w:val="nil"/>
                  </w:tcBorders>
                  <w:shd w:val="clear" w:color="auto" w:fill="auto"/>
                  <w:vAlign w:val="center"/>
                </w:tcPr>
                <w:p w14:paraId="7D1D0BDE">
                  <w:pPr>
                    <w:keepNext w:val="0"/>
                    <w:keepLines w:val="0"/>
                    <w:widowControl/>
                    <w:suppressLineNumbers w:val="0"/>
                    <w:jc w:val="center"/>
                    <w:textAlignment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w:t>
                  </w:r>
                </w:p>
              </w:tc>
            </w:tr>
            <w:tr w14:paraId="240EF9AD">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51" w:hRule="atLeast"/>
                <w:jc w:val="center"/>
              </w:trPr>
              <w:tc>
                <w:tcPr>
                  <w:tcW w:w="1169" w:type="dxa"/>
                  <w:vMerge w:val="continue"/>
                  <w:tcBorders>
                    <w:tl2br w:val="nil"/>
                    <w:tr2bl w:val="nil"/>
                  </w:tcBorders>
                  <w:vAlign w:val="center"/>
                </w:tcPr>
                <w:p w14:paraId="6C4A62D1">
                  <w:pPr>
                    <w:widowControl/>
                    <w:adjustRightInd w:val="0"/>
                    <w:snapToGrid w:val="0"/>
                    <w:jc w:val="center"/>
                    <w:rPr>
                      <w:rFonts w:hint="default" w:ascii="Times New Roman" w:hAnsi="Times New Roman" w:eastAsia="宋体" w:cs="Times New Roman"/>
                      <w:b w:val="0"/>
                      <w:bCs w:val="0"/>
                      <w:color w:val="auto"/>
                      <w:kern w:val="0"/>
                      <w:sz w:val="21"/>
                      <w:szCs w:val="21"/>
                      <w:highlight w:val="none"/>
                    </w:rPr>
                  </w:pPr>
                </w:p>
              </w:tc>
              <w:tc>
                <w:tcPr>
                  <w:tcW w:w="1515" w:type="dxa"/>
                  <w:tcBorders>
                    <w:tl2br w:val="nil"/>
                    <w:tr2bl w:val="nil"/>
                  </w:tcBorders>
                  <w:shd w:val="clear" w:color="auto" w:fill="auto"/>
                  <w:vAlign w:val="center"/>
                </w:tcPr>
                <w:p w14:paraId="69FDB5FC">
                  <w:pPr>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rPr>
                    <w:t>产生量（t/a）</w:t>
                  </w:r>
                </w:p>
              </w:tc>
              <w:tc>
                <w:tcPr>
                  <w:tcW w:w="789" w:type="dxa"/>
                  <w:tcBorders>
                    <w:tl2br w:val="nil"/>
                    <w:tr2bl w:val="nil"/>
                  </w:tcBorders>
                  <w:shd w:val="clear" w:color="auto" w:fill="auto"/>
                  <w:vAlign w:val="center"/>
                </w:tcPr>
                <w:p w14:paraId="64BDF9AB">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0.0001</w:t>
                  </w:r>
                </w:p>
              </w:tc>
              <w:tc>
                <w:tcPr>
                  <w:tcW w:w="789" w:type="dxa"/>
                  <w:tcBorders>
                    <w:tl2br w:val="nil"/>
                    <w:tr2bl w:val="nil"/>
                  </w:tcBorders>
                  <w:shd w:val="clear" w:color="auto" w:fill="auto"/>
                  <w:vAlign w:val="center"/>
                </w:tcPr>
                <w:p w14:paraId="4EC2FE3C">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0.00003</w:t>
                  </w:r>
                </w:p>
              </w:tc>
              <w:tc>
                <w:tcPr>
                  <w:tcW w:w="789" w:type="dxa"/>
                  <w:tcBorders>
                    <w:tl2br w:val="nil"/>
                    <w:tr2bl w:val="nil"/>
                  </w:tcBorders>
                  <w:shd w:val="clear" w:color="auto" w:fill="auto"/>
                  <w:vAlign w:val="center"/>
                </w:tcPr>
                <w:p w14:paraId="59D15C5B">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0.00005</w:t>
                  </w:r>
                </w:p>
              </w:tc>
              <w:tc>
                <w:tcPr>
                  <w:tcW w:w="789" w:type="dxa"/>
                  <w:tcBorders>
                    <w:tl2br w:val="nil"/>
                    <w:tr2bl w:val="nil"/>
                  </w:tcBorders>
                  <w:shd w:val="clear" w:color="auto" w:fill="auto"/>
                  <w:vAlign w:val="center"/>
                </w:tcPr>
                <w:p w14:paraId="6CFDF1CA">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0.00001</w:t>
                  </w:r>
                </w:p>
              </w:tc>
              <w:tc>
                <w:tcPr>
                  <w:tcW w:w="789" w:type="dxa"/>
                  <w:tcBorders>
                    <w:tl2br w:val="nil"/>
                    <w:tr2bl w:val="nil"/>
                  </w:tcBorders>
                  <w:shd w:val="clear" w:color="auto" w:fill="auto"/>
                  <w:vAlign w:val="center"/>
                </w:tcPr>
                <w:p w14:paraId="1145F362">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w:t>
                  </w:r>
                </w:p>
              </w:tc>
              <w:tc>
                <w:tcPr>
                  <w:tcW w:w="788" w:type="dxa"/>
                  <w:tcBorders>
                    <w:tl2br w:val="nil"/>
                    <w:tr2bl w:val="nil"/>
                  </w:tcBorders>
                  <w:shd w:val="clear" w:color="auto" w:fill="auto"/>
                  <w:vAlign w:val="center"/>
                </w:tcPr>
                <w:p w14:paraId="130EB23E">
                  <w:pPr>
                    <w:keepNext w:val="0"/>
                    <w:keepLines w:val="0"/>
                    <w:widowControl/>
                    <w:suppressLineNumbers w:val="0"/>
                    <w:jc w:val="center"/>
                    <w:textAlignment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w:t>
                  </w:r>
                </w:p>
              </w:tc>
            </w:tr>
            <w:tr w14:paraId="6532D7B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51" w:hRule="atLeast"/>
                <w:jc w:val="center"/>
              </w:trPr>
              <w:tc>
                <w:tcPr>
                  <w:tcW w:w="1169" w:type="dxa"/>
                  <w:vMerge w:val="restart"/>
                  <w:tcBorders>
                    <w:tl2br w:val="nil"/>
                    <w:tr2bl w:val="nil"/>
                  </w:tcBorders>
                  <w:vAlign w:val="center"/>
                </w:tcPr>
                <w:p w14:paraId="6F835D92">
                  <w:pPr>
                    <w:widowControl/>
                    <w:adjustRightInd w:val="0"/>
                    <w:snapToGrid w:val="0"/>
                    <w:jc w:val="center"/>
                    <w:rPr>
                      <w:rFonts w:hint="default" w:ascii="Times New Roman" w:hAnsi="Times New Roman" w:eastAsia="宋体" w:cs="Times New Roman"/>
                      <w:b w:val="0"/>
                      <w:bCs w:val="0"/>
                      <w:color w:val="auto"/>
                      <w:kern w:val="0"/>
                      <w:sz w:val="21"/>
                      <w:szCs w:val="21"/>
                      <w:highlight w:val="none"/>
                    </w:rPr>
                  </w:pPr>
                  <w:r>
                    <w:rPr>
                      <w:rFonts w:hint="eastAsia" w:cs="Times New Roman"/>
                      <w:b w:val="0"/>
                      <w:bCs w:val="0"/>
                      <w:color w:val="auto"/>
                      <w:kern w:val="0"/>
                      <w:sz w:val="21"/>
                      <w:szCs w:val="21"/>
                      <w:highlight w:val="none"/>
                      <w:lang w:val="en-US" w:eastAsia="zh-CN"/>
                    </w:rPr>
                    <w:t>纯水制备</w:t>
                  </w:r>
                  <w:r>
                    <w:rPr>
                      <w:rFonts w:hint="default" w:ascii="Times New Roman" w:hAnsi="Times New Roman" w:eastAsia="宋体" w:cs="Times New Roman"/>
                      <w:b w:val="0"/>
                      <w:bCs w:val="0"/>
                      <w:color w:val="auto"/>
                      <w:kern w:val="0"/>
                      <w:sz w:val="21"/>
                      <w:szCs w:val="21"/>
                      <w:highlight w:val="none"/>
                      <w:lang w:val="en-US" w:eastAsia="zh-CN"/>
                    </w:rPr>
                    <w:t>废水</w:t>
                  </w:r>
                  <w:r>
                    <w:rPr>
                      <w:rFonts w:hint="eastAsia" w:cs="Times New Roman"/>
                      <w:b w:val="0"/>
                      <w:bCs w:val="0"/>
                      <w:color w:val="auto"/>
                      <w:kern w:val="0"/>
                      <w:sz w:val="21"/>
                      <w:szCs w:val="21"/>
                      <w:highlight w:val="none"/>
                      <w:lang w:val="en-US" w:eastAsia="zh-CN"/>
                    </w:rPr>
                    <w:t>0.2676</w:t>
                  </w:r>
                  <w:r>
                    <w:rPr>
                      <w:rFonts w:hint="default" w:ascii="Times New Roman" w:hAnsi="Times New Roman" w:eastAsia="宋体" w:cs="Times New Roman"/>
                      <w:b w:val="0"/>
                      <w:bCs w:val="0"/>
                      <w:color w:val="auto"/>
                      <w:kern w:val="0"/>
                      <w:sz w:val="21"/>
                      <w:szCs w:val="21"/>
                      <w:highlight w:val="none"/>
                      <w:lang w:val="en-US" w:eastAsia="zh-CN"/>
                    </w:rPr>
                    <w:t>m</w:t>
                  </w:r>
                  <w:r>
                    <w:rPr>
                      <w:rFonts w:hint="default" w:ascii="Times New Roman" w:hAnsi="Times New Roman" w:eastAsia="宋体" w:cs="Times New Roman"/>
                      <w:b w:val="0"/>
                      <w:bCs w:val="0"/>
                      <w:color w:val="auto"/>
                      <w:kern w:val="0"/>
                      <w:sz w:val="21"/>
                      <w:szCs w:val="21"/>
                      <w:highlight w:val="none"/>
                      <w:vertAlign w:val="superscript"/>
                      <w:lang w:val="en-US" w:eastAsia="zh-CN"/>
                    </w:rPr>
                    <w:t>3</w:t>
                  </w:r>
                  <w:r>
                    <w:rPr>
                      <w:rFonts w:hint="default" w:ascii="Times New Roman" w:hAnsi="Times New Roman" w:eastAsia="宋体" w:cs="Times New Roman"/>
                      <w:b w:val="0"/>
                      <w:bCs w:val="0"/>
                      <w:color w:val="auto"/>
                      <w:kern w:val="0"/>
                      <w:sz w:val="21"/>
                      <w:szCs w:val="21"/>
                      <w:highlight w:val="none"/>
                      <w:lang w:val="en-US" w:eastAsia="zh-CN"/>
                    </w:rPr>
                    <w:t>/a</w:t>
                  </w:r>
                </w:p>
              </w:tc>
              <w:tc>
                <w:tcPr>
                  <w:tcW w:w="1515" w:type="dxa"/>
                  <w:tcBorders>
                    <w:tl2br w:val="nil"/>
                    <w:tr2bl w:val="nil"/>
                  </w:tcBorders>
                  <w:shd w:val="clear" w:color="auto" w:fill="auto"/>
                  <w:vAlign w:val="center"/>
                </w:tcPr>
                <w:p w14:paraId="10DB9D5C">
                  <w:pPr>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rPr>
                    <w:t>产生浓度</w:t>
                  </w:r>
                  <w:r>
                    <w:rPr>
                      <w:rFonts w:hint="default" w:ascii="Times New Roman" w:hAnsi="Times New Roman" w:eastAsia="宋体" w:cs="Times New Roman"/>
                      <w:b w:val="0"/>
                      <w:bCs w:val="0"/>
                      <w:color w:val="auto"/>
                      <w:sz w:val="21"/>
                      <w:szCs w:val="21"/>
                      <w:highlight w:val="none"/>
                    </w:rPr>
                    <w:t>（mg/L）</w:t>
                  </w:r>
                </w:p>
              </w:tc>
              <w:tc>
                <w:tcPr>
                  <w:tcW w:w="789" w:type="dxa"/>
                  <w:tcBorders>
                    <w:tl2br w:val="nil"/>
                    <w:tr2bl w:val="nil"/>
                  </w:tcBorders>
                  <w:shd w:val="clear" w:color="auto" w:fill="auto"/>
                  <w:vAlign w:val="center"/>
                </w:tcPr>
                <w:p w14:paraId="090226D8">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50</w:t>
                  </w:r>
                </w:p>
              </w:tc>
              <w:tc>
                <w:tcPr>
                  <w:tcW w:w="789" w:type="dxa"/>
                  <w:tcBorders>
                    <w:tl2br w:val="nil"/>
                    <w:tr2bl w:val="nil"/>
                  </w:tcBorders>
                  <w:shd w:val="clear" w:color="auto" w:fill="auto"/>
                  <w:vAlign w:val="center"/>
                </w:tcPr>
                <w:p w14:paraId="26CD9683">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30</w:t>
                  </w:r>
                </w:p>
              </w:tc>
              <w:tc>
                <w:tcPr>
                  <w:tcW w:w="789" w:type="dxa"/>
                  <w:tcBorders>
                    <w:tl2br w:val="nil"/>
                    <w:tr2bl w:val="nil"/>
                  </w:tcBorders>
                  <w:shd w:val="clear" w:color="auto" w:fill="auto"/>
                  <w:vAlign w:val="center"/>
                </w:tcPr>
                <w:p w14:paraId="6098120A">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100</w:t>
                  </w:r>
                </w:p>
              </w:tc>
              <w:tc>
                <w:tcPr>
                  <w:tcW w:w="789" w:type="dxa"/>
                  <w:tcBorders>
                    <w:tl2br w:val="nil"/>
                    <w:tr2bl w:val="nil"/>
                  </w:tcBorders>
                  <w:shd w:val="clear" w:color="auto" w:fill="auto"/>
                  <w:vAlign w:val="center"/>
                </w:tcPr>
                <w:p w14:paraId="5158CA49">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10</w:t>
                  </w:r>
                </w:p>
              </w:tc>
              <w:tc>
                <w:tcPr>
                  <w:tcW w:w="789" w:type="dxa"/>
                  <w:tcBorders>
                    <w:tl2br w:val="nil"/>
                    <w:tr2bl w:val="nil"/>
                  </w:tcBorders>
                  <w:shd w:val="clear" w:color="auto" w:fill="auto"/>
                  <w:vAlign w:val="center"/>
                </w:tcPr>
                <w:p w14:paraId="2C90D503">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3333</w:t>
                  </w:r>
                </w:p>
              </w:tc>
              <w:tc>
                <w:tcPr>
                  <w:tcW w:w="788" w:type="dxa"/>
                  <w:tcBorders>
                    <w:tl2br w:val="nil"/>
                    <w:tr2bl w:val="nil"/>
                  </w:tcBorders>
                  <w:shd w:val="clear" w:color="auto" w:fill="auto"/>
                  <w:vAlign w:val="center"/>
                </w:tcPr>
                <w:p w14:paraId="2CE64F32">
                  <w:pPr>
                    <w:keepNext w:val="0"/>
                    <w:keepLines w:val="0"/>
                    <w:widowControl/>
                    <w:suppressLineNumbers w:val="0"/>
                    <w:jc w:val="center"/>
                    <w:textAlignment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6.5~7.5</w:t>
                  </w:r>
                </w:p>
              </w:tc>
            </w:tr>
            <w:tr w14:paraId="2D9F26FE">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54" w:hRule="atLeast"/>
                <w:jc w:val="center"/>
              </w:trPr>
              <w:tc>
                <w:tcPr>
                  <w:tcW w:w="1169" w:type="dxa"/>
                  <w:vMerge w:val="continue"/>
                  <w:tcBorders>
                    <w:tl2br w:val="nil"/>
                    <w:tr2bl w:val="nil"/>
                  </w:tcBorders>
                  <w:vAlign w:val="center"/>
                </w:tcPr>
                <w:p w14:paraId="773CAD6E">
                  <w:pPr>
                    <w:widowControl/>
                    <w:adjustRightInd w:val="0"/>
                    <w:snapToGrid w:val="0"/>
                    <w:jc w:val="center"/>
                    <w:rPr>
                      <w:rFonts w:hint="default" w:ascii="Times New Roman" w:hAnsi="Times New Roman" w:eastAsia="宋体" w:cs="Times New Roman"/>
                      <w:b w:val="0"/>
                      <w:bCs w:val="0"/>
                      <w:color w:val="auto"/>
                      <w:kern w:val="0"/>
                      <w:sz w:val="21"/>
                      <w:szCs w:val="21"/>
                      <w:highlight w:val="none"/>
                    </w:rPr>
                  </w:pPr>
                </w:p>
              </w:tc>
              <w:tc>
                <w:tcPr>
                  <w:tcW w:w="1515" w:type="dxa"/>
                  <w:tcBorders>
                    <w:tl2br w:val="nil"/>
                    <w:tr2bl w:val="nil"/>
                  </w:tcBorders>
                  <w:shd w:val="clear" w:color="auto" w:fill="auto"/>
                  <w:vAlign w:val="center"/>
                </w:tcPr>
                <w:p w14:paraId="14602805">
                  <w:pPr>
                    <w:adjustRightInd w:val="0"/>
                    <w:snapToGrid w:val="0"/>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rPr>
                    <w:t>产生量（t/a）</w:t>
                  </w:r>
                </w:p>
              </w:tc>
              <w:tc>
                <w:tcPr>
                  <w:tcW w:w="789" w:type="dxa"/>
                  <w:tcBorders>
                    <w:tl2br w:val="nil"/>
                    <w:tr2bl w:val="nil"/>
                  </w:tcBorders>
                  <w:shd w:val="clear" w:color="auto" w:fill="auto"/>
                  <w:vAlign w:val="center"/>
                </w:tcPr>
                <w:p w14:paraId="7A47969B">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0.00001</w:t>
                  </w:r>
                </w:p>
              </w:tc>
              <w:tc>
                <w:tcPr>
                  <w:tcW w:w="789" w:type="dxa"/>
                  <w:tcBorders>
                    <w:tl2br w:val="nil"/>
                    <w:tr2bl w:val="nil"/>
                  </w:tcBorders>
                  <w:shd w:val="clear" w:color="auto" w:fill="auto"/>
                  <w:vAlign w:val="center"/>
                </w:tcPr>
                <w:p w14:paraId="76D1BC54">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0.00001</w:t>
                  </w:r>
                </w:p>
              </w:tc>
              <w:tc>
                <w:tcPr>
                  <w:tcW w:w="789" w:type="dxa"/>
                  <w:tcBorders>
                    <w:tl2br w:val="nil"/>
                    <w:tr2bl w:val="nil"/>
                  </w:tcBorders>
                  <w:shd w:val="clear" w:color="auto" w:fill="auto"/>
                  <w:vAlign w:val="center"/>
                </w:tcPr>
                <w:p w14:paraId="7017C8F0">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0.00003</w:t>
                  </w:r>
                </w:p>
              </w:tc>
              <w:tc>
                <w:tcPr>
                  <w:tcW w:w="789" w:type="dxa"/>
                  <w:tcBorders>
                    <w:tl2br w:val="nil"/>
                    <w:tr2bl w:val="nil"/>
                  </w:tcBorders>
                  <w:shd w:val="clear" w:color="auto" w:fill="auto"/>
                  <w:vAlign w:val="center"/>
                </w:tcPr>
                <w:p w14:paraId="4E49ED1D">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0.000003</w:t>
                  </w:r>
                </w:p>
              </w:tc>
              <w:tc>
                <w:tcPr>
                  <w:tcW w:w="789" w:type="dxa"/>
                  <w:tcBorders>
                    <w:tl2br w:val="nil"/>
                    <w:tr2bl w:val="nil"/>
                  </w:tcBorders>
                  <w:shd w:val="clear" w:color="auto" w:fill="auto"/>
                  <w:vAlign w:val="center"/>
                </w:tcPr>
                <w:p w14:paraId="343A33C3">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0.0009</w:t>
                  </w:r>
                </w:p>
              </w:tc>
              <w:tc>
                <w:tcPr>
                  <w:tcW w:w="788" w:type="dxa"/>
                  <w:tcBorders>
                    <w:tl2br w:val="nil"/>
                    <w:tr2bl w:val="nil"/>
                  </w:tcBorders>
                  <w:shd w:val="clear" w:color="auto" w:fill="auto"/>
                  <w:vAlign w:val="center"/>
                </w:tcPr>
                <w:p w14:paraId="61BA0D04">
                  <w:pPr>
                    <w:keepNext w:val="0"/>
                    <w:keepLines w:val="0"/>
                    <w:widowControl/>
                    <w:suppressLineNumbers w:val="0"/>
                    <w:jc w:val="center"/>
                    <w:textAlignment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w:t>
                  </w:r>
                </w:p>
              </w:tc>
            </w:tr>
            <w:tr w14:paraId="5DED205C">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22" w:hRule="atLeast"/>
                <w:jc w:val="center"/>
              </w:trPr>
              <w:tc>
                <w:tcPr>
                  <w:tcW w:w="1169" w:type="dxa"/>
                  <w:vMerge w:val="restart"/>
                  <w:tcBorders>
                    <w:tl2br w:val="nil"/>
                    <w:tr2bl w:val="nil"/>
                  </w:tcBorders>
                  <w:vAlign w:val="center"/>
                </w:tcPr>
                <w:p w14:paraId="4A865B42">
                  <w:pPr>
                    <w:widowControl/>
                    <w:adjustRightInd w:val="0"/>
                    <w:snapToGrid w:val="0"/>
                    <w:jc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综合废水</w:t>
                  </w:r>
                </w:p>
                <w:p w14:paraId="6A8A8753">
                  <w:pPr>
                    <w:widowControl/>
                    <w:adjustRightInd w:val="0"/>
                    <w:snapToGrid w:val="0"/>
                    <w:jc w:val="center"/>
                    <w:rPr>
                      <w:rFonts w:hint="default" w:ascii="Times New Roman" w:hAnsi="Times New Roman" w:eastAsia="宋体" w:cs="Times New Roman"/>
                      <w:b w:val="0"/>
                      <w:bCs w:val="0"/>
                      <w:color w:val="auto"/>
                      <w:kern w:val="0"/>
                      <w:sz w:val="21"/>
                      <w:szCs w:val="21"/>
                      <w:highlight w:val="none"/>
                    </w:rPr>
                  </w:pPr>
                  <w:r>
                    <w:rPr>
                      <w:rFonts w:hint="eastAsia" w:cs="Times New Roman"/>
                      <w:b w:val="0"/>
                      <w:bCs w:val="0"/>
                      <w:color w:val="auto"/>
                      <w:sz w:val="21"/>
                      <w:szCs w:val="21"/>
                      <w:highlight w:val="none"/>
                      <w:lang w:val="en-US" w:eastAsia="zh-CN"/>
                    </w:rPr>
                    <w:t>96.4376</w:t>
                  </w:r>
                  <w:r>
                    <w:rPr>
                      <w:rFonts w:hint="default" w:cs="Times New Roman"/>
                      <w:b w:val="0"/>
                      <w:bCs w:val="0"/>
                      <w:color w:val="auto"/>
                      <w:sz w:val="21"/>
                      <w:szCs w:val="21"/>
                      <w:highlight w:val="none"/>
                      <w:lang w:val="en-US" w:eastAsia="zh-CN"/>
                    </w:rPr>
                    <w:t>m</w:t>
                  </w:r>
                  <w:r>
                    <w:rPr>
                      <w:rFonts w:hint="default" w:cs="Times New Roman"/>
                      <w:b w:val="0"/>
                      <w:bCs w:val="0"/>
                      <w:color w:val="auto"/>
                      <w:sz w:val="21"/>
                      <w:szCs w:val="21"/>
                      <w:highlight w:val="none"/>
                      <w:vertAlign w:val="superscript"/>
                      <w:lang w:val="en-US" w:eastAsia="zh-CN"/>
                    </w:rPr>
                    <w:t>3</w:t>
                  </w:r>
                  <w:r>
                    <w:rPr>
                      <w:rFonts w:hint="default" w:cs="Times New Roman"/>
                      <w:b w:val="0"/>
                      <w:bCs w:val="0"/>
                      <w:color w:val="auto"/>
                      <w:sz w:val="21"/>
                      <w:szCs w:val="21"/>
                      <w:highlight w:val="none"/>
                      <w:lang w:val="en-US" w:eastAsia="zh-CN"/>
                    </w:rPr>
                    <w:t>/a</w:t>
                  </w:r>
                </w:p>
              </w:tc>
              <w:tc>
                <w:tcPr>
                  <w:tcW w:w="1515" w:type="dxa"/>
                  <w:tcBorders>
                    <w:tl2br w:val="nil"/>
                    <w:tr2bl w:val="nil"/>
                  </w:tcBorders>
                  <w:vAlign w:val="center"/>
                </w:tcPr>
                <w:p w14:paraId="49FC714E">
                  <w:pPr>
                    <w:adjustRightInd w:val="0"/>
                    <w:snapToGrid w:val="0"/>
                    <w:jc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综合废水产生浓度</w:t>
                  </w:r>
                  <w:r>
                    <w:rPr>
                      <w:rFonts w:hint="default" w:ascii="Times New Roman" w:hAnsi="Times New Roman" w:eastAsia="宋体" w:cs="Times New Roman"/>
                      <w:b w:val="0"/>
                      <w:bCs w:val="0"/>
                      <w:color w:val="auto"/>
                      <w:sz w:val="21"/>
                      <w:szCs w:val="21"/>
                      <w:highlight w:val="none"/>
                    </w:rPr>
                    <w:t>（mg/L）</w:t>
                  </w:r>
                </w:p>
              </w:tc>
              <w:tc>
                <w:tcPr>
                  <w:tcW w:w="789" w:type="dxa"/>
                  <w:tcBorders>
                    <w:tl2br w:val="nil"/>
                    <w:tr2bl w:val="nil"/>
                  </w:tcBorders>
                  <w:vAlign w:val="center"/>
                </w:tcPr>
                <w:p w14:paraId="5D81D667">
                  <w:pPr>
                    <w:keepNext w:val="0"/>
                    <w:keepLines w:val="0"/>
                    <w:widowControl/>
                    <w:suppressLineNumbers w:val="0"/>
                    <w:jc w:val="center"/>
                    <w:textAlignment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447.02</w:t>
                  </w:r>
                </w:p>
              </w:tc>
              <w:tc>
                <w:tcPr>
                  <w:tcW w:w="789" w:type="dxa"/>
                  <w:tcBorders>
                    <w:tl2br w:val="nil"/>
                    <w:tr2bl w:val="nil"/>
                  </w:tcBorders>
                  <w:vAlign w:val="center"/>
                </w:tcPr>
                <w:p w14:paraId="705A59BA">
                  <w:pPr>
                    <w:keepNext w:val="0"/>
                    <w:keepLines w:val="0"/>
                    <w:widowControl/>
                    <w:suppressLineNumbers w:val="0"/>
                    <w:jc w:val="center"/>
                    <w:textAlignment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248.24</w:t>
                  </w:r>
                </w:p>
              </w:tc>
              <w:tc>
                <w:tcPr>
                  <w:tcW w:w="789" w:type="dxa"/>
                  <w:tcBorders>
                    <w:tl2br w:val="nil"/>
                    <w:tr2bl w:val="nil"/>
                  </w:tcBorders>
                  <w:vAlign w:val="center"/>
                </w:tcPr>
                <w:p w14:paraId="642BB99A">
                  <w:pPr>
                    <w:keepNext w:val="0"/>
                    <w:keepLines w:val="0"/>
                    <w:widowControl/>
                    <w:suppressLineNumbers w:val="0"/>
                    <w:jc w:val="center"/>
                    <w:textAlignment w:val="center"/>
                    <w:rPr>
                      <w:rFonts w:hint="default" w:ascii="Times New Roman" w:hAnsi="Times New Roman" w:eastAsia="宋体" w:cs="Times New Roman"/>
                      <w:b w:val="0"/>
                      <w:bCs w:val="0"/>
                      <w:color w:val="auto"/>
                      <w:kern w:val="0"/>
                      <w:sz w:val="21"/>
                      <w:szCs w:val="21"/>
                      <w:highlight w:val="none"/>
                      <w:lang w:val="en-US"/>
                    </w:rPr>
                  </w:pPr>
                  <w:r>
                    <w:rPr>
                      <w:rFonts w:hint="default" w:ascii="Times New Roman" w:hAnsi="Times New Roman" w:eastAsia="宋体" w:cs="Times New Roman"/>
                      <w:i w:val="0"/>
                      <w:iCs w:val="0"/>
                      <w:color w:val="000000"/>
                      <w:kern w:val="0"/>
                      <w:sz w:val="21"/>
                      <w:szCs w:val="21"/>
                      <w:u w:val="none"/>
                      <w:lang w:val="en-US" w:eastAsia="zh-CN" w:bidi="ar"/>
                    </w:rPr>
                    <w:t xml:space="preserve">298.43 </w:t>
                  </w:r>
                </w:p>
              </w:tc>
              <w:tc>
                <w:tcPr>
                  <w:tcW w:w="789" w:type="dxa"/>
                  <w:tcBorders>
                    <w:tl2br w:val="nil"/>
                    <w:tr2bl w:val="nil"/>
                  </w:tcBorders>
                  <w:shd w:val="clear" w:color="auto" w:fill="auto"/>
                  <w:vAlign w:val="center"/>
                </w:tcPr>
                <w:p w14:paraId="6D95389E">
                  <w:pPr>
                    <w:keepNext w:val="0"/>
                    <w:keepLines w:val="0"/>
                    <w:widowControl/>
                    <w:suppressLineNumbers w:val="0"/>
                    <w:jc w:val="center"/>
                    <w:textAlignment w:val="center"/>
                    <w:rPr>
                      <w:rFonts w:hint="eastAsia"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39.54</w:t>
                  </w:r>
                </w:p>
              </w:tc>
              <w:tc>
                <w:tcPr>
                  <w:tcW w:w="789" w:type="dxa"/>
                  <w:tcBorders>
                    <w:tl2br w:val="nil"/>
                    <w:tr2bl w:val="nil"/>
                  </w:tcBorders>
                  <w:vAlign w:val="center"/>
                </w:tcPr>
                <w:p w14:paraId="59B08651">
                  <w:pPr>
                    <w:keepNext w:val="0"/>
                    <w:keepLines w:val="0"/>
                    <w:widowControl/>
                    <w:suppressLineNumbers w:val="0"/>
                    <w:jc w:val="center"/>
                    <w:textAlignment w:val="center"/>
                    <w:rPr>
                      <w:rFonts w:hint="eastAsia"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9.33</w:t>
                  </w:r>
                </w:p>
              </w:tc>
              <w:tc>
                <w:tcPr>
                  <w:tcW w:w="788" w:type="dxa"/>
                  <w:tcBorders>
                    <w:tl2br w:val="nil"/>
                    <w:tr2bl w:val="nil"/>
                  </w:tcBorders>
                  <w:vAlign w:val="center"/>
                </w:tcPr>
                <w:p w14:paraId="15FFCC64">
                  <w:pPr>
                    <w:keepNext w:val="0"/>
                    <w:keepLines w:val="0"/>
                    <w:widowControl/>
                    <w:suppressLineNumbers w:val="0"/>
                    <w:jc w:val="center"/>
                    <w:textAlignment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6.5~9</w:t>
                  </w:r>
                </w:p>
              </w:tc>
            </w:tr>
            <w:tr w14:paraId="4281DCBB">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51" w:hRule="atLeast"/>
                <w:jc w:val="center"/>
              </w:trPr>
              <w:tc>
                <w:tcPr>
                  <w:tcW w:w="1169" w:type="dxa"/>
                  <w:vMerge w:val="continue"/>
                  <w:tcBorders>
                    <w:tl2br w:val="nil"/>
                    <w:tr2bl w:val="nil"/>
                  </w:tcBorders>
                  <w:vAlign w:val="center"/>
                </w:tcPr>
                <w:p w14:paraId="24621849">
                  <w:pPr>
                    <w:widowControl/>
                    <w:adjustRightInd w:val="0"/>
                    <w:snapToGrid w:val="0"/>
                    <w:jc w:val="center"/>
                    <w:rPr>
                      <w:rFonts w:hint="default" w:ascii="Times New Roman" w:hAnsi="Times New Roman" w:eastAsia="宋体" w:cs="Times New Roman"/>
                      <w:b w:val="0"/>
                      <w:bCs w:val="0"/>
                      <w:color w:val="auto"/>
                      <w:kern w:val="0"/>
                      <w:sz w:val="21"/>
                      <w:szCs w:val="21"/>
                      <w:highlight w:val="none"/>
                    </w:rPr>
                  </w:pPr>
                </w:p>
              </w:tc>
              <w:tc>
                <w:tcPr>
                  <w:tcW w:w="1515" w:type="dxa"/>
                  <w:tcBorders>
                    <w:tl2br w:val="nil"/>
                    <w:tr2bl w:val="nil"/>
                  </w:tcBorders>
                  <w:vAlign w:val="center"/>
                </w:tcPr>
                <w:p w14:paraId="17210788">
                  <w:pPr>
                    <w:adjustRightInd w:val="0"/>
                    <w:snapToGrid w:val="0"/>
                    <w:jc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污染物产生量（t/a）</w:t>
                  </w:r>
                </w:p>
              </w:tc>
              <w:tc>
                <w:tcPr>
                  <w:tcW w:w="789" w:type="dxa"/>
                  <w:tcBorders>
                    <w:tl2br w:val="nil"/>
                    <w:tr2bl w:val="nil"/>
                  </w:tcBorders>
                  <w:vAlign w:val="center"/>
                </w:tcPr>
                <w:p w14:paraId="545FFDE6">
                  <w:pPr>
                    <w:keepNext w:val="0"/>
                    <w:keepLines w:val="0"/>
                    <w:widowControl/>
                    <w:suppressLineNumbers w:val="0"/>
                    <w:jc w:val="center"/>
                    <w:textAlignment w:val="center"/>
                    <w:rPr>
                      <w:rFonts w:hint="default" w:ascii="Times New Roman" w:hAnsi="Times New Roman" w:eastAsia="宋体" w:cs="Times New Roman"/>
                      <w:b w:val="0"/>
                      <w:bCs w:val="0"/>
                      <w:color w:val="auto"/>
                      <w:kern w:val="0"/>
                      <w:sz w:val="21"/>
                      <w:szCs w:val="21"/>
                      <w:highlight w:val="none"/>
                      <w:lang w:val="en-US"/>
                    </w:rPr>
                  </w:pPr>
                  <w:r>
                    <w:rPr>
                      <w:rFonts w:hint="default" w:ascii="Times New Roman" w:hAnsi="Times New Roman" w:eastAsia="宋体" w:cs="Times New Roman"/>
                      <w:i w:val="0"/>
                      <w:iCs w:val="0"/>
                      <w:color w:val="000000"/>
                      <w:kern w:val="0"/>
                      <w:sz w:val="21"/>
                      <w:szCs w:val="21"/>
                      <w:u w:val="none"/>
                      <w:lang w:val="en-US" w:eastAsia="zh-CN" w:bidi="ar"/>
                    </w:rPr>
                    <w:t>0.0431</w:t>
                  </w:r>
                </w:p>
              </w:tc>
              <w:tc>
                <w:tcPr>
                  <w:tcW w:w="789" w:type="dxa"/>
                  <w:tcBorders>
                    <w:tl2br w:val="nil"/>
                    <w:tr2bl w:val="nil"/>
                  </w:tcBorders>
                  <w:vAlign w:val="center"/>
                </w:tcPr>
                <w:p w14:paraId="75928DD9">
                  <w:pPr>
                    <w:keepNext w:val="0"/>
                    <w:keepLines w:val="0"/>
                    <w:widowControl/>
                    <w:suppressLineNumbers w:val="0"/>
                    <w:jc w:val="center"/>
                    <w:textAlignment w:val="center"/>
                    <w:rPr>
                      <w:rFonts w:hint="default" w:ascii="Times New Roman" w:hAnsi="Times New Roman" w:eastAsia="宋体" w:cs="Times New Roman"/>
                      <w:b w:val="0"/>
                      <w:bCs w:val="0"/>
                      <w:color w:val="auto"/>
                      <w:kern w:val="0"/>
                      <w:sz w:val="21"/>
                      <w:szCs w:val="21"/>
                      <w:highlight w:val="none"/>
                      <w:lang w:val="en-US"/>
                    </w:rPr>
                  </w:pPr>
                  <w:r>
                    <w:rPr>
                      <w:rFonts w:hint="default" w:ascii="Times New Roman" w:hAnsi="Times New Roman" w:eastAsia="宋体" w:cs="Times New Roman"/>
                      <w:i w:val="0"/>
                      <w:iCs w:val="0"/>
                      <w:color w:val="000000"/>
                      <w:kern w:val="0"/>
                      <w:sz w:val="21"/>
                      <w:szCs w:val="21"/>
                      <w:u w:val="none"/>
                      <w:lang w:val="en-US" w:eastAsia="zh-CN" w:bidi="ar"/>
                    </w:rPr>
                    <w:t xml:space="preserve">0.0239 </w:t>
                  </w:r>
                </w:p>
              </w:tc>
              <w:tc>
                <w:tcPr>
                  <w:tcW w:w="789" w:type="dxa"/>
                  <w:tcBorders>
                    <w:tl2br w:val="nil"/>
                    <w:tr2bl w:val="nil"/>
                  </w:tcBorders>
                  <w:vAlign w:val="center"/>
                </w:tcPr>
                <w:p w14:paraId="458A4262">
                  <w:pPr>
                    <w:keepNext w:val="0"/>
                    <w:keepLines w:val="0"/>
                    <w:widowControl/>
                    <w:suppressLineNumbers w:val="0"/>
                    <w:jc w:val="center"/>
                    <w:textAlignment w:val="center"/>
                    <w:rPr>
                      <w:rFonts w:hint="default" w:ascii="Times New Roman" w:hAnsi="Times New Roman" w:eastAsia="宋体" w:cs="Times New Roman"/>
                      <w:b w:val="0"/>
                      <w:bCs w:val="0"/>
                      <w:color w:val="auto"/>
                      <w:kern w:val="0"/>
                      <w:sz w:val="21"/>
                      <w:szCs w:val="21"/>
                      <w:highlight w:val="none"/>
                      <w:lang w:val="en-US"/>
                    </w:rPr>
                  </w:pPr>
                  <w:r>
                    <w:rPr>
                      <w:rFonts w:hint="default" w:ascii="Times New Roman" w:hAnsi="Times New Roman" w:eastAsia="宋体" w:cs="Times New Roman"/>
                      <w:i w:val="0"/>
                      <w:iCs w:val="0"/>
                      <w:color w:val="000000"/>
                      <w:kern w:val="0"/>
                      <w:sz w:val="21"/>
                      <w:szCs w:val="21"/>
                      <w:u w:val="none"/>
                      <w:lang w:val="en-US" w:eastAsia="zh-CN" w:bidi="ar"/>
                    </w:rPr>
                    <w:t xml:space="preserve">0.0288 </w:t>
                  </w:r>
                </w:p>
              </w:tc>
              <w:tc>
                <w:tcPr>
                  <w:tcW w:w="789" w:type="dxa"/>
                  <w:tcBorders>
                    <w:tl2br w:val="nil"/>
                    <w:tr2bl w:val="nil"/>
                  </w:tcBorders>
                  <w:shd w:val="clear" w:color="auto" w:fill="auto"/>
                  <w:vAlign w:val="center"/>
                </w:tcPr>
                <w:p w14:paraId="147398CA">
                  <w:pPr>
                    <w:keepNext w:val="0"/>
                    <w:keepLines w:val="0"/>
                    <w:widowControl/>
                    <w:suppressLineNumbers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 xml:space="preserve">0.0038 </w:t>
                  </w:r>
                </w:p>
              </w:tc>
              <w:tc>
                <w:tcPr>
                  <w:tcW w:w="789" w:type="dxa"/>
                  <w:tcBorders>
                    <w:tl2br w:val="nil"/>
                    <w:tr2bl w:val="nil"/>
                  </w:tcBorders>
                  <w:vAlign w:val="center"/>
                </w:tcPr>
                <w:p w14:paraId="7AC5253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0.0009 </w:t>
                  </w:r>
                </w:p>
              </w:tc>
              <w:tc>
                <w:tcPr>
                  <w:tcW w:w="788" w:type="dxa"/>
                  <w:tcBorders>
                    <w:tl2br w:val="nil"/>
                    <w:tr2bl w:val="nil"/>
                  </w:tcBorders>
                  <w:vAlign w:val="center"/>
                </w:tcPr>
                <w:p w14:paraId="208A977B">
                  <w:pPr>
                    <w:keepNext w:val="0"/>
                    <w:keepLines w:val="0"/>
                    <w:widowControl/>
                    <w:suppressLineNumbers w:val="0"/>
                    <w:jc w:val="center"/>
                    <w:textAlignment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w:t>
                  </w:r>
                </w:p>
              </w:tc>
            </w:tr>
            <w:tr w14:paraId="194002BA">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51" w:hRule="atLeast"/>
                <w:jc w:val="center"/>
              </w:trPr>
              <w:tc>
                <w:tcPr>
                  <w:tcW w:w="1169" w:type="dxa"/>
                  <w:vMerge w:val="continue"/>
                  <w:tcBorders>
                    <w:tl2br w:val="nil"/>
                    <w:tr2bl w:val="nil"/>
                  </w:tcBorders>
                  <w:vAlign w:val="center"/>
                </w:tcPr>
                <w:p w14:paraId="3438718F">
                  <w:pPr>
                    <w:widowControl/>
                    <w:adjustRightInd w:val="0"/>
                    <w:snapToGrid w:val="0"/>
                    <w:jc w:val="center"/>
                    <w:rPr>
                      <w:rFonts w:hint="default" w:ascii="Times New Roman" w:hAnsi="Times New Roman" w:eastAsia="宋体" w:cs="Times New Roman"/>
                      <w:b w:val="0"/>
                      <w:bCs w:val="0"/>
                      <w:color w:val="auto"/>
                      <w:kern w:val="0"/>
                      <w:sz w:val="21"/>
                      <w:szCs w:val="21"/>
                      <w:highlight w:val="none"/>
                    </w:rPr>
                  </w:pPr>
                </w:p>
              </w:tc>
              <w:tc>
                <w:tcPr>
                  <w:tcW w:w="1515" w:type="dxa"/>
                  <w:tcBorders>
                    <w:tl2br w:val="nil"/>
                    <w:tr2bl w:val="nil"/>
                  </w:tcBorders>
                  <w:vAlign w:val="center"/>
                </w:tcPr>
                <w:p w14:paraId="61E530F2">
                  <w:pPr>
                    <w:adjustRightInd w:val="0"/>
                    <w:snapToGrid w:val="0"/>
                    <w:jc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化粪池去除效率</w:t>
                  </w:r>
                </w:p>
              </w:tc>
              <w:tc>
                <w:tcPr>
                  <w:tcW w:w="789" w:type="dxa"/>
                  <w:tcBorders>
                    <w:tl2br w:val="nil"/>
                    <w:tr2bl w:val="nil"/>
                  </w:tcBorders>
                  <w:vAlign w:val="center"/>
                </w:tcPr>
                <w:p w14:paraId="5F76A6D0">
                  <w:pPr>
                    <w:keepNext w:val="0"/>
                    <w:keepLines w:val="0"/>
                    <w:widowControl/>
                    <w:suppressLineNumbers w:val="0"/>
                    <w:jc w:val="center"/>
                    <w:textAlignment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15%</w:t>
                  </w:r>
                </w:p>
              </w:tc>
              <w:tc>
                <w:tcPr>
                  <w:tcW w:w="789" w:type="dxa"/>
                  <w:tcBorders>
                    <w:tl2br w:val="nil"/>
                    <w:tr2bl w:val="nil"/>
                  </w:tcBorders>
                  <w:vAlign w:val="center"/>
                </w:tcPr>
                <w:p w14:paraId="0411DB3B">
                  <w:pPr>
                    <w:keepNext w:val="0"/>
                    <w:keepLines w:val="0"/>
                    <w:widowControl/>
                    <w:suppressLineNumbers w:val="0"/>
                    <w:jc w:val="center"/>
                    <w:textAlignment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9%</w:t>
                  </w:r>
                </w:p>
              </w:tc>
              <w:tc>
                <w:tcPr>
                  <w:tcW w:w="789" w:type="dxa"/>
                  <w:tcBorders>
                    <w:tl2br w:val="nil"/>
                    <w:tr2bl w:val="nil"/>
                  </w:tcBorders>
                  <w:vAlign w:val="center"/>
                </w:tcPr>
                <w:p w14:paraId="63F5C390">
                  <w:pPr>
                    <w:keepNext w:val="0"/>
                    <w:keepLines w:val="0"/>
                    <w:widowControl/>
                    <w:suppressLineNumbers w:val="0"/>
                    <w:jc w:val="center"/>
                    <w:textAlignment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30%</w:t>
                  </w:r>
                </w:p>
              </w:tc>
              <w:tc>
                <w:tcPr>
                  <w:tcW w:w="789" w:type="dxa"/>
                  <w:tcBorders>
                    <w:tl2br w:val="nil"/>
                    <w:tr2bl w:val="nil"/>
                  </w:tcBorders>
                  <w:shd w:val="clear" w:color="auto" w:fill="auto"/>
                  <w:vAlign w:val="center"/>
                </w:tcPr>
                <w:p w14:paraId="77E2ADD3">
                  <w:pPr>
                    <w:keepNext w:val="0"/>
                    <w:keepLines w:val="0"/>
                    <w:widowControl/>
                    <w:suppressLineNumbers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w:t>
                  </w:r>
                </w:p>
              </w:tc>
              <w:tc>
                <w:tcPr>
                  <w:tcW w:w="789" w:type="dxa"/>
                  <w:tcBorders>
                    <w:tl2br w:val="nil"/>
                    <w:tr2bl w:val="nil"/>
                  </w:tcBorders>
                  <w:vAlign w:val="center"/>
                </w:tcPr>
                <w:p w14:paraId="07E4E68C">
                  <w:pPr>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w:t>
                  </w:r>
                </w:p>
              </w:tc>
              <w:tc>
                <w:tcPr>
                  <w:tcW w:w="788" w:type="dxa"/>
                  <w:tcBorders>
                    <w:tl2br w:val="nil"/>
                    <w:tr2bl w:val="nil"/>
                  </w:tcBorders>
                  <w:vAlign w:val="center"/>
                </w:tcPr>
                <w:p w14:paraId="2E0467BA">
                  <w:pPr>
                    <w:keepNext w:val="0"/>
                    <w:keepLines w:val="0"/>
                    <w:widowControl/>
                    <w:suppressLineNumbers w:val="0"/>
                    <w:jc w:val="center"/>
                    <w:textAlignment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w:t>
                  </w:r>
                </w:p>
              </w:tc>
            </w:tr>
            <w:tr w14:paraId="0E0EBC54">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22" w:hRule="atLeast"/>
                <w:jc w:val="center"/>
              </w:trPr>
              <w:tc>
                <w:tcPr>
                  <w:tcW w:w="1169" w:type="dxa"/>
                  <w:vMerge w:val="continue"/>
                  <w:tcBorders>
                    <w:tl2br w:val="nil"/>
                    <w:tr2bl w:val="nil"/>
                  </w:tcBorders>
                  <w:vAlign w:val="center"/>
                </w:tcPr>
                <w:p w14:paraId="025615B2">
                  <w:pPr>
                    <w:widowControl/>
                    <w:adjustRightInd w:val="0"/>
                    <w:snapToGrid w:val="0"/>
                    <w:jc w:val="center"/>
                    <w:rPr>
                      <w:rFonts w:hint="default" w:ascii="Times New Roman" w:hAnsi="Times New Roman" w:eastAsia="宋体" w:cs="Times New Roman"/>
                      <w:b w:val="0"/>
                      <w:bCs w:val="0"/>
                      <w:color w:val="auto"/>
                      <w:kern w:val="0"/>
                      <w:sz w:val="21"/>
                      <w:szCs w:val="21"/>
                      <w:highlight w:val="none"/>
                    </w:rPr>
                  </w:pPr>
                </w:p>
              </w:tc>
              <w:tc>
                <w:tcPr>
                  <w:tcW w:w="1515" w:type="dxa"/>
                  <w:tcBorders>
                    <w:tl2br w:val="nil"/>
                    <w:tr2bl w:val="nil"/>
                  </w:tcBorders>
                  <w:vAlign w:val="center"/>
                </w:tcPr>
                <w:p w14:paraId="0EFD76CC">
                  <w:pPr>
                    <w:adjustRightInd w:val="0"/>
                    <w:snapToGrid w:val="0"/>
                    <w:jc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综合废水排放浓度</w:t>
                  </w:r>
                  <w:r>
                    <w:rPr>
                      <w:rFonts w:hint="default" w:ascii="Times New Roman" w:hAnsi="Times New Roman" w:eastAsia="宋体" w:cs="Times New Roman"/>
                      <w:b w:val="0"/>
                      <w:bCs w:val="0"/>
                      <w:color w:val="auto"/>
                      <w:sz w:val="21"/>
                      <w:szCs w:val="21"/>
                      <w:highlight w:val="none"/>
                    </w:rPr>
                    <w:t>（mg/L）</w:t>
                  </w:r>
                </w:p>
              </w:tc>
              <w:tc>
                <w:tcPr>
                  <w:tcW w:w="789" w:type="dxa"/>
                  <w:tcBorders>
                    <w:tl2br w:val="nil"/>
                    <w:tr2bl w:val="nil"/>
                  </w:tcBorders>
                  <w:vAlign w:val="center"/>
                </w:tcPr>
                <w:p w14:paraId="02CAFBE0">
                  <w:pPr>
                    <w:keepNext w:val="0"/>
                    <w:keepLines w:val="0"/>
                    <w:widowControl/>
                    <w:suppressLineNumbers w:val="0"/>
                    <w:jc w:val="center"/>
                    <w:textAlignment w:val="center"/>
                    <w:rPr>
                      <w:rFonts w:hint="default" w:ascii="Times New Roman" w:hAnsi="Times New Roman" w:eastAsia="宋体" w:cs="Times New Roman"/>
                      <w:b w:val="0"/>
                      <w:bCs w:val="0"/>
                      <w:color w:val="auto"/>
                      <w:kern w:val="0"/>
                      <w:sz w:val="21"/>
                      <w:szCs w:val="21"/>
                      <w:highlight w:val="none"/>
                      <w:lang w:val="en-US"/>
                    </w:rPr>
                  </w:pPr>
                  <w:r>
                    <w:rPr>
                      <w:rFonts w:hint="default" w:ascii="Times New Roman" w:hAnsi="Times New Roman" w:eastAsia="宋体" w:cs="Times New Roman"/>
                      <w:i w:val="0"/>
                      <w:iCs w:val="0"/>
                      <w:color w:val="000000"/>
                      <w:kern w:val="0"/>
                      <w:sz w:val="21"/>
                      <w:szCs w:val="21"/>
                      <w:u w:val="none"/>
                      <w:lang w:val="en-US" w:eastAsia="zh-CN" w:bidi="ar"/>
                    </w:rPr>
                    <w:t>379.97</w:t>
                  </w:r>
                </w:p>
              </w:tc>
              <w:tc>
                <w:tcPr>
                  <w:tcW w:w="789" w:type="dxa"/>
                  <w:tcBorders>
                    <w:tl2br w:val="nil"/>
                    <w:tr2bl w:val="nil"/>
                  </w:tcBorders>
                  <w:vAlign w:val="center"/>
                </w:tcPr>
                <w:p w14:paraId="63B022B0">
                  <w:pPr>
                    <w:keepNext w:val="0"/>
                    <w:keepLines w:val="0"/>
                    <w:widowControl/>
                    <w:suppressLineNumbers w:val="0"/>
                    <w:jc w:val="center"/>
                    <w:textAlignment w:val="center"/>
                    <w:rPr>
                      <w:rFonts w:hint="default" w:ascii="Times New Roman" w:hAnsi="Times New Roman" w:eastAsia="宋体" w:cs="Times New Roman"/>
                      <w:b w:val="0"/>
                      <w:bCs w:val="0"/>
                      <w:color w:val="auto"/>
                      <w:kern w:val="0"/>
                      <w:sz w:val="21"/>
                      <w:szCs w:val="21"/>
                      <w:highlight w:val="none"/>
                      <w:lang w:val="en-US"/>
                    </w:rPr>
                  </w:pPr>
                  <w:r>
                    <w:rPr>
                      <w:rFonts w:hint="default" w:ascii="Times New Roman" w:hAnsi="Times New Roman" w:eastAsia="宋体" w:cs="Times New Roman"/>
                      <w:i w:val="0"/>
                      <w:iCs w:val="0"/>
                      <w:color w:val="000000"/>
                      <w:kern w:val="0"/>
                      <w:sz w:val="21"/>
                      <w:szCs w:val="21"/>
                      <w:u w:val="none"/>
                      <w:lang w:val="en-US" w:eastAsia="zh-CN" w:bidi="ar"/>
                    </w:rPr>
                    <w:t>225.90</w:t>
                  </w:r>
                </w:p>
              </w:tc>
              <w:tc>
                <w:tcPr>
                  <w:tcW w:w="789" w:type="dxa"/>
                  <w:tcBorders>
                    <w:tl2br w:val="nil"/>
                    <w:tr2bl w:val="nil"/>
                  </w:tcBorders>
                  <w:vAlign w:val="center"/>
                </w:tcPr>
                <w:p w14:paraId="061BDE54">
                  <w:pPr>
                    <w:keepNext w:val="0"/>
                    <w:keepLines w:val="0"/>
                    <w:widowControl/>
                    <w:suppressLineNumbers w:val="0"/>
                    <w:jc w:val="center"/>
                    <w:textAlignment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 xml:space="preserve">208.90 </w:t>
                  </w:r>
                </w:p>
              </w:tc>
              <w:tc>
                <w:tcPr>
                  <w:tcW w:w="789" w:type="dxa"/>
                  <w:tcBorders>
                    <w:tl2br w:val="nil"/>
                    <w:tr2bl w:val="nil"/>
                  </w:tcBorders>
                  <w:shd w:val="clear" w:color="auto" w:fill="auto"/>
                  <w:vAlign w:val="center"/>
                </w:tcPr>
                <w:p w14:paraId="0B545992">
                  <w:pPr>
                    <w:keepNext w:val="0"/>
                    <w:keepLines w:val="0"/>
                    <w:widowControl/>
                    <w:suppressLineNumbers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38.35</w:t>
                  </w:r>
                </w:p>
              </w:tc>
              <w:tc>
                <w:tcPr>
                  <w:tcW w:w="789" w:type="dxa"/>
                  <w:tcBorders>
                    <w:tl2br w:val="nil"/>
                    <w:tr2bl w:val="nil"/>
                  </w:tcBorders>
                  <w:vAlign w:val="center"/>
                </w:tcPr>
                <w:p w14:paraId="336D446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9.33</w:t>
                  </w:r>
                </w:p>
              </w:tc>
              <w:tc>
                <w:tcPr>
                  <w:tcW w:w="788" w:type="dxa"/>
                  <w:tcBorders>
                    <w:tl2br w:val="nil"/>
                    <w:tr2bl w:val="nil"/>
                  </w:tcBorders>
                  <w:vAlign w:val="center"/>
                </w:tcPr>
                <w:p w14:paraId="6896CC55">
                  <w:pPr>
                    <w:keepNext w:val="0"/>
                    <w:keepLines w:val="0"/>
                    <w:widowControl/>
                    <w:suppressLineNumbers w:val="0"/>
                    <w:jc w:val="center"/>
                    <w:textAlignment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6.5~9</w:t>
                  </w:r>
                </w:p>
              </w:tc>
            </w:tr>
            <w:tr w14:paraId="5EC994EE">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51" w:hRule="atLeast"/>
                <w:jc w:val="center"/>
              </w:trPr>
              <w:tc>
                <w:tcPr>
                  <w:tcW w:w="1169" w:type="dxa"/>
                  <w:vMerge w:val="continue"/>
                  <w:tcBorders>
                    <w:tl2br w:val="nil"/>
                    <w:tr2bl w:val="nil"/>
                  </w:tcBorders>
                  <w:vAlign w:val="center"/>
                </w:tcPr>
                <w:p w14:paraId="39689C90">
                  <w:pPr>
                    <w:widowControl/>
                    <w:adjustRightInd w:val="0"/>
                    <w:snapToGrid w:val="0"/>
                    <w:jc w:val="center"/>
                    <w:rPr>
                      <w:rFonts w:hint="default" w:ascii="Times New Roman" w:hAnsi="Times New Roman" w:eastAsia="宋体" w:cs="Times New Roman"/>
                      <w:b w:val="0"/>
                      <w:bCs w:val="0"/>
                      <w:color w:val="auto"/>
                      <w:kern w:val="0"/>
                      <w:sz w:val="21"/>
                      <w:szCs w:val="21"/>
                      <w:highlight w:val="none"/>
                    </w:rPr>
                  </w:pPr>
                </w:p>
              </w:tc>
              <w:tc>
                <w:tcPr>
                  <w:tcW w:w="1515" w:type="dxa"/>
                  <w:tcBorders>
                    <w:tl2br w:val="nil"/>
                    <w:tr2bl w:val="nil"/>
                  </w:tcBorders>
                  <w:vAlign w:val="center"/>
                </w:tcPr>
                <w:p w14:paraId="55E2028E">
                  <w:pPr>
                    <w:widowControl/>
                    <w:adjustRightInd w:val="0"/>
                    <w:snapToGrid w:val="0"/>
                    <w:jc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污染物排放量（t/a）</w:t>
                  </w:r>
                </w:p>
              </w:tc>
              <w:tc>
                <w:tcPr>
                  <w:tcW w:w="789" w:type="dxa"/>
                  <w:tcBorders>
                    <w:tl2br w:val="nil"/>
                    <w:tr2bl w:val="nil"/>
                  </w:tcBorders>
                  <w:vAlign w:val="center"/>
                </w:tcPr>
                <w:p w14:paraId="516EE141">
                  <w:pPr>
                    <w:keepNext w:val="0"/>
                    <w:keepLines w:val="0"/>
                    <w:widowControl/>
                    <w:suppressLineNumbers w:val="0"/>
                    <w:jc w:val="center"/>
                    <w:textAlignment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0.0366</w:t>
                  </w:r>
                </w:p>
              </w:tc>
              <w:tc>
                <w:tcPr>
                  <w:tcW w:w="789" w:type="dxa"/>
                  <w:tcBorders>
                    <w:tl2br w:val="nil"/>
                    <w:tr2bl w:val="nil"/>
                  </w:tcBorders>
                  <w:vAlign w:val="center"/>
                </w:tcPr>
                <w:p w14:paraId="4E505CEF">
                  <w:pPr>
                    <w:keepNext w:val="0"/>
                    <w:keepLines w:val="0"/>
                    <w:widowControl/>
                    <w:suppressLineNumbers w:val="0"/>
                    <w:jc w:val="center"/>
                    <w:textAlignment w:val="center"/>
                    <w:rPr>
                      <w:rFonts w:hint="default" w:ascii="Times New Roman" w:hAnsi="Times New Roman" w:eastAsia="宋体" w:cs="Times New Roman"/>
                      <w:b w:val="0"/>
                      <w:bCs w:val="0"/>
                      <w:color w:val="auto"/>
                      <w:kern w:val="0"/>
                      <w:sz w:val="21"/>
                      <w:szCs w:val="21"/>
                      <w:highlight w:val="none"/>
                      <w:lang w:val="en-US"/>
                    </w:rPr>
                  </w:pPr>
                  <w:r>
                    <w:rPr>
                      <w:rFonts w:hint="default" w:ascii="Times New Roman" w:hAnsi="Times New Roman" w:eastAsia="宋体" w:cs="Times New Roman"/>
                      <w:i w:val="0"/>
                      <w:iCs w:val="0"/>
                      <w:color w:val="000000"/>
                      <w:kern w:val="0"/>
                      <w:sz w:val="21"/>
                      <w:szCs w:val="21"/>
                      <w:u w:val="none"/>
                      <w:lang w:val="en-US" w:eastAsia="zh-CN" w:bidi="ar"/>
                    </w:rPr>
                    <w:t>0.0218</w:t>
                  </w:r>
                </w:p>
              </w:tc>
              <w:tc>
                <w:tcPr>
                  <w:tcW w:w="789" w:type="dxa"/>
                  <w:tcBorders>
                    <w:tl2br w:val="nil"/>
                    <w:tr2bl w:val="nil"/>
                  </w:tcBorders>
                  <w:vAlign w:val="center"/>
                </w:tcPr>
                <w:p w14:paraId="63C53A23">
                  <w:pPr>
                    <w:keepNext w:val="0"/>
                    <w:keepLines w:val="0"/>
                    <w:widowControl/>
                    <w:suppressLineNumbers w:val="0"/>
                    <w:jc w:val="center"/>
                    <w:textAlignment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0.0201</w:t>
                  </w:r>
                </w:p>
              </w:tc>
              <w:tc>
                <w:tcPr>
                  <w:tcW w:w="789" w:type="dxa"/>
                  <w:tcBorders>
                    <w:tl2br w:val="nil"/>
                    <w:tr2bl w:val="nil"/>
                  </w:tcBorders>
                  <w:shd w:val="clear" w:color="auto" w:fill="auto"/>
                  <w:vAlign w:val="center"/>
                </w:tcPr>
                <w:p w14:paraId="2DB37BA3">
                  <w:pPr>
                    <w:keepNext w:val="0"/>
                    <w:keepLines w:val="0"/>
                    <w:widowControl/>
                    <w:suppressLineNumbers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0.0037</w:t>
                  </w:r>
                </w:p>
              </w:tc>
              <w:tc>
                <w:tcPr>
                  <w:tcW w:w="789" w:type="dxa"/>
                  <w:tcBorders>
                    <w:tl2br w:val="nil"/>
                    <w:tr2bl w:val="nil"/>
                  </w:tcBorders>
                  <w:vAlign w:val="center"/>
                </w:tcPr>
                <w:p w14:paraId="386E693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0.0009</w:t>
                  </w:r>
                </w:p>
              </w:tc>
              <w:tc>
                <w:tcPr>
                  <w:tcW w:w="788" w:type="dxa"/>
                  <w:tcBorders>
                    <w:tl2br w:val="nil"/>
                    <w:tr2bl w:val="nil"/>
                  </w:tcBorders>
                  <w:vAlign w:val="center"/>
                </w:tcPr>
                <w:p w14:paraId="0487B6C1">
                  <w:pPr>
                    <w:keepNext w:val="0"/>
                    <w:keepLines w:val="0"/>
                    <w:widowControl/>
                    <w:suppressLineNumbers w:val="0"/>
                    <w:jc w:val="center"/>
                    <w:textAlignment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w:t>
                  </w:r>
                </w:p>
              </w:tc>
            </w:tr>
          </w:tbl>
          <w:p w14:paraId="3A681799">
            <w:pPr>
              <w:numPr>
                <w:ilvl w:val="0"/>
                <w:numId w:val="0"/>
              </w:numPr>
              <w:adjustRightInd w:val="0"/>
              <w:spacing w:line="360" w:lineRule="auto"/>
              <w:ind w:leftChars="200"/>
              <w:rPr>
                <w:rFonts w:hint="default" w:ascii="Times New Roman" w:hAnsi="Times New Roman" w:eastAsia="宋体" w:cs="Times New Roman"/>
                <w:b/>
                <w:bCs/>
                <w:color w:val="auto"/>
                <w:sz w:val="24"/>
                <w:highlight w:val="none"/>
                <w:lang w:eastAsia="zh-CN"/>
              </w:rPr>
            </w:pPr>
            <w:r>
              <w:rPr>
                <w:rFonts w:hint="eastAsia" w:cs="Times New Roman"/>
                <w:b/>
                <w:bCs/>
                <w:color w:val="auto"/>
                <w:sz w:val="24"/>
                <w:highlight w:val="none"/>
                <w:lang w:eastAsia="zh-CN"/>
              </w:rPr>
              <w:t>（</w:t>
            </w:r>
            <w:r>
              <w:rPr>
                <w:rFonts w:hint="eastAsia" w:cs="Times New Roman"/>
                <w:b/>
                <w:bCs/>
                <w:color w:val="auto"/>
                <w:sz w:val="24"/>
                <w:highlight w:val="none"/>
                <w:lang w:val="en-US" w:eastAsia="zh-CN"/>
              </w:rPr>
              <w:t>2</w:t>
            </w:r>
            <w:r>
              <w:rPr>
                <w:rFonts w:hint="eastAsia" w:cs="Times New Roman"/>
                <w:b/>
                <w:bCs/>
                <w:color w:val="auto"/>
                <w:sz w:val="24"/>
                <w:highlight w:val="none"/>
                <w:lang w:eastAsia="zh-CN"/>
              </w:rPr>
              <w:t>）</w:t>
            </w:r>
            <w:r>
              <w:rPr>
                <w:rFonts w:hint="default" w:ascii="Times New Roman" w:hAnsi="Times New Roman" w:eastAsia="宋体" w:cs="Times New Roman"/>
                <w:b/>
                <w:bCs/>
                <w:color w:val="auto"/>
                <w:sz w:val="24"/>
                <w:highlight w:val="none"/>
                <w:lang w:eastAsia="zh-CN"/>
              </w:rPr>
              <w:t>废水排放口基本情况</w:t>
            </w:r>
          </w:p>
          <w:p w14:paraId="793D169C">
            <w:pPr>
              <w:numPr>
                <w:ilvl w:val="0"/>
                <w:numId w:val="0"/>
              </w:numPr>
              <w:adjustRightInd w:val="0"/>
              <w:spacing w:line="360" w:lineRule="auto"/>
              <w:ind w:firstLine="480" w:firstLineChars="200"/>
              <w:rPr>
                <w:rFonts w:hint="default" w:ascii="Times New Roman" w:hAnsi="Times New Roman" w:eastAsia="宋体" w:cs="Times New Roman"/>
                <w:b w:val="0"/>
                <w:bCs w:val="0"/>
                <w:color w:val="auto"/>
                <w:sz w:val="24"/>
                <w:highlight w:val="none"/>
                <w:lang w:val="en-US" w:eastAsia="zh-CN"/>
              </w:rPr>
            </w:pPr>
            <w:r>
              <w:rPr>
                <w:rFonts w:hint="eastAsia" w:cs="Times New Roman"/>
                <w:b w:val="0"/>
                <w:bCs w:val="0"/>
                <w:color w:val="auto"/>
                <w:sz w:val="24"/>
                <w:highlight w:val="none"/>
                <w:lang w:val="en-US" w:eastAsia="zh-CN"/>
              </w:rPr>
              <w:t>本项目设备容器第二次清洗废水、生活污水一起进化粪池处理，最后经市政管网进高碑店再生水厂</w:t>
            </w:r>
            <w:r>
              <w:rPr>
                <w:rFonts w:hint="eastAsia" w:ascii="Times New Roman" w:hAnsi="Times New Roman" w:eastAsia="宋体" w:cs="Times New Roman"/>
                <w:color w:val="auto"/>
                <w:sz w:val="24"/>
                <w:highlight w:val="none"/>
                <w:lang w:val="en-US" w:eastAsia="zh-CN"/>
              </w:rPr>
              <w:t>。本项目废水排放口情况见下表。</w:t>
            </w:r>
          </w:p>
          <w:p w14:paraId="5D5DB57B">
            <w:pPr>
              <w:keepNext w:val="0"/>
              <w:keepLines w:val="0"/>
              <w:widowControl/>
              <w:numPr>
                <w:ilvl w:val="0"/>
                <w:numId w:val="21"/>
              </w:numPr>
              <w:suppressLineNumbers w:val="0"/>
              <w:ind w:left="425" w:leftChars="0" w:hanging="425" w:firstLineChars="0"/>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废水排放口基本情况</w:t>
            </w:r>
          </w:p>
          <w:tbl>
            <w:tblPr>
              <w:tblStyle w:val="23"/>
              <w:tblW w:w="5000" w:type="pct"/>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667"/>
              <w:gridCol w:w="898"/>
              <w:gridCol w:w="1722"/>
              <w:gridCol w:w="1117"/>
              <w:gridCol w:w="2164"/>
            </w:tblGrid>
            <w:tr w14:paraId="7491C32B">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1100" w:type="pct"/>
                  <w:tcBorders>
                    <w:tl2br w:val="nil"/>
                    <w:tr2bl w:val="nil"/>
                  </w:tcBorders>
                  <w:vAlign w:val="center"/>
                </w:tcPr>
                <w:p w14:paraId="4D0F3A22">
                  <w:pPr>
                    <w:adjustRightInd w:val="0"/>
                    <w:snapToGrid w:val="0"/>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排放口名称</w:t>
                  </w:r>
                </w:p>
              </w:tc>
              <w:tc>
                <w:tcPr>
                  <w:tcW w:w="593" w:type="pct"/>
                  <w:tcBorders>
                    <w:tl2br w:val="nil"/>
                    <w:tr2bl w:val="nil"/>
                  </w:tcBorders>
                  <w:vAlign w:val="center"/>
                </w:tcPr>
                <w:p w14:paraId="33FFB7B9">
                  <w:pPr>
                    <w:adjustRightInd w:val="0"/>
                    <w:snapToGrid w:val="0"/>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编号</w:t>
                  </w:r>
                </w:p>
              </w:tc>
              <w:tc>
                <w:tcPr>
                  <w:tcW w:w="1137" w:type="pct"/>
                  <w:tcBorders>
                    <w:tl2br w:val="nil"/>
                    <w:tr2bl w:val="nil"/>
                  </w:tcBorders>
                  <w:vAlign w:val="center"/>
                </w:tcPr>
                <w:p w14:paraId="235CEEE9">
                  <w:pPr>
                    <w:adjustRightInd w:val="0"/>
                    <w:snapToGrid w:val="0"/>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地理坐标</w:t>
                  </w:r>
                </w:p>
              </w:tc>
              <w:tc>
                <w:tcPr>
                  <w:tcW w:w="738" w:type="pct"/>
                  <w:tcBorders>
                    <w:tl2br w:val="nil"/>
                    <w:tr2bl w:val="nil"/>
                  </w:tcBorders>
                  <w:vAlign w:val="center"/>
                </w:tcPr>
                <w:p w14:paraId="71C3B35C">
                  <w:pPr>
                    <w:adjustRightInd w:val="0"/>
                    <w:snapToGrid w:val="0"/>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类型</w:t>
                  </w:r>
                </w:p>
              </w:tc>
              <w:tc>
                <w:tcPr>
                  <w:tcW w:w="1429" w:type="pct"/>
                  <w:tcBorders>
                    <w:tl2br w:val="nil"/>
                    <w:tr2bl w:val="nil"/>
                  </w:tcBorders>
                  <w:vAlign w:val="center"/>
                </w:tcPr>
                <w:p w14:paraId="274AD0A3">
                  <w:pPr>
                    <w:adjustRightInd w:val="0"/>
                    <w:snapToGrid w:val="0"/>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排放标准</w:t>
                  </w:r>
                </w:p>
              </w:tc>
            </w:tr>
            <w:tr w14:paraId="31342DFF">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100" w:type="pct"/>
                  <w:tcBorders>
                    <w:tl2br w:val="nil"/>
                    <w:tr2bl w:val="nil"/>
                  </w:tcBorders>
                  <w:vAlign w:val="center"/>
                </w:tcPr>
                <w:p w14:paraId="240C7758">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废水总排口（</w:t>
                  </w:r>
                  <w:r>
                    <w:rPr>
                      <w:rFonts w:hint="eastAsia" w:cs="Times New Roman"/>
                      <w:color w:val="auto"/>
                      <w:szCs w:val="21"/>
                      <w:highlight w:val="none"/>
                      <w:lang w:eastAsia="zh-CN"/>
                    </w:rPr>
                    <w:t>化粪池</w:t>
                  </w:r>
                  <w:r>
                    <w:rPr>
                      <w:rFonts w:hint="default" w:ascii="Times New Roman" w:hAnsi="Times New Roman" w:eastAsia="宋体" w:cs="Times New Roman"/>
                      <w:color w:val="auto"/>
                      <w:szCs w:val="21"/>
                      <w:highlight w:val="none"/>
                    </w:rPr>
                    <w:t>公用排口）</w:t>
                  </w:r>
                </w:p>
              </w:tc>
              <w:tc>
                <w:tcPr>
                  <w:tcW w:w="593" w:type="pct"/>
                  <w:tcBorders>
                    <w:tl2br w:val="nil"/>
                    <w:tr2bl w:val="nil"/>
                  </w:tcBorders>
                  <w:vAlign w:val="center"/>
                </w:tcPr>
                <w:p w14:paraId="5D770F07">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DW001</w:t>
                  </w:r>
                </w:p>
              </w:tc>
              <w:tc>
                <w:tcPr>
                  <w:tcW w:w="1137" w:type="pct"/>
                  <w:tcBorders>
                    <w:tl2br w:val="nil"/>
                    <w:tr2bl w:val="nil"/>
                  </w:tcBorders>
                  <w:vAlign w:val="center"/>
                </w:tcPr>
                <w:p w14:paraId="22AEF937">
                  <w:pPr>
                    <w:numPr>
                      <w:ilvl w:val="0"/>
                      <w:numId w:val="0"/>
                    </w:numPr>
                    <w:adjustRightInd w:val="0"/>
                    <w:snapToGrid w:val="0"/>
                    <w:spacing w:line="360" w:lineRule="auto"/>
                    <w:jc w:val="center"/>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东经：116.423418</w:t>
                  </w:r>
                  <w:r>
                    <w:rPr>
                      <w:rFonts w:hint="eastAsia" w:ascii="Times New Roman" w:hAnsi="Times New Roman" w:eastAsia="宋体" w:cs="Times New Roman"/>
                      <w:color w:val="auto"/>
                      <w:sz w:val="24"/>
                      <w:highlight w:val="none"/>
                      <w:vertAlign w:val="superscript"/>
                      <w:lang w:val="en-US" w:eastAsia="zh-CN"/>
                    </w:rPr>
                    <w:t>。</w:t>
                  </w:r>
                </w:p>
                <w:p w14:paraId="0C7A02A3">
                  <w:pPr>
                    <w:jc w:val="center"/>
                    <w:rPr>
                      <w:rFonts w:hint="default" w:ascii="Times New Roman" w:hAnsi="Times New Roman" w:eastAsia="宋体" w:cs="Times New Roman"/>
                      <w:color w:val="auto"/>
                      <w:szCs w:val="21"/>
                      <w:highlight w:val="none"/>
                      <w:lang w:val="en-US"/>
                    </w:rPr>
                  </w:pPr>
                  <w:r>
                    <w:rPr>
                      <w:rFonts w:hint="eastAsia" w:cs="Times New Roman"/>
                      <w:b w:val="0"/>
                      <w:bCs w:val="0"/>
                      <w:color w:val="auto"/>
                      <w:kern w:val="0"/>
                      <w:sz w:val="21"/>
                      <w:szCs w:val="21"/>
                      <w:highlight w:val="none"/>
                      <w:vertAlign w:val="baseline"/>
                      <w:lang w:val="en-US" w:eastAsia="zh-CN"/>
                    </w:rPr>
                    <w:t>北纬：39.962392</w:t>
                  </w:r>
                  <w:r>
                    <w:rPr>
                      <w:rFonts w:hint="eastAsia" w:ascii="Times New Roman" w:hAnsi="Times New Roman" w:eastAsia="宋体" w:cs="Times New Roman"/>
                      <w:color w:val="auto"/>
                      <w:sz w:val="24"/>
                      <w:highlight w:val="none"/>
                      <w:vertAlign w:val="superscript"/>
                      <w:lang w:val="en-US" w:eastAsia="zh-CN"/>
                    </w:rPr>
                    <w:t>。</w:t>
                  </w:r>
                </w:p>
              </w:tc>
              <w:tc>
                <w:tcPr>
                  <w:tcW w:w="738" w:type="pct"/>
                  <w:tcBorders>
                    <w:tl2br w:val="nil"/>
                    <w:tr2bl w:val="nil"/>
                  </w:tcBorders>
                  <w:vAlign w:val="center"/>
                </w:tcPr>
                <w:p w14:paraId="281E7A9E">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一般排放口</w:t>
                  </w:r>
                </w:p>
              </w:tc>
              <w:tc>
                <w:tcPr>
                  <w:tcW w:w="1429" w:type="pct"/>
                  <w:tcBorders>
                    <w:tl2br w:val="nil"/>
                    <w:tr2bl w:val="nil"/>
                  </w:tcBorders>
                  <w:vAlign w:val="center"/>
                </w:tcPr>
                <w:p w14:paraId="4FBFE42E">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北京市《水污染物综合排放标准》（DB11/307-2013）</w:t>
                  </w:r>
                </w:p>
              </w:tc>
            </w:tr>
          </w:tbl>
          <w:p w14:paraId="3C83E75D">
            <w:pPr>
              <w:numPr>
                <w:ilvl w:val="255"/>
                <w:numId w:val="0"/>
              </w:numPr>
              <w:adjustRightInd w:val="0"/>
              <w:spacing w:line="360" w:lineRule="auto"/>
              <w:ind w:left="420" w:leftChars="200"/>
              <w:rPr>
                <w:rFonts w:hint="default" w:ascii="Times New Roman" w:hAnsi="Times New Roman" w:eastAsia="宋体" w:cs="Times New Roman"/>
                <w:b/>
                <w:bCs/>
                <w:color w:val="auto"/>
                <w:sz w:val="24"/>
                <w:highlight w:val="none"/>
                <w:lang w:eastAsia="zh-CN"/>
              </w:rPr>
            </w:pPr>
            <w:r>
              <w:rPr>
                <w:rFonts w:hint="default" w:ascii="Times New Roman" w:hAnsi="Times New Roman" w:eastAsia="宋体" w:cs="Times New Roman"/>
                <w:b/>
                <w:bCs/>
                <w:color w:val="auto"/>
                <w:sz w:val="24"/>
                <w:highlight w:val="none"/>
                <w:lang w:eastAsia="zh-CN"/>
              </w:rPr>
              <w:t>（</w:t>
            </w:r>
            <w:r>
              <w:rPr>
                <w:rFonts w:hint="default" w:ascii="Times New Roman" w:hAnsi="Times New Roman" w:eastAsia="宋体" w:cs="Times New Roman"/>
                <w:b/>
                <w:bCs/>
                <w:color w:val="auto"/>
                <w:sz w:val="24"/>
                <w:highlight w:val="none"/>
                <w:lang w:val="en-US" w:eastAsia="zh-CN"/>
              </w:rPr>
              <w:t>3</w:t>
            </w:r>
            <w:r>
              <w:rPr>
                <w:rFonts w:hint="default" w:ascii="Times New Roman" w:hAnsi="Times New Roman" w:eastAsia="宋体" w:cs="Times New Roman"/>
                <w:b/>
                <w:bCs/>
                <w:color w:val="auto"/>
                <w:sz w:val="24"/>
                <w:highlight w:val="none"/>
                <w:lang w:eastAsia="zh-CN"/>
              </w:rPr>
              <w:t>）达标及影响分析</w:t>
            </w:r>
          </w:p>
          <w:p w14:paraId="642D679D">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ind w:leftChars="0" w:firstLine="480" w:firstLineChars="200"/>
              <w:textAlignment w:val="auto"/>
              <w:rPr>
                <w:rFonts w:hint="default" w:ascii="Times New Roman" w:hAnsi="Times New Roman" w:eastAsia="宋体" w:cs="Times New Roman"/>
                <w:color w:val="auto"/>
                <w:sz w:val="24"/>
                <w:highlight w:val="none"/>
                <w:lang w:val="zh-CN" w:eastAsia="zh-CN"/>
              </w:rPr>
            </w:pPr>
            <w:r>
              <w:rPr>
                <w:rFonts w:hint="default" w:ascii="Times New Roman" w:hAnsi="Times New Roman" w:eastAsia="宋体" w:cs="Times New Roman"/>
                <w:color w:val="auto"/>
                <w:sz w:val="24"/>
                <w:highlight w:val="none"/>
                <w:lang w:val="zh-CN"/>
              </w:rPr>
              <w:t>本项目废水达标排放分析</w:t>
            </w:r>
            <w:r>
              <w:rPr>
                <w:rFonts w:hint="default" w:ascii="Times New Roman" w:hAnsi="Times New Roman" w:eastAsia="宋体" w:cs="Times New Roman"/>
                <w:color w:val="auto"/>
                <w:sz w:val="24"/>
                <w:highlight w:val="none"/>
                <w:lang w:val="zh-CN" w:eastAsia="zh-CN"/>
              </w:rPr>
              <w:t>见下表。</w:t>
            </w:r>
          </w:p>
          <w:p w14:paraId="10729187">
            <w:pPr>
              <w:keepNext w:val="0"/>
              <w:keepLines w:val="0"/>
              <w:widowControl/>
              <w:numPr>
                <w:ilvl w:val="0"/>
                <w:numId w:val="21"/>
              </w:numPr>
              <w:suppressLineNumbers w:val="0"/>
              <w:ind w:left="425" w:leftChars="0" w:hanging="425" w:firstLineChars="0"/>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项目废水排放及达标情况一览表</w:t>
            </w:r>
          </w:p>
          <w:tbl>
            <w:tblPr>
              <w:tblStyle w:val="23"/>
              <w:tblW w:w="4900" w:type="pct"/>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629"/>
              <w:gridCol w:w="963"/>
              <w:gridCol w:w="965"/>
              <w:gridCol w:w="965"/>
              <w:gridCol w:w="965"/>
              <w:gridCol w:w="965"/>
              <w:gridCol w:w="965"/>
            </w:tblGrid>
            <w:tr w14:paraId="74A2DDE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098" w:type="pct"/>
                  <w:tcBorders>
                    <w:tl2br w:val="nil"/>
                    <w:tr2bl w:val="nil"/>
                  </w:tcBorders>
                  <w:vAlign w:val="center"/>
                </w:tcPr>
                <w:p w14:paraId="53846CE5">
                  <w:pPr>
                    <w:adjustRightIn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名称</w:t>
                  </w:r>
                </w:p>
              </w:tc>
              <w:tc>
                <w:tcPr>
                  <w:tcW w:w="649" w:type="pct"/>
                  <w:tcBorders>
                    <w:tl2br w:val="nil"/>
                    <w:tr2bl w:val="nil"/>
                  </w:tcBorders>
                  <w:vAlign w:val="center"/>
                </w:tcPr>
                <w:p w14:paraId="2FFFB428">
                  <w:pPr>
                    <w:adjustRightIn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COD</w:t>
                  </w:r>
                  <w:r>
                    <w:rPr>
                      <w:rFonts w:hint="default" w:ascii="Times New Roman" w:hAnsi="Times New Roman" w:eastAsia="宋体" w:cs="Times New Roman"/>
                      <w:b/>
                      <w:bCs/>
                      <w:color w:val="auto"/>
                      <w:szCs w:val="21"/>
                      <w:highlight w:val="none"/>
                      <w:vertAlign w:val="subscript"/>
                    </w:rPr>
                    <w:t>Cr</w:t>
                  </w:r>
                </w:p>
              </w:tc>
              <w:tc>
                <w:tcPr>
                  <w:tcW w:w="650" w:type="pct"/>
                  <w:tcBorders>
                    <w:tl2br w:val="nil"/>
                    <w:tr2bl w:val="nil"/>
                  </w:tcBorders>
                  <w:vAlign w:val="center"/>
                </w:tcPr>
                <w:p w14:paraId="729BCD80">
                  <w:pPr>
                    <w:adjustRightIn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kern w:val="28"/>
                      <w:szCs w:val="21"/>
                      <w:highlight w:val="none"/>
                    </w:rPr>
                    <w:t>BOD</w:t>
                  </w:r>
                  <w:r>
                    <w:rPr>
                      <w:rFonts w:hint="default" w:ascii="Times New Roman" w:hAnsi="Times New Roman" w:eastAsia="宋体" w:cs="Times New Roman"/>
                      <w:b/>
                      <w:bCs/>
                      <w:color w:val="auto"/>
                      <w:kern w:val="28"/>
                      <w:szCs w:val="21"/>
                      <w:highlight w:val="none"/>
                      <w:vertAlign w:val="subscript"/>
                    </w:rPr>
                    <w:t>5</w:t>
                  </w:r>
                </w:p>
              </w:tc>
              <w:tc>
                <w:tcPr>
                  <w:tcW w:w="650" w:type="pct"/>
                  <w:tcBorders>
                    <w:tl2br w:val="nil"/>
                    <w:tr2bl w:val="nil"/>
                  </w:tcBorders>
                  <w:vAlign w:val="center"/>
                </w:tcPr>
                <w:p w14:paraId="183D1A25">
                  <w:pPr>
                    <w:adjustRightIn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SS</w:t>
                  </w:r>
                </w:p>
              </w:tc>
              <w:tc>
                <w:tcPr>
                  <w:tcW w:w="650" w:type="pct"/>
                  <w:tcBorders>
                    <w:tl2br w:val="nil"/>
                    <w:tr2bl w:val="nil"/>
                  </w:tcBorders>
                  <w:vAlign w:val="center"/>
                </w:tcPr>
                <w:p w14:paraId="05A4C24A">
                  <w:pPr>
                    <w:adjustRightInd w:val="0"/>
                    <w:jc w:val="center"/>
                    <w:rPr>
                      <w:rFonts w:hint="default" w:ascii="Times New Roman" w:hAnsi="Times New Roman" w:eastAsia="宋体" w:cs="Times New Roman"/>
                      <w:b/>
                      <w:bCs/>
                      <w:color w:val="auto"/>
                      <w:szCs w:val="21"/>
                      <w:highlight w:val="none"/>
                      <w:lang w:val="en-US" w:eastAsia="zh-CN"/>
                    </w:rPr>
                  </w:pPr>
                  <w:r>
                    <w:rPr>
                      <w:rFonts w:hint="eastAsia" w:cs="Times New Roman"/>
                      <w:b/>
                      <w:bCs/>
                      <w:color w:val="auto"/>
                      <w:szCs w:val="21"/>
                      <w:highlight w:val="none"/>
                      <w:lang w:val="en-US" w:eastAsia="zh-CN"/>
                    </w:rPr>
                    <w:t>氨氮</w:t>
                  </w:r>
                </w:p>
              </w:tc>
              <w:tc>
                <w:tcPr>
                  <w:tcW w:w="650" w:type="pct"/>
                  <w:tcBorders>
                    <w:tl2br w:val="nil"/>
                    <w:tr2bl w:val="nil"/>
                  </w:tcBorders>
                  <w:vAlign w:val="center"/>
                </w:tcPr>
                <w:p w14:paraId="7EB2844C">
                  <w:pPr>
                    <w:adjustRightInd w:val="0"/>
                    <w:jc w:val="center"/>
                    <w:rPr>
                      <w:rFonts w:hint="eastAsia" w:cs="Times New Roman"/>
                      <w:b/>
                      <w:bCs/>
                      <w:color w:val="auto"/>
                      <w:szCs w:val="21"/>
                      <w:highlight w:val="none"/>
                      <w:lang w:val="en-US" w:eastAsia="zh-CN"/>
                    </w:rPr>
                  </w:pPr>
                  <w:r>
                    <w:rPr>
                      <w:rFonts w:hint="eastAsia" w:ascii="Times New Roman" w:hAnsi="Times New Roman" w:eastAsia="宋体" w:cs="Times New Roman"/>
                      <w:b/>
                      <w:color w:val="auto"/>
                      <w:szCs w:val="21"/>
                      <w:highlight w:val="none"/>
                      <w:lang w:val="en-US" w:eastAsia="zh-CN"/>
                    </w:rPr>
                    <w:t>可溶性固体总量</w:t>
                  </w:r>
                </w:p>
              </w:tc>
              <w:tc>
                <w:tcPr>
                  <w:tcW w:w="650" w:type="pct"/>
                  <w:tcBorders>
                    <w:tl2br w:val="nil"/>
                    <w:tr2bl w:val="nil"/>
                  </w:tcBorders>
                  <w:vAlign w:val="center"/>
                </w:tcPr>
                <w:p w14:paraId="61CF38F5">
                  <w:pPr>
                    <w:adjustRightInd w:val="0"/>
                    <w:jc w:val="center"/>
                    <w:rPr>
                      <w:rFonts w:hint="default" w:ascii="Times New Roman" w:hAnsi="Times New Roman" w:eastAsia="宋体" w:cs="Times New Roman"/>
                      <w:b/>
                      <w:bCs/>
                      <w:color w:val="auto"/>
                      <w:szCs w:val="21"/>
                      <w:highlight w:val="none"/>
                      <w:lang w:eastAsia="zh-CN"/>
                    </w:rPr>
                  </w:pPr>
                  <w:r>
                    <w:rPr>
                      <w:rFonts w:hint="default" w:ascii="Times New Roman" w:hAnsi="Times New Roman" w:eastAsia="宋体" w:cs="Times New Roman"/>
                      <w:b/>
                      <w:bCs/>
                      <w:color w:val="auto"/>
                      <w:szCs w:val="21"/>
                      <w:highlight w:val="none"/>
                      <w:lang w:eastAsia="zh-CN"/>
                    </w:rPr>
                    <w:t>pH</w:t>
                  </w:r>
                </w:p>
              </w:tc>
            </w:tr>
            <w:tr w14:paraId="32C17E72">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098" w:type="pct"/>
                  <w:tcBorders>
                    <w:tl2br w:val="nil"/>
                    <w:tr2bl w:val="nil"/>
                  </w:tcBorders>
                  <w:vAlign w:val="center"/>
                </w:tcPr>
                <w:p w14:paraId="07FAC881">
                  <w:pPr>
                    <w:adjustRightIn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排放浓度（mg/L）</w:t>
                  </w:r>
                </w:p>
              </w:tc>
              <w:tc>
                <w:tcPr>
                  <w:tcW w:w="963" w:type="dxa"/>
                  <w:tcBorders>
                    <w:tl2br w:val="nil"/>
                    <w:tr2bl w:val="nil"/>
                  </w:tcBorders>
                  <w:shd w:val="clear" w:color="auto" w:fill="auto"/>
                  <w:vAlign w:val="center"/>
                </w:tcPr>
                <w:p w14:paraId="6CCB76DF">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379.97</w:t>
                  </w:r>
                </w:p>
              </w:tc>
              <w:tc>
                <w:tcPr>
                  <w:tcW w:w="965" w:type="dxa"/>
                  <w:tcBorders>
                    <w:tl2br w:val="nil"/>
                    <w:tr2bl w:val="nil"/>
                  </w:tcBorders>
                  <w:shd w:val="clear" w:color="auto" w:fill="auto"/>
                  <w:vAlign w:val="center"/>
                </w:tcPr>
                <w:p w14:paraId="1DA19434">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225.90</w:t>
                  </w:r>
                </w:p>
              </w:tc>
              <w:tc>
                <w:tcPr>
                  <w:tcW w:w="965" w:type="dxa"/>
                  <w:tcBorders>
                    <w:tl2br w:val="nil"/>
                    <w:tr2bl w:val="nil"/>
                  </w:tcBorders>
                  <w:shd w:val="clear" w:color="auto" w:fill="auto"/>
                  <w:vAlign w:val="center"/>
                </w:tcPr>
                <w:p w14:paraId="7EAD55EA">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208.90</w:t>
                  </w:r>
                </w:p>
              </w:tc>
              <w:tc>
                <w:tcPr>
                  <w:tcW w:w="965" w:type="dxa"/>
                  <w:tcBorders>
                    <w:tl2br w:val="nil"/>
                    <w:tr2bl w:val="nil"/>
                  </w:tcBorders>
                  <w:shd w:val="clear" w:color="auto" w:fill="auto"/>
                  <w:vAlign w:val="center"/>
                </w:tcPr>
                <w:p w14:paraId="15846E76">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38.35</w:t>
                  </w:r>
                </w:p>
              </w:tc>
              <w:tc>
                <w:tcPr>
                  <w:tcW w:w="965" w:type="dxa"/>
                  <w:tcBorders>
                    <w:tl2br w:val="nil"/>
                    <w:tr2bl w:val="nil"/>
                  </w:tcBorders>
                  <w:shd w:val="clear" w:color="auto" w:fill="auto"/>
                  <w:vAlign w:val="center"/>
                </w:tcPr>
                <w:p w14:paraId="12FE630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9.33</w:t>
                  </w:r>
                </w:p>
              </w:tc>
              <w:tc>
                <w:tcPr>
                  <w:tcW w:w="650" w:type="pct"/>
                  <w:tcBorders>
                    <w:tl2br w:val="nil"/>
                    <w:tr2bl w:val="nil"/>
                  </w:tcBorders>
                  <w:shd w:val="clear" w:color="auto" w:fill="auto"/>
                  <w:vAlign w:val="center"/>
                </w:tcPr>
                <w:p w14:paraId="3C7D1BC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6.5~9</w:t>
                  </w:r>
                </w:p>
                <w:p w14:paraId="666F830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color w:val="auto"/>
                      <w:szCs w:val="21"/>
                      <w:highlight w:val="none"/>
                      <w:lang w:val="en-US" w:eastAsia="zh-CN"/>
                    </w:rPr>
                    <w:t>(无量纲)</w:t>
                  </w:r>
                </w:p>
              </w:tc>
            </w:tr>
            <w:tr w14:paraId="4D962DB4">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71" w:hRule="atLeast"/>
                <w:jc w:val="center"/>
              </w:trPr>
              <w:tc>
                <w:tcPr>
                  <w:tcW w:w="1098" w:type="pct"/>
                  <w:tcBorders>
                    <w:tl2br w:val="nil"/>
                    <w:tr2bl w:val="nil"/>
                  </w:tcBorders>
                  <w:vAlign w:val="center"/>
                </w:tcPr>
                <w:p w14:paraId="3A636A4C">
                  <w:pPr>
                    <w:adjustRightIn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标准值（mg/L）</w:t>
                  </w:r>
                </w:p>
              </w:tc>
              <w:tc>
                <w:tcPr>
                  <w:tcW w:w="649" w:type="pct"/>
                  <w:tcBorders>
                    <w:tl2br w:val="nil"/>
                    <w:tr2bl w:val="nil"/>
                  </w:tcBorders>
                  <w:vAlign w:val="center"/>
                </w:tcPr>
                <w:p w14:paraId="464EAE71">
                  <w:pPr>
                    <w:adjustRightIn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500</w:t>
                  </w:r>
                </w:p>
              </w:tc>
              <w:tc>
                <w:tcPr>
                  <w:tcW w:w="650" w:type="pct"/>
                  <w:tcBorders>
                    <w:tl2br w:val="nil"/>
                    <w:tr2bl w:val="nil"/>
                  </w:tcBorders>
                  <w:vAlign w:val="center"/>
                </w:tcPr>
                <w:p w14:paraId="68CE5451">
                  <w:pPr>
                    <w:adjustRightIn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300</w:t>
                  </w:r>
                </w:p>
              </w:tc>
              <w:tc>
                <w:tcPr>
                  <w:tcW w:w="650" w:type="pct"/>
                  <w:tcBorders>
                    <w:tl2br w:val="nil"/>
                    <w:tr2bl w:val="nil"/>
                  </w:tcBorders>
                  <w:vAlign w:val="center"/>
                </w:tcPr>
                <w:p w14:paraId="04375807">
                  <w:pPr>
                    <w:adjustRightIn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400</w:t>
                  </w:r>
                </w:p>
              </w:tc>
              <w:tc>
                <w:tcPr>
                  <w:tcW w:w="650" w:type="pct"/>
                  <w:tcBorders>
                    <w:tl2br w:val="nil"/>
                    <w:tr2bl w:val="nil"/>
                  </w:tcBorders>
                  <w:vAlign w:val="center"/>
                </w:tcPr>
                <w:p w14:paraId="74B86864">
                  <w:pPr>
                    <w:adjustRightIn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45</w:t>
                  </w:r>
                </w:p>
              </w:tc>
              <w:tc>
                <w:tcPr>
                  <w:tcW w:w="650" w:type="pct"/>
                  <w:tcBorders>
                    <w:tl2br w:val="nil"/>
                    <w:tr2bl w:val="nil"/>
                  </w:tcBorders>
                  <w:vAlign w:val="center"/>
                </w:tcPr>
                <w:p w14:paraId="4DFC84C3">
                  <w:pPr>
                    <w:adjustRightInd w:val="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1600</w:t>
                  </w:r>
                </w:p>
              </w:tc>
              <w:tc>
                <w:tcPr>
                  <w:tcW w:w="650" w:type="pct"/>
                  <w:tcBorders>
                    <w:tl2br w:val="nil"/>
                    <w:tr2bl w:val="nil"/>
                  </w:tcBorders>
                  <w:vAlign w:val="center"/>
                </w:tcPr>
                <w:p w14:paraId="06F1D2C1">
                  <w:pPr>
                    <w:adjustRightIn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6.5～9</w:t>
                  </w:r>
                </w:p>
                <w:p w14:paraId="52C8A258">
                  <w:pPr>
                    <w:adjustRightInd w:val="0"/>
                    <w:jc w:val="center"/>
                    <w:rPr>
                      <w:rFonts w:hint="default" w:ascii="Times New Roman" w:hAnsi="Times New Roman" w:eastAsia="宋体" w:cs="Times New Roman"/>
                      <w:color w:val="auto"/>
                      <w:szCs w:val="21"/>
                      <w:highlight w:val="none"/>
                    </w:rPr>
                  </w:pPr>
                  <w:r>
                    <w:rPr>
                      <w:rFonts w:hint="eastAsia" w:cs="Times New Roman"/>
                      <w:color w:val="auto"/>
                      <w:szCs w:val="21"/>
                      <w:highlight w:val="none"/>
                      <w:lang w:val="en-US" w:eastAsia="zh-CN"/>
                    </w:rPr>
                    <w:t>(无量纲)</w:t>
                  </w:r>
                </w:p>
              </w:tc>
            </w:tr>
            <w:tr w14:paraId="3F688356">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098" w:type="pct"/>
                  <w:tcBorders>
                    <w:tl2br w:val="nil"/>
                    <w:tr2bl w:val="nil"/>
                  </w:tcBorders>
                  <w:vAlign w:val="center"/>
                </w:tcPr>
                <w:p w14:paraId="0B34F8D9">
                  <w:pPr>
                    <w:adjustRightIn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达标分析</w:t>
                  </w:r>
                </w:p>
              </w:tc>
              <w:tc>
                <w:tcPr>
                  <w:tcW w:w="649" w:type="pct"/>
                  <w:tcBorders>
                    <w:tl2br w:val="nil"/>
                    <w:tr2bl w:val="nil"/>
                  </w:tcBorders>
                  <w:vAlign w:val="center"/>
                </w:tcPr>
                <w:p w14:paraId="1097DB79">
                  <w:pPr>
                    <w:adjustRightIn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达标</w:t>
                  </w:r>
                </w:p>
              </w:tc>
              <w:tc>
                <w:tcPr>
                  <w:tcW w:w="650" w:type="pct"/>
                  <w:tcBorders>
                    <w:tl2br w:val="nil"/>
                    <w:tr2bl w:val="nil"/>
                  </w:tcBorders>
                  <w:vAlign w:val="center"/>
                </w:tcPr>
                <w:p w14:paraId="28CF2151">
                  <w:pPr>
                    <w:adjustRightInd w:val="0"/>
                    <w:spacing w:line="240" w:lineRule="atLeas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达标</w:t>
                  </w:r>
                </w:p>
              </w:tc>
              <w:tc>
                <w:tcPr>
                  <w:tcW w:w="650" w:type="pct"/>
                  <w:tcBorders>
                    <w:tl2br w:val="nil"/>
                    <w:tr2bl w:val="nil"/>
                  </w:tcBorders>
                  <w:vAlign w:val="center"/>
                </w:tcPr>
                <w:p w14:paraId="5EBD90CB">
                  <w:pPr>
                    <w:adjustRightIn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达标</w:t>
                  </w:r>
                </w:p>
              </w:tc>
              <w:tc>
                <w:tcPr>
                  <w:tcW w:w="650" w:type="pct"/>
                  <w:tcBorders>
                    <w:tl2br w:val="nil"/>
                    <w:tr2bl w:val="nil"/>
                  </w:tcBorders>
                  <w:vAlign w:val="center"/>
                </w:tcPr>
                <w:p w14:paraId="67A636BD">
                  <w:pPr>
                    <w:adjustRightIn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达标</w:t>
                  </w:r>
                </w:p>
              </w:tc>
              <w:tc>
                <w:tcPr>
                  <w:tcW w:w="650" w:type="pct"/>
                  <w:tcBorders>
                    <w:tl2br w:val="nil"/>
                    <w:tr2bl w:val="nil"/>
                  </w:tcBorders>
                  <w:vAlign w:val="center"/>
                </w:tcPr>
                <w:p w14:paraId="30650B5C">
                  <w:pPr>
                    <w:adjustRightInd w:val="0"/>
                    <w:jc w:val="center"/>
                    <w:rPr>
                      <w:rFonts w:hint="eastAsia"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达标</w:t>
                  </w:r>
                </w:p>
              </w:tc>
              <w:tc>
                <w:tcPr>
                  <w:tcW w:w="650" w:type="pct"/>
                  <w:tcBorders>
                    <w:tl2br w:val="nil"/>
                    <w:tr2bl w:val="nil"/>
                  </w:tcBorders>
                  <w:vAlign w:val="center"/>
                </w:tcPr>
                <w:p w14:paraId="66544157">
                  <w:pPr>
                    <w:adjustRightInd w:val="0"/>
                    <w:spacing w:line="240" w:lineRule="atLeas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达标</w:t>
                  </w:r>
                </w:p>
              </w:tc>
            </w:tr>
          </w:tbl>
          <w:p w14:paraId="40075587">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ind w:leftChars="0"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综上，本项目废水满足北京市《</w:t>
            </w:r>
            <w:r>
              <w:rPr>
                <w:rFonts w:hint="default" w:ascii="Times New Roman" w:hAnsi="Times New Roman" w:eastAsia="宋体" w:cs="Times New Roman"/>
                <w:color w:val="auto"/>
                <w:sz w:val="24"/>
                <w:highlight w:val="none"/>
                <w:lang w:val="zh-CN"/>
              </w:rPr>
              <w:t>水污染物综合排放标准》（DB11/307-</w:t>
            </w:r>
            <w:r>
              <w:rPr>
                <w:rFonts w:hint="default" w:ascii="Times New Roman" w:hAnsi="Times New Roman" w:eastAsia="宋体" w:cs="Times New Roman"/>
                <w:color w:val="auto"/>
                <w:sz w:val="24"/>
                <w:highlight w:val="none"/>
              </w:rPr>
              <w:t>2013</w:t>
            </w:r>
            <w:r>
              <w:rPr>
                <w:rFonts w:hint="default" w:ascii="Times New Roman" w:hAnsi="Times New Roman" w:eastAsia="宋体" w:cs="Times New Roman"/>
                <w:color w:val="auto"/>
                <w:sz w:val="24"/>
                <w:highlight w:val="none"/>
                <w:lang w:val="zh-CN"/>
              </w:rPr>
              <w:t>）中</w:t>
            </w:r>
            <w:r>
              <w:rPr>
                <w:rFonts w:hint="eastAsia" w:cs="Times New Roman"/>
                <w:color w:val="auto"/>
                <w:sz w:val="24"/>
                <w:highlight w:val="none"/>
                <w:lang w:val="zh-CN"/>
              </w:rPr>
              <w:t>“</w:t>
            </w:r>
            <w:r>
              <w:rPr>
                <w:rFonts w:hint="default" w:ascii="Times New Roman" w:hAnsi="Times New Roman" w:eastAsia="宋体" w:cs="Times New Roman"/>
                <w:color w:val="auto"/>
                <w:sz w:val="24"/>
                <w:highlight w:val="none"/>
                <w:lang w:val="zh-CN"/>
              </w:rPr>
              <w:t>表</w:t>
            </w:r>
            <w:r>
              <w:rPr>
                <w:rFonts w:hint="default" w:ascii="Times New Roman" w:hAnsi="Times New Roman" w:eastAsia="宋体" w:cs="Times New Roman"/>
                <w:color w:val="auto"/>
                <w:sz w:val="24"/>
                <w:highlight w:val="none"/>
              </w:rPr>
              <w:t>3</w:t>
            </w:r>
            <w:r>
              <w:rPr>
                <w:rFonts w:hint="default" w:ascii="Times New Roman" w:hAnsi="Times New Roman" w:eastAsia="宋体" w:cs="Times New Roman"/>
                <w:color w:val="auto"/>
                <w:sz w:val="24"/>
                <w:highlight w:val="none"/>
                <w:lang w:val="zh-CN"/>
              </w:rPr>
              <w:t>排入公共污水处理系统的水污染物排放限值</w:t>
            </w:r>
            <w:r>
              <w:rPr>
                <w:rFonts w:hint="eastAsia" w:cs="Times New Roman"/>
                <w:color w:val="auto"/>
                <w:sz w:val="24"/>
                <w:highlight w:val="none"/>
                <w:lang w:val="zh-CN"/>
              </w:rPr>
              <w:t>”</w:t>
            </w:r>
            <w:r>
              <w:rPr>
                <w:rFonts w:hint="default" w:ascii="Times New Roman" w:hAnsi="Times New Roman" w:eastAsia="宋体" w:cs="Times New Roman"/>
                <w:color w:val="auto"/>
                <w:sz w:val="24"/>
                <w:highlight w:val="none"/>
              </w:rPr>
              <w:t>的标准要求。</w:t>
            </w:r>
          </w:p>
          <w:p w14:paraId="11E346DC">
            <w:pPr>
              <w:numPr>
                <w:ilvl w:val="255"/>
                <w:numId w:val="0"/>
              </w:numPr>
              <w:adjustRightInd w:val="0"/>
              <w:spacing w:line="360" w:lineRule="auto"/>
              <w:ind w:left="420" w:leftChars="200"/>
              <w:rPr>
                <w:rFonts w:hint="default" w:ascii="Times New Roman" w:hAnsi="Times New Roman" w:eastAsia="宋体" w:cs="Times New Roman"/>
                <w:b/>
                <w:bCs/>
                <w:color w:val="auto"/>
                <w:sz w:val="24"/>
                <w:highlight w:val="none"/>
                <w:lang w:eastAsia="zh-CN"/>
              </w:rPr>
            </w:pPr>
            <w:r>
              <w:rPr>
                <w:rFonts w:hint="eastAsia" w:ascii="Times New Roman" w:hAnsi="Times New Roman" w:eastAsia="宋体" w:cs="Times New Roman"/>
                <w:b/>
                <w:bCs/>
                <w:color w:val="auto"/>
                <w:sz w:val="24"/>
                <w:highlight w:val="none"/>
                <w:lang w:eastAsia="zh-CN"/>
              </w:rPr>
              <w:t>（</w:t>
            </w:r>
            <w:r>
              <w:rPr>
                <w:rFonts w:hint="eastAsia" w:ascii="Times New Roman" w:hAnsi="Times New Roman" w:eastAsia="宋体" w:cs="Times New Roman"/>
                <w:b/>
                <w:bCs/>
                <w:color w:val="auto"/>
                <w:sz w:val="24"/>
                <w:highlight w:val="none"/>
                <w:lang w:val="en-US" w:eastAsia="zh-CN"/>
              </w:rPr>
              <w:t>4</w:t>
            </w:r>
            <w:r>
              <w:rPr>
                <w:rFonts w:hint="eastAsia" w:ascii="Times New Roman" w:hAnsi="Times New Roman" w:eastAsia="宋体" w:cs="Times New Roman"/>
                <w:b/>
                <w:bCs/>
                <w:color w:val="auto"/>
                <w:sz w:val="24"/>
                <w:highlight w:val="none"/>
                <w:lang w:eastAsia="zh-CN"/>
              </w:rPr>
              <w:t>）</w:t>
            </w:r>
            <w:r>
              <w:rPr>
                <w:rFonts w:hint="default" w:ascii="Times New Roman" w:hAnsi="Times New Roman" w:eastAsia="宋体" w:cs="Times New Roman"/>
                <w:b/>
                <w:bCs/>
                <w:color w:val="auto"/>
                <w:sz w:val="24"/>
                <w:highlight w:val="none"/>
                <w:lang w:eastAsia="zh-CN"/>
              </w:rPr>
              <w:t>污水处理厂可行性分析</w:t>
            </w:r>
          </w:p>
          <w:p w14:paraId="62609F2E">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ind w:leftChars="0" w:firstLine="480" w:firstLineChars="200"/>
              <w:textAlignment w:val="auto"/>
              <w:rPr>
                <w:rFonts w:hint="eastAsia"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高碑店再生水厂一期工程于1993年10月24日竣工投产，二期工程于1999年底竣工投产。该污水处理厂设计处理能力为100万m</w:t>
            </w:r>
            <w:r>
              <w:rPr>
                <w:rFonts w:hint="eastAsia" w:ascii="Times New Roman" w:hAnsi="Times New Roman" w:eastAsia="宋体" w:cs="Times New Roman"/>
                <w:color w:val="auto"/>
                <w:sz w:val="24"/>
                <w:highlight w:val="none"/>
                <w:vertAlign w:val="superscript"/>
                <w:lang w:val="en-US" w:eastAsia="zh-CN"/>
              </w:rPr>
              <w:t>3</w:t>
            </w:r>
            <w:r>
              <w:rPr>
                <w:rFonts w:hint="eastAsia" w:ascii="Times New Roman" w:hAnsi="Times New Roman" w:eastAsia="宋体" w:cs="Times New Roman"/>
                <w:color w:val="auto"/>
                <w:sz w:val="24"/>
                <w:highlight w:val="none"/>
                <w:lang w:val="en-US" w:eastAsia="zh-CN"/>
              </w:rPr>
              <w:t>/d，实际日处理污水量约80万m</w:t>
            </w:r>
            <w:r>
              <w:rPr>
                <w:rFonts w:hint="eastAsia" w:ascii="Times New Roman" w:hAnsi="Times New Roman" w:eastAsia="宋体" w:cs="Times New Roman"/>
                <w:color w:val="auto"/>
                <w:sz w:val="24"/>
                <w:highlight w:val="none"/>
                <w:vertAlign w:val="superscript"/>
                <w:lang w:val="en-US" w:eastAsia="zh-CN"/>
              </w:rPr>
              <w:t>3</w:t>
            </w:r>
            <w:r>
              <w:rPr>
                <w:rFonts w:hint="eastAsia" w:ascii="Times New Roman" w:hAnsi="Times New Roman" w:eastAsia="宋体" w:cs="Times New Roman"/>
                <w:color w:val="auto"/>
                <w:sz w:val="24"/>
                <w:highlight w:val="none"/>
                <w:lang w:val="en-US" w:eastAsia="zh-CN"/>
              </w:rPr>
              <w:t>/d，设计进水水质为化学需氧量500mg/L、五日生化需氧量300mg/L、悬浮物400mg/L、氨氮45mg/L。设计出水水质达到《城镇污水处理厂水污染物排放标准》（DB11/890-2012）中“表1新（改、扩）建城镇污水处理厂基本控制项目排放限值B标准”相关要求，即化学需氧量30mg/L、五日生化需氧量6mg/L、悬浮物5mg/L、氨氮1.5（2.5）mg/L。高碑店再生水厂污水系统流域面积96km</w:t>
            </w:r>
            <w:r>
              <w:rPr>
                <w:rFonts w:hint="eastAsia" w:ascii="Times New Roman" w:hAnsi="Times New Roman" w:eastAsia="宋体" w:cs="Times New Roman"/>
                <w:color w:val="auto"/>
                <w:sz w:val="24"/>
                <w:highlight w:val="none"/>
                <w:vertAlign w:val="superscript"/>
                <w:lang w:val="en-US" w:eastAsia="zh-CN"/>
              </w:rPr>
              <w:t>2</w:t>
            </w:r>
            <w:r>
              <w:rPr>
                <w:rFonts w:hint="eastAsia" w:ascii="Times New Roman" w:hAnsi="Times New Roman" w:eastAsia="宋体" w:cs="Times New Roman"/>
                <w:color w:val="auto"/>
                <w:sz w:val="24"/>
                <w:highlight w:val="none"/>
                <w:lang w:val="en-US" w:eastAsia="zh-CN"/>
              </w:rPr>
              <w:t>，占地68公顷，汇集北京市南部地区的大部分生活污水、东郊工业区、使馆区和化工路的全部污水。</w:t>
            </w:r>
          </w:p>
          <w:p w14:paraId="60EA26A7">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ind w:leftChars="0" w:firstLine="480" w:firstLineChars="200"/>
              <w:textAlignment w:val="auto"/>
              <w:rPr>
                <w:rFonts w:hint="default"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根据北京城市排水集团有限责任公司公开的202</w:t>
            </w:r>
            <w:r>
              <w:rPr>
                <w:rFonts w:hint="eastAsia" w:cs="Times New Roman"/>
                <w:color w:val="auto"/>
                <w:sz w:val="24"/>
                <w:highlight w:val="none"/>
                <w:lang w:val="en-US" w:eastAsia="zh-CN"/>
              </w:rPr>
              <w:t>6</w:t>
            </w:r>
            <w:r>
              <w:rPr>
                <w:rFonts w:hint="eastAsia" w:ascii="Times New Roman" w:hAnsi="Times New Roman" w:eastAsia="宋体" w:cs="Times New Roman"/>
                <w:color w:val="auto"/>
                <w:sz w:val="24"/>
                <w:highlight w:val="none"/>
                <w:lang w:val="en-US" w:eastAsia="zh-CN"/>
              </w:rPr>
              <w:t>年</w:t>
            </w:r>
            <w:r>
              <w:rPr>
                <w:rFonts w:hint="eastAsia" w:cs="Times New Roman"/>
                <w:color w:val="auto"/>
                <w:sz w:val="24"/>
                <w:highlight w:val="none"/>
                <w:lang w:val="en-US" w:eastAsia="zh-CN"/>
              </w:rPr>
              <w:t>1</w:t>
            </w:r>
            <w:r>
              <w:rPr>
                <w:rFonts w:hint="eastAsia" w:ascii="Times New Roman" w:hAnsi="Times New Roman" w:eastAsia="宋体" w:cs="Times New Roman"/>
                <w:color w:val="auto"/>
                <w:sz w:val="24"/>
                <w:highlight w:val="none"/>
                <w:lang w:val="en-US" w:eastAsia="zh-CN"/>
              </w:rPr>
              <w:t>月污水处理数据，高碑店再生水厂</w:t>
            </w:r>
            <w:r>
              <w:rPr>
                <w:rFonts w:hint="eastAsia" w:cs="Times New Roman"/>
                <w:color w:val="auto"/>
                <w:sz w:val="24"/>
                <w:highlight w:val="none"/>
                <w:lang w:val="en-US" w:eastAsia="zh-CN"/>
              </w:rPr>
              <w:t>1</w:t>
            </w:r>
            <w:r>
              <w:rPr>
                <w:rFonts w:hint="eastAsia" w:ascii="Times New Roman" w:hAnsi="Times New Roman" w:eastAsia="宋体" w:cs="Times New Roman"/>
                <w:color w:val="auto"/>
                <w:sz w:val="24"/>
                <w:highlight w:val="none"/>
                <w:lang w:val="en-US" w:eastAsia="zh-CN"/>
              </w:rPr>
              <w:t>月份共计处理废水2417.2665万m</w:t>
            </w:r>
            <w:r>
              <w:rPr>
                <w:rFonts w:hint="eastAsia" w:ascii="Times New Roman" w:hAnsi="Times New Roman" w:eastAsia="宋体" w:cs="Times New Roman"/>
                <w:color w:val="auto"/>
                <w:sz w:val="24"/>
                <w:highlight w:val="none"/>
                <w:vertAlign w:val="superscript"/>
                <w:lang w:val="en-US" w:eastAsia="zh-CN"/>
              </w:rPr>
              <w:t>3</w:t>
            </w:r>
            <w:r>
              <w:rPr>
                <w:rFonts w:hint="eastAsia" w:ascii="Times New Roman" w:hAnsi="Times New Roman" w:eastAsia="宋体" w:cs="Times New Roman"/>
                <w:color w:val="auto"/>
                <w:sz w:val="24"/>
                <w:highlight w:val="none"/>
                <w:lang w:val="en-US" w:eastAsia="zh-CN"/>
              </w:rPr>
              <w:t>，平均每日处理</w:t>
            </w:r>
            <w:r>
              <w:rPr>
                <w:rFonts w:hint="eastAsia" w:cs="Times New Roman"/>
                <w:color w:val="auto"/>
                <w:sz w:val="24"/>
                <w:highlight w:val="none"/>
                <w:lang w:val="en-US" w:eastAsia="zh-CN"/>
              </w:rPr>
              <w:t>77.9763</w:t>
            </w:r>
            <w:r>
              <w:rPr>
                <w:rFonts w:hint="eastAsia" w:ascii="Times New Roman" w:hAnsi="Times New Roman" w:eastAsia="宋体" w:cs="Times New Roman"/>
                <w:color w:val="auto"/>
                <w:sz w:val="24"/>
                <w:highlight w:val="none"/>
                <w:lang w:val="en-US" w:eastAsia="zh-CN"/>
              </w:rPr>
              <w:t>万m</w:t>
            </w:r>
            <w:r>
              <w:rPr>
                <w:rFonts w:hint="eastAsia" w:ascii="Times New Roman" w:hAnsi="Times New Roman" w:eastAsia="宋体" w:cs="Times New Roman"/>
                <w:color w:val="auto"/>
                <w:sz w:val="24"/>
                <w:highlight w:val="none"/>
                <w:vertAlign w:val="superscript"/>
                <w:lang w:val="en-US" w:eastAsia="zh-CN"/>
              </w:rPr>
              <w:t>3</w:t>
            </w:r>
            <w:r>
              <w:rPr>
                <w:rFonts w:hint="eastAsia" w:cs="Times New Roman"/>
                <w:color w:val="auto"/>
                <w:sz w:val="24"/>
                <w:highlight w:val="none"/>
                <w:lang w:val="en-US" w:eastAsia="zh-CN"/>
              </w:rPr>
              <w:t>，</w:t>
            </w:r>
            <w:r>
              <w:rPr>
                <w:rFonts w:hint="eastAsia" w:ascii="Times New Roman" w:hAnsi="Times New Roman" w:eastAsia="宋体" w:cs="Times New Roman"/>
                <w:color w:val="auto"/>
                <w:sz w:val="24"/>
                <w:highlight w:val="none"/>
                <w:lang w:val="en-US" w:eastAsia="zh-CN"/>
              </w:rPr>
              <w:t>本项目运营期废水最大排放量为</w:t>
            </w:r>
            <w:r>
              <w:rPr>
                <w:rFonts w:hint="eastAsia" w:cs="Times New Roman"/>
                <w:color w:val="auto"/>
                <w:sz w:val="24"/>
                <w:highlight w:val="none"/>
                <w:lang w:val="en-US" w:eastAsia="zh-CN"/>
              </w:rPr>
              <w:t>0425</w:t>
            </w:r>
            <w:r>
              <w:rPr>
                <w:rFonts w:hint="eastAsia" w:ascii="Times New Roman" w:hAnsi="Times New Roman" w:eastAsia="宋体" w:cs="Times New Roman"/>
                <w:color w:val="auto"/>
                <w:sz w:val="24"/>
                <w:highlight w:val="none"/>
                <w:lang w:val="en-US" w:eastAsia="zh-CN"/>
              </w:rPr>
              <w:t>m</w:t>
            </w:r>
            <w:r>
              <w:rPr>
                <w:rFonts w:hint="eastAsia" w:ascii="Times New Roman" w:hAnsi="Times New Roman" w:eastAsia="宋体" w:cs="Times New Roman"/>
                <w:color w:val="auto"/>
                <w:sz w:val="24"/>
                <w:highlight w:val="none"/>
                <w:vertAlign w:val="superscript"/>
                <w:lang w:val="en-US" w:eastAsia="zh-CN"/>
              </w:rPr>
              <w:t>3</w:t>
            </w:r>
            <w:r>
              <w:rPr>
                <w:rFonts w:hint="eastAsia" w:ascii="Times New Roman" w:hAnsi="Times New Roman" w:eastAsia="宋体" w:cs="Times New Roman"/>
                <w:color w:val="auto"/>
                <w:sz w:val="24"/>
                <w:highlight w:val="none"/>
                <w:lang w:val="en-US" w:eastAsia="zh-CN"/>
              </w:rPr>
              <w:t>/d，占高碑店再生水厂可接纳污水处理能力的比例很小</w:t>
            </w:r>
            <w:r>
              <w:rPr>
                <w:rFonts w:hint="eastAsia" w:cs="Times New Roman"/>
                <w:color w:val="auto"/>
                <w:sz w:val="24"/>
                <w:highlight w:val="none"/>
                <w:lang w:val="en-US" w:eastAsia="zh-CN"/>
              </w:rPr>
              <w:t>。2026年1月，</w:t>
            </w:r>
            <w:r>
              <w:rPr>
                <w:rFonts w:hint="eastAsia" w:ascii="Times New Roman" w:hAnsi="Times New Roman" w:eastAsia="宋体" w:cs="Times New Roman"/>
                <w:color w:val="auto"/>
                <w:sz w:val="24"/>
                <w:highlight w:val="none"/>
                <w:lang w:val="en-US" w:eastAsia="zh-CN"/>
              </w:rPr>
              <w:t>高碑店再生水厂</w:t>
            </w:r>
            <w:r>
              <w:rPr>
                <w:rFonts w:hint="eastAsia" w:cs="Times New Roman"/>
                <w:color w:val="auto"/>
                <w:sz w:val="24"/>
                <w:highlight w:val="none"/>
                <w:lang w:val="en-US" w:eastAsia="zh-CN"/>
              </w:rPr>
              <w:t>出水水质：化学需氧量17</w:t>
            </w:r>
            <w:r>
              <w:rPr>
                <w:rFonts w:hint="eastAsia" w:ascii="Times New Roman" w:hAnsi="Times New Roman" w:eastAsia="宋体" w:cs="Times New Roman"/>
                <w:color w:val="auto"/>
                <w:sz w:val="24"/>
                <w:highlight w:val="none"/>
                <w:lang w:val="en-US" w:eastAsia="zh-CN"/>
              </w:rPr>
              <w:t>mg/L</w:t>
            </w:r>
            <w:r>
              <w:rPr>
                <w:rFonts w:hint="eastAsia" w:cs="Times New Roman"/>
                <w:color w:val="auto"/>
                <w:sz w:val="24"/>
                <w:highlight w:val="none"/>
                <w:lang w:val="en-US" w:eastAsia="zh-CN"/>
              </w:rPr>
              <w:t>、生化需氧量＜0.5</w:t>
            </w:r>
            <w:r>
              <w:rPr>
                <w:rFonts w:hint="eastAsia" w:ascii="Times New Roman" w:hAnsi="Times New Roman" w:eastAsia="宋体" w:cs="Times New Roman"/>
                <w:color w:val="auto"/>
                <w:sz w:val="24"/>
                <w:highlight w:val="none"/>
                <w:lang w:val="en-US" w:eastAsia="zh-CN"/>
              </w:rPr>
              <w:t>mg/L</w:t>
            </w:r>
            <w:r>
              <w:rPr>
                <w:rFonts w:hint="eastAsia" w:cs="Times New Roman"/>
                <w:color w:val="auto"/>
                <w:sz w:val="24"/>
                <w:highlight w:val="none"/>
                <w:lang w:val="en-US" w:eastAsia="zh-CN"/>
              </w:rPr>
              <w:t>、氨氮0.183</w:t>
            </w:r>
            <w:r>
              <w:rPr>
                <w:rFonts w:hint="eastAsia" w:ascii="Times New Roman" w:hAnsi="Times New Roman" w:eastAsia="宋体" w:cs="Times New Roman"/>
                <w:color w:val="auto"/>
                <w:sz w:val="24"/>
                <w:highlight w:val="none"/>
                <w:lang w:val="en-US" w:eastAsia="zh-CN"/>
              </w:rPr>
              <w:t>mg/L</w:t>
            </w:r>
            <w:r>
              <w:rPr>
                <w:rFonts w:hint="eastAsia" w:cs="Times New Roman"/>
                <w:color w:val="auto"/>
                <w:sz w:val="24"/>
                <w:highlight w:val="none"/>
                <w:lang w:val="en-US" w:eastAsia="zh-CN"/>
              </w:rPr>
              <w:t>、pH6.9（无量纲）、悬浮物＜0.5</w:t>
            </w:r>
            <w:r>
              <w:rPr>
                <w:rFonts w:hint="eastAsia" w:ascii="Times New Roman" w:hAnsi="Times New Roman" w:eastAsia="宋体" w:cs="Times New Roman"/>
                <w:color w:val="auto"/>
                <w:sz w:val="24"/>
                <w:highlight w:val="none"/>
                <w:lang w:val="en-US" w:eastAsia="zh-CN"/>
              </w:rPr>
              <w:t>mg/L</w:t>
            </w:r>
            <w:r>
              <w:rPr>
                <w:rFonts w:hint="eastAsia" w:cs="Times New Roman"/>
                <w:color w:val="auto"/>
                <w:sz w:val="24"/>
                <w:highlight w:val="none"/>
                <w:lang w:val="en-US" w:eastAsia="zh-CN"/>
              </w:rPr>
              <w:t>，</w:t>
            </w:r>
            <w:r>
              <w:rPr>
                <w:rFonts w:hint="eastAsia" w:ascii="Times New Roman" w:hAnsi="Times New Roman" w:eastAsia="宋体" w:cs="Times New Roman"/>
                <w:color w:val="auto"/>
                <w:sz w:val="24"/>
                <w:highlight w:val="none"/>
                <w:lang w:val="en-US" w:eastAsia="zh-CN"/>
              </w:rPr>
              <w:t>排水水质能够达到北京市《水污染物综合排放标准》（DB11/307-2013）中排入公共污水处理系统的水污染物排放限值。故高碑店再生水厂接纳项目污水不会造成明显的负荷冲击。因此，本项目废水最终排入高碑店再生水厂是可行的。</w:t>
            </w:r>
          </w:p>
          <w:p w14:paraId="20DAAA22">
            <w:pPr>
              <w:adjustRightInd w:val="0"/>
              <w:snapToGrid w:val="0"/>
              <w:spacing w:line="360" w:lineRule="auto"/>
              <w:ind w:firstLine="361" w:firstLineChars="150"/>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eastAsia="zh-CN"/>
              </w:rPr>
              <w:t>（</w:t>
            </w:r>
            <w:r>
              <w:rPr>
                <w:rFonts w:hint="eastAsia" w:cs="Times New Roman"/>
                <w:b/>
                <w:bCs/>
                <w:color w:val="auto"/>
                <w:sz w:val="24"/>
                <w:highlight w:val="none"/>
                <w:lang w:val="en-US" w:eastAsia="zh-CN"/>
              </w:rPr>
              <w:t>5</w:t>
            </w:r>
            <w:r>
              <w:rPr>
                <w:rFonts w:hint="default" w:ascii="Times New Roman" w:hAnsi="Times New Roman" w:eastAsia="宋体" w:cs="Times New Roman"/>
                <w:b/>
                <w:bCs/>
                <w:color w:val="auto"/>
                <w:sz w:val="24"/>
                <w:highlight w:val="none"/>
                <w:lang w:eastAsia="zh-CN"/>
              </w:rPr>
              <w:t>）</w:t>
            </w:r>
            <w:r>
              <w:rPr>
                <w:rFonts w:hint="default" w:ascii="Times New Roman" w:hAnsi="Times New Roman" w:eastAsia="宋体" w:cs="Times New Roman"/>
                <w:b/>
                <w:bCs/>
                <w:color w:val="auto"/>
                <w:sz w:val="24"/>
                <w:highlight w:val="none"/>
                <w:lang w:val="en-US" w:eastAsia="zh-CN"/>
              </w:rPr>
              <w:t>废水监测计划</w:t>
            </w:r>
          </w:p>
          <w:p w14:paraId="1C385784">
            <w:pPr>
              <w:adjustRightInd w:val="0"/>
              <w:snapToGrid w:val="0"/>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根据《排污许可证申请与核发技术规范总则》(HJ942-2018)、《排污单位自行监测技术指南 总则》(HJ819-2017)，本项目废水监测计划详见下表。</w:t>
            </w:r>
          </w:p>
          <w:p w14:paraId="252F95CD">
            <w:pPr>
              <w:numPr>
                <w:ilvl w:val="0"/>
                <w:numId w:val="21"/>
              </w:numPr>
              <w:adjustRightInd w:val="0"/>
              <w:snapToGrid w:val="0"/>
              <w:ind w:left="425" w:leftChars="0" w:hanging="425" w:firstLineChars="0"/>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项目废水监测计划</w:t>
            </w:r>
          </w:p>
          <w:tbl>
            <w:tblPr>
              <w:tblStyle w:val="23"/>
              <w:tblW w:w="7643" w:type="dxa"/>
              <w:tblInd w:w="0" w:type="dxa"/>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15"/>
              <w:gridCol w:w="1178"/>
              <w:gridCol w:w="2848"/>
              <w:gridCol w:w="1314"/>
              <w:gridCol w:w="1288"/>
            </w:tblGrid>
            <w:tr w14:paraId="160C0A6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664" w:type="pct"/>
                  <w:tcBorders>
                    <w:tl2br w:val="nil"/>
                    <w:tr2bl w:val="nil"/>
                  </w:tcBorders>
                  <w:vAlign w:val="center"/>
                </w:tcPr>
                <w:p w14:paraId="2282F8BD">
                  <w:pPr>
                    <w:adjustRightInd w:val="0"/>
                    <w:snapToGri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时段</w:t>
                  </w:r>
                </w:p>
              </w:tc>
              <w:tc>
                <w:tcPr>
                  <w:tcW w:w="770" w:type="pct"/>
                  <w:tcBorders>
                    <w:tl2br w:val="nil"/>
                    <w:tr2bl w:val="nil"/>
                  </w:tcBorders>
                  <w:vAlign w:val="center"/>
                </w:tcPr>
                <w:p w14:paraId="7DC71777">
                  <w:pPr>
                    <w:adjustRightInd w:val="0"/>
                    <w:snapToGri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监测内容</w:t>
                  </w:r>
                </w:p>
              </w:tc>
              <w:tc>
                <w:tcPr>
                  <w:tcW w:w="1863" w:type="pct"/>
                  <w:tcBorders>
                    <w:tl2br w:val="nil"/>
                    <w:tr2bl w:val="nil"/>
                  </w:tcBorders>
                  <w:vAlign w:val="center"/>
                </w:tcPr>
                <w:p w14:paraId="7AB68C23">
                  <w:pPr>
                    <w:adjustRightInd w:val="0"/>
                    <w:snapToGri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监测因子</w:t>
                  </w:r>
                </w:p>
              </w:tc>
              <w:tc>
                <w:tcPr>
                  <w:tcW w:w="859" w:type="pct"/>
                  <w:tcBorders>
                    <w:tl2br w:val="nil"/>
                    <w:tr2bl w:val="nil"/>
                  </w:tcBorders>
                  <w:vAlign w:val="center"/>
                </w:tcPr>
                <w:p w14:paraId="4D7FA380">
                  <w:pPr>
                    <w:adjustRightInd w:val="0"/>
                    <w:snapToGri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监测点位</w:t>
                  </w:r>
                </w:p>
              </w:tc>
              <w:tc>
                <w:tcPr>
                  <w:tcW w:w="842" w:type="pct"/>
                  <w:tcBorders>
                    <w:tl2br w:val="nil"/>
                    <w:tr2bl w:val="nil"/>
                  </w:tcBorders>
                  <w:vAlign w:val="center"/>
                </w:tcPr>
                <w:p w14:paraId="7A369332">
                  <w:pPr>
                    <w:adjustRightInd w:val="0"/>
                    <w:snapToGri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监测频次</w:t>
                  </w:r>
                </w:p>
              </w:tc>
            </w:tr>
            <w:tr w14:paraId="343268C4">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664" w:type="pct"/>
                  <w:vMerge w:val="restart"/>
                  <w:tcBorders>
                    <w:tl2br w:val="nil"/>
                    <w:tr2bl w:val="nil"/>
                  </w:tcBorders>
                  <w:vAlign w:val="center"/>
                </w:tcPr>
                <w:p w14:paraId="6FCA8E39">
                  <w:pPr>
                    <w:widowControl/>
                    <w:snapToGrid w:val="0"/>
                    <w:jc w:val="center"/>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运营期</w:t>
                  </w:r>
                </w:p>
              </w:tc>
              <w:tc>
                <w:tcPr>
                  <w:tcW w:w="770" w:type="pct"/>
                  <w:vMerge w:val="restart"/>
                  <w:tcBorders>
                    <w:tl2br w:val="nil"/>
                    <w:tr2bl w:val="nil"/>
                  </w:tcBorders>
                  <w:vAlign w:val="center"/>
                </w:tcPr>
                <w:p w14:paraId="13E489FF">
                  <w:pPr>
                    <w:adjustRightInd w:val="0"/>
                    <w:snapToGrid w:val="0"/>
                    <w:jc w:val="center"/>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废水</w:t>
                  </w:r>
                </w:p>
              </w:tc>
              <w:tc>
                <w:tcPr>
                  <w:tcW w:w="1863" w:type="pct"/>
                  <w:tcBorders>
                    <w:tl2br w:val="nil"/>
                    <w:tr2bl w:val="nil"/>
                  </w:tcBorders>
                  <w:vAlign w:val="center"/>
                </w:tcPr>
                <w:p w14:paraId="35C71D85">
                  <w:pPr>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COD</w:t>
                  </w:r>
                  <w:r>
                    <w:rPr>
                      <w:rFonts w:hint="default" w:ascii="Times New Roman" w:hAnsi="Times New Roman" w:eastAsia="宋体" w:cs="Times New Roman"/>
                      <w:color w:val="auto"/>
                      <w:szCs w:val="21"/>
                      <w:highlight w:val="none"/>
                      <w:vertAlign w:val="subscript"/>
                    </w:rPr>
                    <w:t>Cr</w:t>
                  </w:r>
                  <w:r>
                    <w:rPr>
                      <w:rFonts w:hint="default" w:ascii="Times New Roman" w:hAnsi="Times New Roman" w:eastAsia="宋体" w:cs="Times New Roman"/>
                      <w:color w:val="auto"/>
                      <w:szCs w:val="21"/>
                      <w:highlight w:val="none"/>
                    </w:rPr>
                    <w:t>、BOD</w:t>
                  </w:r>
                  <w:r>
                    <w:rPr>
                      <w:rFonts w:hint="default" w:ascii="Times New Roman" w:hAnsi="Times New Roman" w:eastAsia="宋体" w:cs="Times New Roman"/>
                      <w:color w:val="auto"/>
                      <w:szCs w:val="21"/>
                      <w:highlight w:val="none"/>
                      <w:vertAlign w:val="subscript"/>
                    </w:rPr>
                    <w:t>5</w:t>
                  </w:r>
                  <w:r>
                    <w:rPr>
                      <w:rFonts w:hint="default" w:ascii="Times New Roman" w:hAnsi="Times New Roman" w:eastAsia="宋体" w:cs="Times New Roman"/>
                      <w:color w:val="auto"/>
                      <w:szCs w:val="21"/>
                      <w:highlight w:val="none"/>
                    </w:rPr>
                    <w:t>、SS、NH</w:t>
                  </w:r>
                  <w:r>
                    <w:rPr>
                      <w:rFonts w:hint="default" w:ascii="Times New Roman" w:hAnsi="Times New Roman" w:eastAsia="宋体" w:cs="Times New Roman"/>
                      <w:color w:val="auto"/>
                      <w:szCs w:val="21"/>
                      <w:highlight w:val="none"/>
                      <w:vertAlign w:val="subscript"/>
                    </w:rPr>
                    <w:t>3</w:t>
                  </w:r>
                  <w:r>
                    <w:rPr>
                      <w:rFonts w:hint="default" w:ascii="Times New Roman" w:hAnsi="Times New Roman" w:eastAsia="宋体" w:cs="Times New Roman"/>
                      <w:color w:val="auto"/>
                      <w:szCs w:val="21"/>
                      <w:highlight w:val="none"/>
                    </w:rPr>
                    <w:t>-N</w:t>
                  </w:r>
                </w:p>
              </w:tc>
              <w:tc>
                <w:tcPr>
                  <w:tcW w:w="859" w:type="pct"/>
                  <w:vMerge w:val="restart"/>
                  <w:tcBorders>
                    <w:tl2br w:val="nil"/>
                    <w:tr2bl w:val="nil"/>
                  </w:tcBorders>
                  <w:vAlign w:val="center"/>
                </w:tcPr>
                <w:p w14:paraId="0BB6B45D">
                  <w:pPr>
                    <w:adjustRightInd w:val="0"/>
                    <w:snapToGrid w:val="0"/>
                    <w:jc w:val="center"/>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废水总排口</w:t>
                  </w:r>
                </w:p>
              </w:tc>
              <w:tc>
                <w:tcPr>
                  <w:tcW w:w="842" w:type="pct"/>
                  <w:tcBorders>
                    <w:tl2br w:val="nil"/>
                    <w:tr2bl w:val="nil"/>
                  </w:tcBorders>
                  <w:vAlign w:val="center"/>
                </w:tcPr>
                <w:p w14:paraId="5B5B8794">
                  <w:pPr>
                    <w:adjustRightInd w:val="0"/>
                    <w:snapToGrid w:val="0"/>
                    <w:jc w:val="center"/>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每季度1次</w:t>
                  </w:r>
                </w:p>
              </w:tc>
            </w:tr>
            <w:tr w14:paraId="345236FB">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664" w:type="pct"/>
                  <w:vMerge w:val="continue"/>
                  <w:tcBorders>
                    <w:tl2br w:val="nil"/>
                    <w:tr2bl w:val="nil"/>
                  </w:tcBorders>
                  <w:vAlign w:val="center"/>
                </w:tcPr>
                <w:p w14:paraId="5C22CD2A">
                  <w:pPr>
                    <w:widowControl/>
                    <w:snapToGrid w:val="0"/>
                    <w:jc w:val="center"/>
                    <w:rPr>
                      <w:rFonts w:hint="default" w:ascii="Times New Roman" w:hAnsi="Times New Roman" w:eastAsia="宋体" w:cs="Times New Roman"/>
                      <w:bCs/>
                      <w:color w:val="auto"/>
                      <w:szCs w:val="21"/>
                      <w:highlight w:val="none"/>
                    </w:rPr>
                  </w:pPr>
                </w:p>
              </w:tc>
              <w:tc>
                <w:tcPr>
                  <w:tcW w:w="770" w:type="pct"/>
                  <w:vMerge w:val="continue"/>
                  <w:tcBorders>
                    <w:tl2br w:val="nil"/>
                    <w:tr2bl w:val="nil"/>
                  </w:tcBorders>
                  <w:vAlign w:val="center"/>
                </w:tcPr>
                <w:p w14:paraId="193B89C1">
                  <w:pPr>
                    <w:adjustRightInd w:val="0"/>
                    <w:snapToGrid w:val="0"/>
                    <w:jc w:val="center"/>
                    <w:rPr>
                      <w:rFonts w:hint="default" w:ascii="Times New Roman" w:hAnsi="Times New Roman" w:eastAsia="宋体" w:cs="Times New Roman"/>
                      <w:bCs/>
                      <w:color w:val="auto"/>
                      <w:szCs w:val="21"/>
                      <w:highlight w:val="none"/>
                    </w:rPr>
                  </w:pPr>
                </w:p>
              </w:tc>
              <w:tc>
                <w:tcPr>
                  <w:tcW w:w="1863" w:type="pct"/>
                  <w:tcBorders>
                    <w:tl2br w:val="nil"/>
                    <w:tr2bl w:val="nil"/>
                  </w:tcBorders>
                  <w:vAlign w:val="center"/>
                </w:tcPr>
                <w:p w14:paraId="2195957B">
                  <w:pPr>
                    <w:snapToGrid w:val="0"/>
                    <w:jc w:val="center"/>
                    <w:rPr>
                      <w:rFonts w:hint="default" w:ascii="Times New Roman" w:hAnsi="Times New Roman" w:eastAsia="宋体" w:cs="Times New Roman"/>
                      <w:color w:val="auto"/>
                      <w:szCs w:val="21"/>
                      <w:highlight w:val="none"/>
                      <w:lang w:val="en-US"/>
                    </w:rPr>
                  </w:pPr>
                  <w:r>
                    <w:rPr>
                      <w:rFonts w:hint="default" w:ascii="Times New Roman" w:hAnsi="Times New Roman" w:eastAsia="宋体" w:cs="Times New Roman"/>
                      <w:color w:val="auto"/>
                      <w:szCs w:val="21"/>
                      <w:highlight w:val="none"/>
                      <w:lang w:eastAsia="zh-CN"/>
                    </w:rPr>
                    <w:t>pH</w:t>
                  </w:r>
                  <w:r>
                    <w:rPr>
                      <w:rFonts w:hint="eastAsia" w:cs="Times New Roman"/>
                      <w:color w:val="auto"/>
                      <w:szCs w:val="21"/>
                      <w:highlight w:val="none"/>
                      <w:lang w:eastAsia="zh-CN"/>
                    </w:rPr>
                    <w:t>、</w:t>
                  </w:r>
                  <w:r>
                    <w:rPr>
                      <w:rFonts w:hint="eastAsia" w:cs="Times New Roman"/>
                      <w:color w:val="auto"/>
                      <w:szCs w:val="21"/>
                      <w:highlight w:val="none"/>
                      <w:lang w:val="en-US" w:eastAsia="zh-CN"/>
                    </w:rPr>
                    <w:t>可溶性固体总量</w:t>
                  </w:r>
                </w:p>
              </w:tc>
              <w:tc>
                <w:tcPr>
                  <w:tcW w:w="859" w:type="pct"/>
                  <w:vMerge w:val="continue"/>
                  <w:tcBorders>
                    <w:tl2br w:val="nil"/>
                    <w:tr2bl w:val="nil"/>
                  </w:tcBorders>
                  <w:vAlign w:val="center"/>
                </w:tcPr>
                <w:p w14:paraId="59981DEF">
                  <w:pPr>
                    <w:adjustRightInd w:val="0"/>
                    <w:snapToGrid w:val="0"/>
                    <w:jc w:val="center"/>
                    <w:rPr>
                      <w:rFonts w:hint="default" w:ascii="Times New Roman" w:hAnsi="Times New Roman" w:eastAsia="宋体" w:cs="Times New Roman"/>
                      <w:bCs/>
                      <w:color w:val="auto"/>
                      <w:szCs w:val="21"/>
                      <w:highlight w:val="none"/>
                    </w:rPr>
                  </w:pPr>
                </w:p>
              </w:tc>
              <w:tc>
                <w:tcPr>
                  <w:tcW w:w="842" w:type="pct"/>
                  <w:tcBorders>
                    <w:tl2br w:val="nil"/>
                    <w:tr2bl w:val="nil"/>
                  </w:tcBorders>
                  <w:vAlign w:val="center"/>
                </w:tcPr>
                <w:p w14:paraId="29C4DEB0">
                  <w:pPr>
                    <w:adjustRightInd w:val="0"/>
                    <w:snapToGrid w:val="0"/>
                    <w:jc w:val="center"/>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每年1次</w:t>
                  </w:r>
                </w:p>
              </w:tc>
            </w:tr>
          </w:tbl>
          <w:p w14:paraId="4BE7B8D8">
            <w:pPr>
              <w:numPr>
                <w:ilvl w:val="0"/>
                <w:numId w:val="19"/>
              </w:numPr>
              <w:adjustRightInd w:val="0"/>
              <w:snapToGrid w:val="0"/>
              <w:spacing w:line="360" w:lineRule="auto"/>
              <w:rPr>
                <w:rFonts w:hint="default" w:ascii="Times New Roman" w:hAnsi="Times New Roman" w:eastAsia="宋体" w:cs="Times New Roman"/>
                <w:b/>
                <w:bCs/>
                <w:color w:val="auto"/>
                <w:spacing w:val="-10"/>
                <w:sz w:val="24"/>
                <w:highlight w:val="none"/>
              </w:rPr>
            </w:pPr>
            <w:r>
              <w:rPr>
                <w:rFonts w:hint="default" w:ascii="Times New Roman" w:hAnsi="Times New Roman" w:eastAsia="宋体" w:cs="Times New Roman"/>
                <w:b/>
                <w:bCs/>
                <w:color w:val="auto"/>
                <w:spacing w:val="-10"/>
                <w:sz w:val="24"/>
                <w:highlight w:val="none"/>
              </w:rPr>
              <w:t>声环境影响分析及环境保护措施</w:t>
            </w:r>
          </w:p>
          <w:p w14:paraId="68B90EC1">
            <w:pPr>
              <w:adjustRightInd w:val="0"/>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（1）噪声源强</w:t>
            </w:r>
          </w:p>
          <w:p w14:paraId="0832F1B2">
            <w:pPr>
              <w:adjustRightInd w:val="0"/>
              <w:spacing w:line="360" w:lineRule="auto"/>
              <w:ind w:firstLine="480" w:firstLineChars="200"/>
              <w:rPr>
                <w:rFonts w:hint="default" w:ascii="Times New Roman" w:hAnsi="Times New Roman" w:eastAsia="宋体" w:cs="Times New Roman"/>
                <w:color w:val="auto"/>
                <w:sz w:val="24"/>
                <w:highlight w:val="none"/>
                <w:lang w:val="zh-CN" w:eastAsia="zh-CN"/>
              </w:rPr>
            </w:pPr>
            <w:r>
              <w:rPr>
                <w:rFonts w:hint="eastAsia" w:ascii="Times New Roman" w:hAnsi="Times New Roman" w:eastAsia="宋体" w:cs="Times New Roman"/>
                <w:color w:val="auto"/>
                <w:sz w:val="24"/>
                <w:highlight w:val="none"/>
                <w:lang w:val="en-US" w:eastAsia="zh-CN"/>
              </w:rPr>
              <w:t>本</w:t>
            </w:r>
            <w:r>
              <w:rPr>
                <w:rFonts w:hint="default" w:ascii="Times New Roman" w:hAnsi="Times New Roman" w:eastAsia="宋体" w:cs="Times New Roman"/>
                <w:color w:val="auto"/>
                <w:sz w:val="24"/>
                <w:highlight w:val="none"/>
                <w:lang w:val="en-US" w:eastAsia="zh-CN"/>
              </w:rPr>
              <w:t>项目噪声源为</w:t>
            </w:r>
            <w:r>
              <w:rPr>
                <w:rFonts w:hint="eastAsia" w:ascii="Times New Roman" w:hAnsi="Times New Roman" w:eastAsia="宋体" w:cs="Times New Roman"/>
                <w:color w:val="auto"/>
                <w:sz w:val="24"/>
                <w:highlight w:val="none"/>
                <w:lang w:val="en-US" w:eastAsia="zh-CN"/>
              </w:rPr>
              <w:t>通风橱风机室内声源</w:t>
            </w:r>
            <w:r>
              <w:rPr>
                <w:rFonts w:hint="eastAsia" w:cs="Times New Roman"/>
                <w:color w:val="auto"/>
                <w:sz w:val="24"/>
                <w:highlight w:val="none"/>
                <w:lang w:val="en-US" w:eastAsia="zh-CN"/>
              </w:rPr>
              <w:t>；</w:t>
            </w:r>
            <w:r>
              <w:rPr>
                <w:rFonts w:hint="eastAsia" w:ascii="Times New Roman" w:hAnsi="Times New Roman" w:eastAsia="宋体" w:cs="Times New Roman"/>
                <w:color w:val="auto"/>
                <w:sz w:val="24"/>
                <w:highlight w:val="none"/>
                <w:lang w:val="en-US" w:eastAsia="zh-CN"/>
              </w:rPr>
              <w:t>空调外机、废气治理设施等室外声源，各噪声源</w:t>
            </w:r>
            <w:r>
              <w:rPr>
                <w:rFonts w:hint="eastAsia" w:cs="Times New Roman"/>
                <w:color w:val="auto"/>
                <w:sz w:val="24"/>
                <w:highlight w:val="none"/>
                <w:lang w:val="en-US" w:eastAsia="zh-CN"/>
              </w:rPr>
              <w:t>清单</w:t>
            </w:r>
            <w:r>
              <w:rPr>
                <w:rFonts w:hint="default" w:ascii="Times New Roman" w:hAnsi="Times New Roman" w:eastAsia="宋体" w:cs="Times New Roman"/>
                <w:color w:val="auto"/>
                <w:sz w:val="24"/>
                <w:highlight w:val="none"/>
                <w:lang w:val="en-US" w:eastAsia="zh-CN"/>
              </w:rPr>
              <w:t>情况详见下表。</w:t>
            </w:r>
          </w:p>
          <w:p w14:paraId="0C2B513F">
            <w:pPr>
              <w:numPr>
                <w:ilvl w:val="0"/>
                <w:numId w:val="21"/>
              </w:numPr>
              <w:adjustRightInd w:val="0"/>
              <w:spacing w:line="360" w:lineRule="auto"/>
              <w:ind w:left="425" w:leftChars="0" w:hanging="425" w:firstLineChars="0"/>
              <w:jc w:val="center"/>
              <w:rPr>
                <w:rFonts w:hint="default" w:ascii="Times New Roman" w:hAnsi="Times New Roman" w:eastAsia="宋体" w:cs="Times New Roman"/>
                <w:b/>
                <w:color w:val="auto"/>
                <w:kern w:val="0"/>
                <w:sz w:val="24"/>
                <w:highlight w:val="none"/>
              </w:rPr>
            </w:pPr>
            <w:r>
              <w:rPr>
                <w:rFonts w:hint="default" w:ascii="Times New Roman" w:hAnsi="Times New Roman" w:eastAsia="宋体" w:cs="Times New Roman"/>
                <w:b/>
                <w:color w:val="auto"/>
                <w:sz w:val="24"/>
                <w:highlight w:val="none"/>
              </w:rPr>
              <w:t>本项目噪声源强调查清单（室外声源）</w:t>
            </w:r>
          </w:p>
          <w:tbl>
            <w:tblPr>
              <w:tblStyle w:val="24"/>
              <w:tblW w:w="7496" w:type="dxa"/>
              <w:tblInd w:w="5" w:type="dxa"/>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274"/>
              <w:gridCol w:w="933"/>
              <w:gridCol w:w="535"/>
              <w:gridCol w:w="748"/>
              <w:gridCol w:w="535"/>
              <w:gridCol w:w="452"/>
              <w:gridCol w:w="499"/>
              <w:gridCol w:w="895"/>
              <w:gridCol w:w="1043"/>
              <w:gridCol w:w="1007"/>
              <w:gridCol w:w="575"/>
            </w:tblGrid>
            <w:tr w14:paraId="7149A13C">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7" w:hRule="atLeast"/>
              </w:trPr>
              <w:tc>
                <w:tcPr>
                  <w:tcW w:w="274" w:type="dxa"/>
                  <w:vMerge w:val="restart"/>
                  <w:tcBorders>
                    <w:tl2br w:val="nil"/>
                    <w:tr2bl w:val="nil"/>
                  </w:tcBorders>
                  <w:vAlign w:val="center"/>
                </w:tcPr>
                <w:p w14:paraId="3C43A7D4">
                  <w:pPr>
                    <w:adjustRightInd w:val="0"/>
                    <w:snapToGri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序号</w:t>
                  </w:r>
                </w:p>
              </w:tc>
              <w:tc>
                <w:tcPr>
                  <w:tcW w:w="933" w:type="dxa"/>
                  <w:vMerge w:val="restart"/>
                  <w:tcBorders>
                    <w:tl2br w:val="nil"/>
                    <w:tr2bl w:val="nil"/>
                  </w:tcBorders>
                  <w:vAlign w:val="center"/>
                </w:tcPr>
                <w:p w14:paraId="1DB97CC7">
                  <w:pPr>
                    <w:adjustRightInd w:val="0"/>
                    <w:snapToGri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声源名称</w:t>
                  </w:r>
                </w:p>
              </w:tc>
              <w:tc>
                <w:tcPr>
                  <w:tcW w:w="535" w:type="dxa"/>
                  <w:vMerge w:val="restart"/>
                  <w:tcBorders>
                    <w:tl2br w:val="nil"/>
                    <w:tr2bl w:val="nil"/>
                  </w:tcBorders>
                  <w:vAlign w:val="center"/>
                </w:tcPr>
                <w:p w14:paraId="3F325A37">
                  <w:pPr>
                    <w:adjustRightInd w:val="0"/>
                    <w:snapToGrid w:val="0"/>
                    <w:jc w:val="center"/>
                    <w:rPr>
                      <w:rFonts w:hint="eastAsia" w:ascii="Times New Roman" w:hAnsi="Times New Roman" w:eastAsia="宋体" w:cs="Times New Roman"/>
                      <w:b/>
                      <w:bCs/>
                      <w:color w:val="auto"/>
                      <w:szCs w:val="21"/>
                      <w:highlight w:val="none"/>
                      <w:lang w:val="en-US" w:eastAsia="zh-CN"/>
                    </w:rPr>
                  </w:pPr>
                  <w:r>
                    <w:rPr>
                      <w:rFonts w:hint="eastAsia" w:cs="Times New Roman"/>
                      <w:b/>
                      <w:bCs/>
                      <w:color w:val="auto"/>
                      <w:szCs w:val="21"/>
                      <w:highlight w:val="none"/>
                      <w:lang w:val="en-US" w:eastAsia="zh-CN"/>
                    </w:rPr>
                    <w:t>数量</w:t>
                  </w:r>
                </w:p>
              </w:tc>
              <w:tc>
                <w:tcPr>
                  <w:tcW w:w="748" w:type="dxa"/>
                  <w:vMerge w:val="restart"/>
                  <w:tcBorders>
                    <w:tl2br w:val="nil"/>
                    <w:tr2bl w:val="nil"/>
                  </w:tcBorders>
                  <w:vAlign w:val="center"/>
                </w:tcPr>
                <w:p w14:paraId="761A8D25">
                  <w:pPr>
                    <w:adjustRightInd w:val="0"/>
                    <w:snapToGrid w:val="0"/>
                    <w:jc w:val="center"/>
                    <w:rPr>
                      <w:rFonts w:hint="eastAsia" w:ascii="Times New Roman" w:hAnsi="Times New Roman" w:eastAsia="宋体" w:cs="Times New Roman"/>
                      <w:b/>
                      <w:bCs/>
                      <w:color w:val="auto"/>
                      <w:szCs w:val="21"/>
                      <w:highlight w:val="none"/>
                      <w:lang w:val="en-US" w:eastAsia="zh-CN"/>
                    </w:rPr>
                  </w:pPr>
                  <w:r>
                    <w:rPr>
                      <w:rFonts w:hint="eastAsia" w:cs="Times New Roman"/>
                      <w:b/>
                      <w:bCs/>
                      <w:color w:val="auto"/>
                      <w:szCs w:val="21"/>
                      <w:highlight w:val="none"/>
                      <w:lang w:val="en-US" w:eastAsia="zh-CN"/>
                    </w:rPr>
                    <w:t>位置</w:t>
                  </w:r>
                </w:p>
              </w:tc>
              <w:tc>
                <w:tcPr>
                  <w:tcW w:w="1486" w:type="dxa"/>
                  <w:gridSpan w:val="3"/>
                  <w:tcBorders>
                    <w:tl2br w:val="nil"/>
                    <w:tr2bl w:val="nil"/>
                  </w:tcBorders>
                  <w:vAlign w:val="center"/>
                </w:tcPr>
                <w:p w14:paraId="73AEC38F">
                  <w:pPr>
                    <w:adjustRightInd w:val="0"/>
                    <w:snapToGri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空间相对位置/m</w:t>
                  </w:r>
                </w:p>
              </w:tc>
              <w:tc>
                <w:tcPr>
                  <w:tcW w:w="895" w:type="dxa"/>
                  <w:vMerge w:val="restart"/>
                  <w:tcBorders>
                    <w:tl2br w:val="nil"/>
                    <w:tr2bl w:val="nil"/>
                  </w:tcBorders>
                  <w:vAlign w:val="center"/>
                </w:tcPr>
                <w:p w14:paraId="785710DA">
                  <w:pPr>
                    <w:adjustRightInd w:val="0"/>
                    <w:snapToGri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声功率级/dB(A)</w:t>
                  </w:r>
                </w:p>
              </w:tc>
              <w:tc>
                <w:tcPr>
                  <w:tcW w:w="1043" w:type="dxa"/>
                  <w:vMerge w:val="restart"/>
                  <w:tcBorders>
                    <w:tl2br w:val="nil"/>
                    <w:tr2bl w:val="nil"/>
                  </w:tcBorders>
                  <w:vAlign w:val="center"/>
                </w:tcPr>
                <w:p w14:paraId="4581F048">
                  <w:pPr>
                    <w:adjustRightInd w:val="0"/>
                    <w:snapToGri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声源控制措施</w:t>
                  </w:r>
                </w:p>
              </w:tc>
              <w:tc>
                <w:tcPr>
                  <w:tcW w:w="1007" w:type="dxa"/>
                  <w:vMerge w:val="restart"/>
                  <w:tcBorders>
                    <w:tl2br w:val="nil"/>
                    <w:tr2bl w:val="nil"/>
                  </w:tcBorders>
                  <w:vAlign w:val="center"/>
                </w:tcPr>
                <w:p w14:paraId="53576C5D">
                  <w:pPr>
                    <w:adjustRightInd w:val="0"/>
                    <w:snapToGrid w:val="0"/>
                    <w:jc w:val="center"/>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排放强度</w:t>
                  </w:r>
                  <w:r>
                    <w:rPr>
                      <w:rFonts w:hint="default" w:ascii="Times New Roman" w:hAnsi="Times New Roman" w:eastAsia="宋体" w:cs="Times New Roman"/>
                      <w:b/>
                      <w:bCs/>
                      <w:color w:val="auto"/>
                      <w:szCs w:val="21"/>
                      <w:highlight w:val="none"/>
                    </w:rPr>
                    <w:t>/dB(A)</w:t>
                  </w:r>
                </w:p>
              </w:tc>
              <w:tc>
                <w:tcPr>
                  <w:tcW w:w="575" w:type="dxa"/>
                  <w:vMerge w:val="restart"/>
                  <w:tcBorders>
                    <w:tl2br w:val="nil"/>
                    <w:tr2bl w:val="nil"/>
                  </w:tcBorders>
                  <w:shd w:val="clear" w:color="auto" w:fill="auto"/>
                  <w:vAlign w:val="center"/>
                </w:tcPr>
                <w:p w14:paraId="2FB7C399">
                  <w:pPr>
                    <w:adjustRightInd w:val="0"/>
                    <w:snapToGri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运行时段</w:t>
                  </w:r>
                </w:p>
              </w:tc>
            </w:tr>
            <w:tr w14:paraId="0EF578A4">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72" w:hRule="atLeast"/>
              </w:trPr>
              <w:tc>
                <w:tcPr>
                  <w:tcW w:w="274" w:type="dxa"/>
                  <w:vMerge w:val="continue"/>
                  <w:tcBorders>
                    <w:tl2br w:val="nil"/>
                    <w:tr2bl w:val="nil"/>
                  </w:tcBorders>
                  <w:vAlign w:val="center"/>
                </w:tcPr>
                <w:p w14:paraId="4BC0A7E4">
                  <w:pPr>
                    <w:adjustRightInd w:val="0"/>
                    <w:snapToGrid w:val="0"/>
                    <w:jc w:val="center"/>
                    <w:rPr>
                      <w:rFonts w:hint="default" w:ascii="Times New Roman" w:hAnsi="Times New Roman" w:eastAsia="宋体" w:cs="Times New Roman"/>
                      <w:b/>
                      <w:bCs/>
                      <w:color w:val="auto"/>
                      <w:szCs w:val="21"/>
                      <w:highlight w:val="none"/>
                    </w:rPr>
                  </w:pPr>
                </w:p>
              </w:tc>
              <w:tc>
                <w:tcPr>
                  <w:tcW w:w="933" w:type="dxa"/>
                  <w:vMerge w:val="continue"/>
                  <w:tcBorders>
                    <w:tl2br w:val="nil"/>
                    <w:tr2bl w:val="nil"/>
                  </w:tcBorders>
                  <w:vAlign w:val="center"/>
                </w:tcPr>
                <w:p w14:paraId="7DFBF34A">
                  <w:pPr>
                    <w:adjustRightInd w:val="0"/>
                    <w:snapToGrid w:val="0"/>
                    <w:jc w:val="center"/>
                    <w:rPr>
                      <w:rFonts w:hint="default" w:ascii="Times New Roman" w:hAnsi="Times New Roman" w:eastAsia="宋体" w:cs="Times New Roman"/>
                      <w:b/>
                      <w:bCs/>
                      <w:color w:val="auto"/>
                      <w:szCs w:val="21"/>
                      <w:highlight w:val="none"/>
                    </w:rPr>
                  </w:pPr>
                </w:p>
              </w:tc>
              <w:tc>
                <w:tcPr>
                  <w:tcW w:w="535" w:type="dxa"/>
                  <w:vMerge w:val="continue"/>
                  <w:tcBorders>
                    <w:tl2br w:val="nil"/>
                    <w:tr2bl w:val="nil"/>
                  </w:tcBorders>
                  <w:vAlign w:val="center"/>
                </w:tcPr>
                <w:p w14:paraId="1A3138FF">
                  <w:pPr>
                    <w:adjustRightInd w:val="0"/>
                    <w:snapToGrid w:val="0"/>
                    <w:jc w:val="center"/>
                    <w:rPr>
                      <w:rFonts w:hint="default" w:ascii="Times New Roman" w:hAnsi="Times New Roman" w:eastAsia="宋体" w:cs="Times New Roman"/>
                      <w:b/>
                      <w:bCs/>
                      <w:color w:val="auto"/>
                      <w:szCs w:val="21"/>
                      <w:highlight w:val="none"/>
                    </w:rPr>
                  </w:pPr>
                </w:p>
              </w:tc>
              <w:tc>
                <w:tcPr>
                  <w:tcW w:w="748" w:type="dxa"/>
                  <w:vMerge w:val="continue"/>
                  <w:tcBorders>
                    <w:tl2br w:val="nil"/>
                    <w:tr2bl w:val="nil"/>
                  </w:tcBorders>
                  <w:vAlign w:val="center"/>
                </w:tcPr>
                <w:p w14:paraId="1AE70485">
                  <w:pPr>
                    <w:adjustRightInd w:val="0"/>
                    <w:snapToGrid w:val="0"/>
                    <w:jc w:val="center"/>
                    <w:rPr>
                      <w:rFonts w:hint="default" w:ascii="Times New Roman" w:hAnsi="Times New Roman" w:eastAsia="宋体" w:cs="Times New Roman"/>
                      <w:b/>
                      <w:bCs/>
                      <w:color w:val="auto"/>
                      <w:szCs w:val="21"/>
                      <w:highlight w:val="none"/>
                    </w:rPr>
                  </w:pPr>
                </w:p>
              </w:tc>
              <w:tc>
                <w:tcPr>
                  <w:tcW w:w="535" w:type="dxa"/>
                  <w:tcBorders>
                    <w:tl2br w:val="nil"/>
                    <w:tr2bl w:val="nil"/>
                  </w:tcBorders>
                  <w:vAlign w:val="center"/>
                </w:tcPr>
                <w:p w14:paraId="7F0192E4">
                  <w:pPr>
                    <w:adjustRightInd w:val="0"/>
                    <w:snapToGri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X</w:t>
                  </w:r>
                </w:p>
              </w:tc>
              <w:tc>
                <w:tcPr>
                  <w:tcW w:w="452" w:type="dxa"/>
                  <w:tcBorders>
                    <w:tl2br w:val="nil"/>
                    <w:tr2bl w:val="nil"/>
                  </w:tcBorders>
                  <w:vAlign w:val="center"/>
                </w:tcPr>
                <w:p w14:paraId="5D220738">
                  <w:pPr>
                    <w:adjustRightInd w:val="0"/>
                    <w:snapToGri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Y</w:t>
                  </w:r>
                </w:p>
              </w:tc>
              <w:tc>
                <w:tcPr>
                  <w:tcW w:w="499" w:type="dxa"/>
                  <w:tcBorders>
                    <w:tl2br w:val="nil"/>
                    <w:tr2bl w:val="nil"/>
                  </w:tcBorders>
                  <w:vAlign w:val="center"/>
                </w:tcPr>
                <w:p w14:paraId="7FC47D4F">
                  <w:pPr>
                    <w:adjustRightInd w:val="0"/>
                    <w:snapToGri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Z</w:t>
                  </w:r>
                </w:p>
              </w:tc>
              <w:tc>
                <w:tcPr>
                  <w:tcW w:w="895" w:type="dxa"/>
                  <w:vMerge w:val="continue"/>
                  <w:tcBorders>
                    <w:tl2br w:val="nil"/>
                    <w:tr2bl w:val="nil"/>
                  </w:tcBorders>
                  <w:vAlign w:val="center"/>
                </w:tcPr>
                <w:p w14:paraId="2A43C3A8">
                  <w:pPr>
                    <w:adjustRightInd w:val="0"/>
                    <w:snapToGrid w:val="0"/>
                    <w:jc w:val="center"/>
                    <w:rPr>
                      <w:rFonts w:hint="default" w:ascii="Times New Roman" w:hAnsi="Times New Roman" w:eastAsia="宋体" w:cs="Times New Roman"/>
                      <w:b/>
                      <w:bCs/>
                      <w:color w:val="auto"/>
                      <w:szCs w:val="21"/>
                      <w:highlight w:val="none"/>
                    </w:rPr>
                  </w:pPr>
                </w:p>
              </w:tc>
              <w:tc>
                <w:tcPr>
                  <w:tcW w:w="1043" w:type="dxa"/>
                  <w:vMerge w:val="continue"/>
                  <w:tcBorders>
                    <w:tl2br w:val="nil"/>
                    <w:tr2bl w:val="nil"/>
                  </w:tcBorders>
                  <w:vAlign w:val="center"/>
                </w:tcPr>
                <w:p w14:paraId="6CFADE26">
                  <w:pPr>
                    <w:adjustRightInd w:val="0"/>
                    <w:snapToGrid w:val="0"/>
                    <w:jc w:val="center"/>
                    <w:rPr>
                      <w:rFonts w:hint="default" w:ascii="Times New Roman" w:hAnsi="Times New Roman" w:eastAsia="宋体" w:cs="Times New Roman"/>
                      <w:b/>
                      <w:bCs/>
                      <w:color w:val="auto"/>
                      <w:szCs w:val="21"/>
                      <w:highlight w:val="none"/>
                    </w:rPr>
                  </w:pPr>
                </w:p>
              </w:tc>
              <w:tc>
                <w:tcPr>
                  <w:tcW w:w="1007" w:type="dxa"/>
                  <w:vMerge w:val="continue"/>
                  <w:tcBorders>
                    <w:tl2br w:val="nil"/>
                    <w:tr2bl w:val="nil"/>
                  </w:tcBorders>
                  <w:vAlign w:val="center"/>
                </w:tcPr>
                <w:p w14:paraId="44E7D38B">
                  <w:pPr>
                    <w:adjustRightInd w:val="0"/>
                    <w:snapToGrid w:val="0"/>
                    <w:jc w:val="center"/>
                    <w:rPr>
                      <w:rFonts w:hint="default" w:ascii="Times New Roman" w:hAnsi="Times New Roman" w:eastAsia="宋体" w:cs="Times New Roman"/>
                      <w:b/>
                      <w:bCs/>
                      <w:color w:val="auto"/>
                      <w:szCs w:val="21"/>
                      <w:highlight w:val="none"/>
                    </w:rPr>
                  </w:pPr>
                </w:p>
              </w:tc>
              <w:tc>
                <w:tcPr>
                  <w:tcW w:w="575" w:type="dxa"/>
                  <w:vMerge w:val="continue"/>
                  <w:tcBorders>
                    <w:tl2br w:val="nil"/>
                    <w:tr2bl w:val="nil"/>
                  </w:tcBorders>
                  <w:vAlign w:val="center"/>
                </w:tcPr>
                <w:p w14:paraId="27A1A55A">
                  <w:pPr>
                    <w:adjustRightInd w:val="0"/>
                    <w:snapToGrid w:val="0"/>
                    <w:jc w:val="center"/>
                    <w:rPr>
                      <w:rFonts w:hint="default" w:ascii="Times New Roman" w:hAnsi="Times New Roman" w:eastAsia="宋体" w:cs="Times New Roman"/>
                      <w:b/>
                      <w:bCs/>
                      <w:color w:val="auto"/>
                      <w:szCs w:val="21"/>
                      <w:highlight w:val="none"/>
                    </w:rPr>
                  </w:pPr>
                </w:p>
              </w:tc>
            </w:tr>
            <w:tr w14:paraId="4E8C5B11">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96" w:hRule="atLeast"/>
              </w:trPr>
              <w:tc>
                <w:tcPr>
                  <w:tcW w:w="274" w:type="dxa"/>
                  <w:tcBorders>
                    <w:tl2br w:val="nil"/>
                    <w:tr2bl w:val="nil"/>
                  </w:tcBorders>
                  <w:vAlign w:val="center"/>
                </w:tcPr>
                <w:p w14:paraId="67243493">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1</w:t>
                  </w:r>
                </w:p>
              </w:tc>
              <w:tc>
                <w:tcPr>
                  <w:tcW w:w="933" w:type="dxa"/>
                  <w:tcBorders>
                    <w:tl2br w:val="nil"/>
                    <w:tr2bl w:val="nil"/>
                  </w:tcBorders>
                  <w:shd w:val="clear" w:color="auto" w:fill="FFFFFF"/>
                  <w:vAlign w:val="center"/>
                </w:tcPr>
                <w:p w14:paraId="49C7BE19">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空调外机</w:t>
                  </w:r>
                </w:p>
              </w:tc>
              <w:tc>
                <w:tcPr>
                  <w:tcW w:w="535" w:type="dxa"/>
                  <w:tcBorders>
                    <w:tl2br w:val="nil"/>
                    <w:tr2bl w:val="nil"/>
                  </w:tcBorders>
                  <w:shd w:val="clear" w:color="auto" w:fill="FFFFFF"/>
                  <w:vAlign w:val="center"/>
                </w:tcPr>
                <w:p w14:paraId="624BF741">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1</w:t>
                  </w:r>
                </w:p>
              </w:tc>
              <w:tc>
                <w:tcPr>
                  <w:tcW w:w="748" w:type="dxa"/>
                  <w:tcBorders>
                    <w:tl2br w:val="nil"/>
                    <w:tr2bl w:val="nil"/>
                  </w:tcBorders>
                  <w:shd w:val="clear" w:color="auto" w:fill="FFFFFF"/>
                  <w:vAlign w:val="center"/>
                </w:tcPr>
                <w:p w14:paraId="2BB7835B">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楼顶</w:t>
                  </w:r>
                </w:p>
              </w:tc>
              <w:tc>
                <w:tcPr>
                  <w:tcW w:w="535" w:type="dxa"/>
                  <w:tcBorders>
                    <w:tl2br w:val="nil"/>
                    <w:tr2bl w:val="nil"/>
                  </w:tcBorders>
                  <w:shd w:val="clear" w:color="auto" w:fill="FFFFFF"/>
                  <w:vAlign w:val="center"/>
                </w:tcPr>
                <w:p w14:paraId="5136C99A">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4.7</w:t>
                  </w:r>
                </w:p>
              </w:tc>
              <w:tc>
                <w:tcPr>
                  <w:tcW w:w="452" w:type="dxa"/>
                  <w:tcBorders>
                    <w:tl2br w:val="nil"/>
                    <w:tr2bl w:val="nil"/>
                  </w:tcBorders>
                  <w:shd w:val="clear" w:color="auto" w:fill="FFFFFF"/>
                  <w:vAlign w:val="center"/>
                </w:tcPr>
                <w:p w14:paraId="05749639">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-3.5</w:t>
                  </w:r>
                </w:p>
              </w:tc>
              <w:tc>
                <w:tcPr>
                  <w:tcW w:w="499" w:type="dxa"/>
                  <w:tcBorders>
                    <w:tl2br w:val="nil"/>
                    <w:tr2bl w:val="nil"/>
                  </w:tcBorders>
                  <w:shd w:val="clear" w:color="auto" w:fill="FFFFFF"/>
                  <w:vAlign w:val="center"/>
                </w:tcPr>
                <w:p w14:paraId="0F4093E7">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26.5</w:t>
                  </w:r>
                </w:p>
              </w:tc>
              <w:tc>
                <w:tcPr>
                  <w:tcW w:w="895" w:type="dxa"/>
                  <w:tcBorders>
                    <w:tl2br w:val="nil"/>
                    <w:tr2bl w:val="nil"/>
                  </w:tcBorders>
                  <w:shd w:val="clear" w:color="auto" w:fill="auto"/>
                  <w:vAlign w:val="center"/>
                </w:tcPr>
                <w:p w14:paraId="1D285905">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75</w:t>
                  </w:r>
                </w:p>
              </w:tc>
              <w:tc>
                <w:tcPr>
                  <w:tcW w:w="1043" w:type="dxa"/>
                  <w:vMerge w:val="restart"/>
                  <w:tcBorders>
                    <w:tl2br w:val="nil"/>
                    <w:tr2bl w:val="nil"/>
                  </w:tcBorders>
                  <w:vAlign w:val="center"/>
                </w:tcPr>
                <w:p w14:paraId="7204D532">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选用低噪声设备、减振等措施</w:t>
                  </w:r>
                </w:p>
              </w:tc>
              <w:tc>
                <w:tcPr>
                  <w:tcW w:w="1007" w:type="dxa"/>
                  <w:tcBorders>
                    <w:tl2br w:val="nil"/>
                    <w:tr2bl w:val="nil"/>
                  </w:tcBorders>
                  <w:vAlign w:val="center"/>
                </w:tcPr>
                <w:p w14:paraId="01E3F6BA">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eastAsia" w:ascii="Times New Roman" w:hAnsi="Times New Roman" w:eastAsia="宋体" w:cs="Times New Roman"/>
                      <w:b w:val="0"/>
                      <w:bCs w:val="0"/>
                      <w:color w:val="auto"/>
                      <w:szCs w:val="21"/>
                      <w:highlight w:val="none"/>
                      <w:lang w:val="en-US" w:eastAsia="zh-CN"/>
                    </w:rPr>
                    <w:t>6</w:t>
                  </w:r>
                  <w:r>
                    <w:rPr>
                      <w:rFonts w:hint="default" w:ascii="Times New Roman" w:hAnsi="Times New Roman" w:eastAsia="宋体" w:cs="Times New Roman"/>
                      <w:b w:val="0"/>
                      <w:bCs w:val="0"/>
                      <w:color w:val="auto"/>
                      <w:szCs w:val="21"/>
                      <w:highlight w:val="none"/>
                      <w:lang w:val="en-US" w:eastAsia="zh-CN"/>
                    </w:rPr>
                    <w:t>5</w:t>
                  </w:r>
                </w:p>
              </w:tc>
              <w:tc>
                <w:tcPr>
                  <w:tcW w:w="575" w:type="dxa"/>
                  <w:vMerge w:val="restart"/>
                  <w:tcBorders>
                    <w:tl2br w:val="nil"/>
                    <w:tr2bl w:val="nil"/>
                  </w:tcBorders>
                  <w:vAlign w:val="center"/>
                </w:tcPr>
                <w:p w14:paraId="2A31E047">
                  <w:pPr>
                    <w:kinsoku w:val="0"/>
                    <w:overflowPunct w:val="0"/>
                    <w:autoSpaceDE w:val="0"/>
                    <w:autoSpaceDN w:val="0"/>
                    <w:adjustRightInd w:val="0"/>
                    <w:snapToGrid w:val="0"/>
                    <w:jc w:val="center"/>
                    <w:rPr>
                      <w:rFonts w:hint="eastAsia"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昼间</w:t>
                  </w:r>
                </w:p>
                <w:p w14:paraId="2918956E">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运行</w:t>
                  </w:r>
                </w:p>
              </w:tc>
            </w:tr>
            <w:tr w14:paraId="437D1B4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601" w:hRule="atLeast"/>
              </w:trPr>
              <w:tc>
                <w:tcPr>
                  <w:tcW w:w="274" w:type="dxa"/>
                  <w:tcBorders>
                    <w:tl2br w:val="nil"/>
                    <w:tr2bl w:val="nil"/>
                  </w:tcBorders>
                  <w:vAlign w:val="center"/>
                </w:tcPr>
                <w:p w14:paraId="047185C3">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eastAsia" w:ascii="Times New Roman" w:hAnsi="Times New Roman" w:eastAsia="宋体" w:cs="Times New Roman"/>
                      <w:b w:val="0"/>
                      <w:bCs w:val="0"/>
                      <w:color w:val="auto"/>
                      <w:szCs w:val="21"/>
                      <w:highlight w:val="none"/>
                      <w:lang w:val="en-US" w:eastAsia="zh-CN"/>
                    </w:rPr>
                    <w:t>2</w:t>
                  </w:r>
                </w:p>
              </w:tc>
              <w:tc>
                <w:tcPr>
                  <w:tcW w:w="933" w:type="dxa"/>
                  <w:tcBorders>
                    <w:tl2br w:val="nil"/>
                    <w:tr2bl w:val="nil"/>
                  </w:tcBorders>
                  <w:shd w:val="clear" w:color="auto" w:fill="FFFFFF"/>
                  <w:vAlign w:val="center"/>
                </w:tcPr>
                <w:p w14:paraId="4949EDE9">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废气治理设施</w:t>
                  </w:r>
                </w:p>
              </w:tc>
              <w:tc>
                <w:tcPr>
                  <w:tcW w:w="535" w:type="dxa"/>
                  <w:tcBorders>
                    <w:tl2br w:val="nil"/>
                    <w:tr2bl w:val="nil"/>
                  </w:tcBorders>
                  <w:shd w:val="clear" w:color="auto" w:fill="FFFFFF"/>
                  <w:vAlign w:val="center"/>
                </w:tcPr>
                <w:p w14:paraId="5FC1EDEC">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1</w:t>
                  </w:r>
                </w:p>
              </w:tc>
              <w:tc>
                <w:tcPr>
                  <w:tcW w:w="748" w:type="dxa"/>
                  <w:tcBorders>
                    <w:tl2br w:val="nil"/>
                    <w:tr2bl w:val="nil"/>
                  </w:tcBorders>
                  <w:shd w:val="clear" w:color="auto" w:fill="FFFFFF"/>
                  <w:vAlign w:val="center"/>
                </w:tcPr>
                <w:p w14:paraId="0EE2FB8D">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楼顶</w:t>
                  </w:r>
                </w:p>
              </w:tc>
              <w:tc>
                <w:tcPr>
                  <w:tcW w:w="535" w:type="dxa"/>
                  <w:tcBorders>
                    <w:tl2br w:val="nil"/>
                    <w:tr2bl w:val="nil"/>
                  </w:tcBorders>
                  <w:shd w:val="clear" w:color="auto" w:fill="FFFFFF"/>
                  <w:vAlign w:val="center"/>
                </w:tcPr>
                <w:p w14:paraId="480C64F0">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3.2</w:t>
                  </w:r>
                </w:p>
              </w:tc>
              <w:tc>
                <w:tcPr>
                  <w:tcW w:w="452" w:type="dxa"/>
                  <w:tcBorders>
                    <w:tl2br w:val="nil"/>
                    <w:tr2bl w:val="nil"/>
                  </w:tcBorders>
                  <w:shd w:val="clear" w:color="auto" w:fill="FFFFFF"/>
                  <w:vAlign w:val="center"/>
                </w:tcPr>
                <w:p w14:paraId="6A3D60D6">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1.4</w:t>
                  </w:r>
                </w:p>
              </w:tc>
              <w:tc>
                <w:tcPr>
                  <w:tcW w:w="499" w:type="dxa"/>
                  <w:tcBorders>
                    <w:tl2br w:val="nil"/>
                    <w:tr2bl w:val="nil"/>
                  </w:tcBorders>
                  <w:shd w:val="clear" w:color="auto" w:fill="FFFFFF"/>
                  <w:vAlign w:val="center"/>
                </w:tcPr>
                <w:p w14:paraId="38619A62">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26.5</w:t>
                  </w:r>
                </w:p>
              </w:tc>
              <w:tc>
                <w:tcPr>
                  <w:tcW w:w="895" w:type="dxa"/>
                  <w:tcBorders>
                    <w:tl2br w:val="nil"/>
                    <w:tr2bl w:val="nil"/>
                  </w:tcBorders>
                  <w:shd w:val="clear" w:color="auto" w:fill="auto"/>
                  <w:vAlign w:val="center"/>
                </w:tcPr>
                <w:p w14:paraId="0C068DA6">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75</w:t>
                  </w:r>
                </w:p>
              </w:tc>
              <w:tc>
                <w:tcPr>
                  <w:tcW w:w="1043" w:type="dxa"/>
                  <w:vMerge w:val="continue"/>
                  <w:tcBorders>
                    <w:tl2br w:val="nil"/>
                    <w:tr2bl w:val="nil"/>
                  </w:tcBorders>
                  <w:vAlign w:val="center"/>
                </w:tcPr>
                <w:p w14:paraId="7A82CB91">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c>
                <w:tcPr>
                  <w:tcW w:w="1007" w:type="dxa"/>
                  <w:tcBorders>
                    <w:tl2br w:val="nil"/>
                    <w:tr2bl w:val="nil"/>
                  </w:tcBorders>
                  <w:vAlign w:val="center"/>
                </w:tcPr>
                <w:p w14:paraId="33AA78D4">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eastAsia" w:ascii="Times New Roman" w:hAnsi="Times New Roman" w:eastAsia="宋体" w:cs="Times New Roman"/>
                      <w:b w:val="0"/>
                      <w:bCs w:val="0"/>
                      <w:color w:val="auto"/>
                      <w:szCs w:val="21"/>
                      <w:highlight w:val="none"/>
                      <w:lang w:val="en-US" w:eastAsia="zh-CN"/>
                    </w:rPr>
                    <w:t>65</w:t>
                  </w:r>
                </w:p>
              </w:tc>
              <w:tc>
                <w:tcPr>
                  <w:tcW w:w="575" w:type="dxa"/>
                  <w:vMerge w:val="continue"/>
                  <w:tcBorders>
                    <w:tl2br w:val="nil"/>
                    <w:tr2bl w:val="nil"/>
                  </w:tcBorders>
                  <w:vAlign w:val="center"/>
                </w:tcPr>
                <w:p w14:paraId="551D934A">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r>
            <w:tr w14:paraId="2FADC579">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601" w:hRule="atLeast"/>
              </w:trPr>
              <w:tc>
                <w:tcPr>
                  <w:tcW w:w="7496" w:type="dxa"/>
                  <w:gridSpan w:val="11"/>
                  <w:tcBorders>
                    <w:tl2br w:val="nil"/>
                    <w:tr2bl w:val="nil"/>
                  </w:tcBorders>
                  <w:vAlign w:val="center"/>
                </w:tcPr>
                <w:p w14:paraId="3AB7B270">
                  <w:pPr>
                    <w:kinsoku w:val="0"/>
                    <w:overflowPunct w:val="0"/>
                    <w:autoSpaceDE w:val="0"/>
                    <w:autoSpaceDN w:val="0"/>
                    <w:adjustRightInd w:val="0"/>
                    <w:snapToGrid w:val="0"/>
                    <w:jc w:val="both"/>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color w:val="auto"/>
                      <w:sz w:val="21"/>
                      <w:szCs w:val="21"/>
                      <w:lang w:val="en-US" w:eastAsia="zh-CN"/>
                    </w:rPr>
                    <w:t>表中坐标以厂界中心（</w:t>
                  </w:r>
                  <w:bookmarkStart w:id="2" w:name="PO_6"/>
                  <w:r>
                    <w:rPr>
                      <w:rFonts w:hint="default" w:ascii="Times New Roman" w:hAnsi="Times New Roman" w:cs="Times New Roman" w:eastAsiaTheme="minorEastAsia"/>
                      <w:b w:val="0"/>
                      <w:bCs/>
                      <w:color w:val="auto"/>
                      <w:sz w:val="21"/>
                      <w:szCs w:val="21"/>
                      <w:lang w:val="en-US" w:eastAsia="zh-CN"/>
                    </w:rPr>
                    <w:t>116.553871</w:t>
                  </w:r>
                  <w:r>
                    <w:rPr>
                      <w:rFonts w:hint="eastAsia" w:ascii="Times New Roman" w:hAnsi="Times New Roman" w:cs="Times New Roman" w:eastAsiaTheme="minorEastAsia"/>
                      <w:b w:val="0"/>
                      <w:bCs/>
                      <w:color w:val="auto"/>
                      <w:sz w:val="21"/>
                      <w:szCs w:val="21"/>
                      <w:lang w:val="en-US" w:eastAsia="zh-CN"/>
                    </w:rPr>
                    <w:t>，</w:t>
                  </w:r>
                  <w:r>
                    <w:rPr>
                      <w:rFonts w:hint="default" w:ascii="Times New Roman" w:hAnsi="Times New Roman" w:cs="Times New Roman" w:eastAsiaTheme="minorEastAsia"/>
                      <w:b w:val="0"/>
                      <w:bCs/>
                      <w:color w:val="auto"/>
                      <w:sz w:val="21"/>
                      <w:szCs w:val="21"/>
                      <w:lang w:val="en-US" w:eastAsia="zh-CN"/>
                    </w:rPr>
                    <w:t>39.743351</w:t>
                  </w:r>
                  <w:bookmarkEnd w:id="2"/>
                  <w:r>
                    <w:rPr>
                      <w:rFonts w:hint="default" w:ascii="Times New Roman" w:hAnsi="Times New Roman" w:eastAsia="宋体" w:cs="Times New Roman"/>
                      <w:b w:val="0"/>
                      <w:bCs/>
                      <w:color w:val="auto"/>
                      <w:sz w:val="21"/>
                      <w:szCs w:val="21"/>
                      <w:lang w:val="en-US" w:eastAsia="zh-CN"/>
                    </w:rPr>
                    <w:t>）为坐标原点，正东向为X轴正方向，正北向为Y轴正方向。</w:t>
                  </w:r>
                </w:p>
              </w:tc>
            </w:tr>
          </w:tbl>
          <w:p w14:paraId="09507E7B">
            <w:pPr>
              <w:numPr>
                <w:ilvl w:val="0"/>
                <w:numId w:val="21"/>
              </w:numPr>
              <w:adjustRightInd w:val="0"/>
              <w:spacing w:line="360" w:lineRule="auto"/>
              <w:ind w:left="425" w:leftChars="0" w:hanging="425" w:firstLineChars="0"/>
              <w:jc w:val="center"/>
              <w:rPr>
                <w:rFonts w:hint="default" w:ascii="Times New Roman" w:hAnsi="Times New Roman" w:eastAsia="宋体" w:cs="Times New Roman"/>
                <w:b/>
                <w:color w:val="auto"/>
                <w:kern w:val="0"/>
                <w:sz w:val="24"/>
                <w:highlight w:val="none"/>
              </w:rPr>
            </w:pPr>
            <w:r>
              <w:rPr>
                <w:rFonts w:hint="default" w:ascii="Times New Roman" w:hAnsi="Times New Roman" w:eastAsia="宋体" w:cs="Times New Roman"/>
                <w:b/>
                <w:color w:val="auto"/>
                <w:sz w:val="24"/>
                <w:highlight w:val="none"/>
              </w:rPr>
              <w:t>本项目噪声源强调查清单（室内声源）</w:t>
            </w:r>
          </w:p>
          <w:tbl>
            <w:tblPr>
              <w:tblStyle w:val="50"/>
              <w:tblW w:w="7636" w:type="dxa"/>
              <w:jc w:val="center"/>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290"/>
              <w:gridCol w:w="1329"/>
              <w:gridCol w:w="696"/>
              <w:gridCol w:w="971"/>
              <w:gridCol w:w="683"/>
              <w:gridCol w:w="461"/>
              <w:gridCol w:w="425"/>
              <w:gridCol w:w="406"/>
              <w:gridCol w:w="895"/>
              <w:gridCol w:w="982"/>
              <w:gridCol w:w="498"/>
            </w:tblGrid>
            <w:tr w14:paraId="049E4A47">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cantSplit/>
                <w:trHeight w:val="580" w:hRule="atLeast"/>
                <w:jc w:val="center"/>
              </w:trPr>
              <w:tc>
                <w:tcPr>
                  <w:tcW w:w="290" w:type="dxa"/>
                  <w:vMerge w:val="restart"/>
                  <w:tcBorders>
                    <w:tl2br w:val="nil"/>
                    <w:tr2bl w:val="nil"/>
                  </w:tcBorders>
                  <w:vAlign w:val="center"/>
                </w:tcPr>
                <w:p w14:paraId="3749A20B">
                  <w:pPr>
                    <w:kinsoku w:val="0"/>
                    <w:overflowPunct w:val="0"/>
                    <w:autoSpaceDE w:val="0"/>
                    <w:autoSpaceDN w:val="0"/>
                    <w:adjustRightInd w:val="0"/>
                    <w:snapToGri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序号</w:t>
                  </w:r>
                </w:p>
              </w:tc>
              <w:tc>
                <w:tcPr>
                  <w:tcW w:w="1329" w:type="dxa"/>
                  <w:vMerge w:val="restart"/>
                  <w:tcBorders>
                    <w:tl2br w:val="nil"/>
                    <w:tr2bl w:val="nil"/>
                  </w:tcBorders>
                  <w:vAlign w:val="center"/>
                </w:tcPr>
                <w:p w14:paraId="56CB5DFF">
                  <w:pPr>
                    <w:kinsoku w:val="0"/>
                    <w:overflowPunct w:val="0"/>
                    <w:autoSpaceDE w:val="0"/>
                    <w:autoSpaceDN w:val="0"/>
                    <w:adjustRightInd w:val="0"/>
                    <w:snapToGri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声源名称</w:t>
                  </w:r>
                </w:p>
              </w:tc>
              <w:tc>
                <w:tcPr>
                  <w:tcW w:w="696" w:type="dxa"/>
                  <w:vMerge w:val="restart"/>
                  <w:tcBorders>
                    <w:tl2br w:val="nil"/>
                    <w:tr2bl w:val="nil"/>
                  </w:tcBorders>
                  <w:vAlign w:val="center"/>
                </w:tcPr>
                <w:p w14:paraId="3F94FC33">
                  <w:pPr>
                    <w:kinsoku w:val="0"/>
                    <w:overflowPunct w:val="0"/>
                    <w:autoSpaceDE w:val="0"/>
                    <w:autoSpaceDN w:val="0"/>
                    <w:adjustRightInd w:val="0"/>
                    <w:snapToGrid w:val="0"/>
                    <w:jc w:val="center"/>
                    <w:rPr>
                      <w:rFonts w:hint="eastAsia" w:cs="Times New Roman"/>
                      <w:b/>
                      <w:bCs/>
                      <w:color w:val="auto"/>
                      <w:szCs w:val="21"/>
                      <w:highlight w:val="none"/>
                      <w:lang w:val="en-US" w:eastAsia="zh-CN"/>
                    </w:rPr>
                  </w:pPr>
                  <w:r>
                    <w:rPr>
                      <w:rFonts w:hint="eastAsia" w:cs="Times New Roman"/>
                      <w:b/>
                      <w:bCs/>
                      <w:color w:val="auto"/>
                      <w:szCs w:val="21"/>
                      <w:highlight w:val="none"/>
                      <w:lang w:val="en-US" w:eastAsia="zh-CN"/>
                    </w:rPr>
                    <w:t>数量</w:t>
                  </w:r>
                </w:p>
                <w:p w14:paraId="2377ACDE">
                  <w:pPr>
                    <w:kinsoku w:val="0"/>
                    <w:overflowPunct w:val="0"/>
                    <w:autoSpaceDE w:val="0"/>
                    <w:autoSpaceDN w:val="0"/>
                    <w:adjustRightInd w:val="0"/>
                    <w:snapToGrid w:val="0"/>
                    <w:jc w:val="center"/>
                    <w:rPr>
                      <w:rFonts w:hint="default" w:cs="Times New Roman"/>
                      <w:b/>
                      <w:bCs/>
                      <w:color w:val="auto"/>
                      <w:szCs w:val="21"/>
                      <w:highlight w:val="none"/>
                      <w:lang w:val="en-US" w:eastAsia="zh-CN"/>
                    </w:rPr>
                  </w:pPr>
                  <w:r>
                    <w:rPr>
                      <w:rFonts w:hint="eastAsia" w:cs="Times New Roman"/>
                      <w:b/>
                      <w:bCs/>
                      <w:color w:val="auto"/>
                      <w:szCs w:val="21"/>
                      <w:highlight w:val="none"/>
                      <w:lang w:val="en-US" w:eastAsia="zh-CN"/>
                    </w:rPr>
                    <w:t>台</w:t>
                  </w:r>
                </w:p>
              </w:tc>
              <w:tc>
                <w:tcPr>
                  <w:tcW w:w="971" w:type="dxa"/>
                  <w:vMerge w:val="restart"/>
                  <w:tcBorders>
                    <w:tl2br w:val="nil"/>
                    <w:tr2bl w:val="nil"/>
                  </w:tcBorders>
                  <w:vAlign w:val="center"/>
                </w:tcPr>
                <w:p w14:paraId="659D8315">
                  <w:pPr>
                    <w:kinsoku w:val="0"/>
                    <w:overflowPunct w:val="0"/>
                    <w:autoSpaceDE w:val="0"/>
                    <w:autoSpaceDN w:val="0"/>
                    <w:adjustRightInd w:val="0"/>
                    <w:snapToGri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声源源强/dB(A)</w:t>
                  </w:r>
                </w:p>
              </w:tc>
              <w:tc>
                <w:tcPr>
                  <w:tcW w:w="683" w:type="dxa"/>
                  <w:vMerge w:val="restart"/>
                  <w:tcBorders>
                    <w:tl2br w:val="nil"/>
                    <w:tr2bl w:val="nil"/>
                  </w:tcBorders>
                  <w:vAlign w:val="center"/>
                </w:tcPr>
                <w:p w14:paraId="0190B6BE">
                  <w:pPr>
                    <w:kinsoku w:val="0"/>
                    <w:overflowPunct w:val="0"/>
                    <w:autoSpaceDE w:val="0"/>
                    <w:autoSpaceDN w:val="0"/>
                    <w:adjustRightInd w:val="0"/>
                    <w:snapToGri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声源控制措施</w:t>
                  </w:r>
                </w:p>
              </w:tc>
              <w:tc>
                <w:tcPr>
                  <w:tcW w:w="1292" w:type="dxa"/>
                  <w:gridSpan w:val="3"/>
                  <w:tcBorders>
                    <w:tl2br w:val="nil"/>
                    <w:tr2bl w:val="nil"/>
                  </w:tcBorders>
                  <w:vAlign w:val="center"/>
                </w:tcPr>
                <w:p w14:paraId="63780409">
                  <w:pPr>
                    <w:kinsoku w:val="0"/>
                    <w:overflowPunct w:val="0"/>
                    <w:autoSpaceDE w:val="0"/>
                    <w:autoSpaceDN w:val="0"/>
                    <w:adjustRightInd w:val="0"/>
                    <w:snapToGri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空间相对位置/m</w:t>
                  </w:r>
                </w:p>
              </w:tc>
              <w:tc>
                <w:tcPr>
                  <w:tcW w:w="895" w:type="dxa"/>
                  <w:vMerge w:val="restart"/>
                  <w:tcBorders>
                    <w:tl2br w:val="nil"/>
                    <w:tr2bl w:val="nil"/>
                  </w:tcBorders>
                  <w:vAlign w:val="center"/>
                </w:tcPr>
                <w:p w14:paraId="757B139D">
                  <w:pPr>
                    <w:kinsoku w:val="0"/>
                    <w:overflowPunct w:val="0"/>
                    <w:autoSpaceDE w:val="0"/>
                    <w:autoSpaceDN w:val="0"/>
                    <w:adjustRightInd w:val="0"/>
                    <w:snapToGrid w:val="0"/>
                    <w:jc w:val="center"/>
                    <w:rPr>
                      <w:rFonts w:hint="default" w:ascii="Times New Roman" w:hAnsi="Times New Roman" w:eastAsia="宋体" w:cs="Times New Roman"/>
                      <w:b/>
                      <w:bCs/>
                      <w:color w:val="auto"/>
                      <w:szCs w:val="21"/>
                      <w:highlight w:val="none"/>
                      <w:lang w:eastAsia="zh-CN"/>
                    </w:rPr>
                  </w:pPr>
                  <w:r>
                    <w:rPr>
                      <w:rFonts w:hint="default" w:ascii="Times New Roman" w:hAnsi="Times New Roman" w:eastAsia="宋体" w:cs="Times New Roman"/>
                      <w:b/>
                      <w:bCs/>
                      <w:color w:val="auto"/>
                      <w:szCs w:val="21"/>
                      <w:highlight w:val="none"/>
                      <w:lang w:val="en-US" w:eastAsia="zh-CN"/>
                    </w:rPr>
                    <w:t>排放强度</w:t>
                  </w:r>
                  <w:r>
                    <w:rPr>
                      <w:rFonts w:hint="default" w:ascii="Times New Roman" w:hAnsi="Times New Roman" w:eastAsia="宋体" w:cs="Times New Roman"/>
                      <w:b/>
                      <w:bCs/>
                      <w:color w:val="auto"/>
                      <w:szCs w:val="21"/>
                      <w:highlight w:val="none"/>
                    </w:rPr>
                    <w:t>/dB(A)</w:t>
                  </w:r>
                </w:p>
              </w:tc>
              <w:tc>
                <w:tcPr>
                  <w:tcW w:w="982" w:type="dxa"/>
                  <w:vMerge w:val="restart"/>
                  <w:tcBorders>
                    <w:tl2br w:val="nil"/>
                    <w:tr2bl w:val="nil"/>
                  </w:tcBorders>
                  <w:vAlign w:val="center"/>
                </w:tcPr>
                <w:p w14:paraId="67BCC7C1">
                  <w:pPr>
                    <w:kinsoku w:val="0"/>
                    <w:overflowPunct w:val="0"/>
                    <w:autoSpaceDE w:val="0"/>
                    <w:autoSpaceDN w:val="0"/>
                    <w:adjustRightInd w:val="0"/>
                    <w:snapToGri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 w:val="21"/>
                      <w:szCs w:val="21"/>
                      <w:highlight w:val="none"/>
                    </w:rPr>
                    <w:t>建筑物插入损失/dB(A)</w:t>
                  </w:r>
                </w:p>
              </w:tc>
              <w:tc>
                <w:tcPr>
                  <w:tcW w:w="498" w:type="dxa"/>
                  <w:vMerge w:val="restart"/>
                  <w:tcBorders>
                    <w:tl2br w:val="nil"/>
                    <w:tr2bl w:val="nil"/>
                  </w:tcBorders>
                  <w:vAlign w:val="center"/>
                </w:tcPr>
                <w:p w14:paraId="2F30BB60">
                  <w:pPr>
                    <w:kinsoku w:val="0"/>
                    <w:overflowPunct w:val="0"/>
                    <w:autoSpaceDE w:val="0"/>
                    <w:autoSpaceDN w:val="0"/>
                    <w:adjustRightInd w:val="0"/>
                    <w:snapToGri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运行</w:t>
                  </w:r>
                </w:p>
                <w:p w14:paraId="3180957E">
                  <w:pPr>
                    <w:kinsoku w:val="0"/>
                    <w:overflowPunct w:val="0"/>
                    <w:autoSpaceDE w:val="0"/>
                    <w:autoSpaceDN w:val="0"/>
                    <w:adjustRightInd w:val="0"/>
                    <w:snapToGri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时段</w:t>
                  </w:r>
                </w:p>
              </w:tc>
            </w:tr>
            <w:tr w14:paraId="501D7D42">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cantSplit/>
                <w:trHeight w:val="330" w:hRule="atLeast"/>
                <w:jc w:val="center"/>
              </w:trPr>
              <w:tc>
                <w:tcPr>
                  <w:tcW w:w="290" w:type="dxa"/>
                  <w:vMerge w:val="continue"/>
                  <w:tcBorders>
                    <w:tl2br w:val="nil"/>
                    <w:tr2bl w:val="nil"/>
                  </w:tcBorders>
                  <w:vAlign w:val="center"/>
                </w:tcPr>
                <w:p w14:paraId="5A66020D">
                  <w:pPr>
                    <w:kinsoku w:val="0"/>
                    <w:overflowPunct w:val="0"/>
                    <w:autoSpaceDE w:val="0"/>
                    <w:autoSpaceDN w:val="0"/>
                    <w:adjustRightInd w:val="0"/>
                    <w:snapToGrid w:val="0"/>
                    <w:jc w:val="center"/>
                    <w:rPr>
                      <w:rFonts w:hint="default" w:ascii="Times New Roman" w:hAnsi="Times New Roman" w:eastAsia="宋体" w:cs="Times New Roman"/>
                      <w:b/>
                      <w:bCs/>
                      <w:color w:val="auto"/>
                      <w:szCs w:val="21"/>
                      <w:highlight w:val="none"/>
                    </w:rPr>
                  </w:pPr>
                </w:p>
              </w:tc>
              <w:tc>
                <w:tcPr>
                  <w:tcW w:w="1329" w:type="dxa"/>
                  <w:vMerge w:val="continue"/>
                  <w:tcBorders>
                    <w:tl2br w:val="nil"/>
                    <w:tr2bl w:val="nil"/>
                  </w:tcBorders>
                  <w:vAlign w:val="center"/>
                </w:tcPr>
                <w:p w14:paraId="54441034">
                  <w:pPr>
                    <w:kinsoku w:val="0"/>
                    <w:overflowPunct w:val="0"/>
                    <w:autoSpaceDE w:val="0"/>
                    <w:autoSpaceDN w:val="0"/>
                    <w:adjustRightInd w:val="0"/>
                    <w:snapToGrid w:val="0"/>
                    <w:jc w:val="center"/>
                    <w:rPr>
                      <w:rFonts w:hint="default" w:ascii="Times New Roman" w:hAnsi="Times New Roman" w:eastAsia="宋体" w:cs="Times New Roman"/>
                      <w:b/>
                      <w:bCs/>
                      <w:color w:val="auto"/>
                      <w:szCs w:val="21"/>
                      <w:highlight w:val="none"/>
                    </w:rPr>
                  </w:pPr>
                </w:p>
              </w:tc>
              <w:tc>
                <w:tcPr>
                  <w:tcW w:w="696" w:type="dxa"/>
                  <w:vMerge w:val="continue"/>
                  <w:tcBorders>
                    <w:tl2br w:val="nil"/>
                    <w:tr2bl w:val="nil"/>
                  </w:tcBorders>
                  <w:vAlign w:val="center"/>
                </w:tcPr>
                <w:p w14:paraId="209577BA">
                  <w:pPr>
                    <w:kinsoku w:val="0"/>
                    <w:overflowPunct w:val="0"/>
                    <w:autoSpaceDE w:val="0"/>
                    <w:autoSpaceDN w:val="0"/>
                    <w:adjustRightInd w:val="0"/>
                    <w:snapToGrid w:val="0"/>
                    <w:jc w:val="center"/>
                    <w:rPr>
                      <w:rFonts w:hint="default" w:ascii="Times New Roman" w:hAnsi="Times New Roman" w:eastAsia="宋体" w:cs="Times New Roman"/>
                      <w:b/>
                      <w:bCs/>
                      <w:color w:val="auto"/>
                      <w:szCs w:val="21"/>
                      <w:highlight w:val="none"/>
                      <w:lang w:val="en-US"/>
                    </w:rPr>
                  </w:pPr>
                </w:p>
              </w:tc>
              <w:tc>
                <w:tcPr>
                  <w:tcW w:w="971" w:type="dxa"/>
                  <w:vMerge w:val="continue"/>
                  <w:tcBorders>
                    <w:tl2br w:val="nil"/>
                    <w:tr2bl w:val="nil"/>
                  </w:tcBorders>
                  <w:vAlign w:val="center"/>
                </w:tcPr>
                <w:p w14:paraId="649C063F">
                  <w:pPr>
                    <w:kinsoku w:val="0"/>
                    <w:overflowPunct w:val="0"/>
                    <w:autoSpaceDE w:val="0"/>
                    <w:autoSpaceDN w:val="0"/>
                    <w:adjustRightInd w:val="0"/>
                    <w:snapToGrid w:val="0"/>
                    <w:jc w:val="center"/>
                    <w:rPr>
                      <w:rFonts w:hint="default" w:ascii="Times New Roman" w:hAnsi="Times New Roman" w:eastAsia="宋体" w:cs="Times New Roman"/>
                      <w:b/>
                      <w:bCs/>
                      <w:color w:val="auto"/>
                      <w:szCs w:val="21"/>
                      <w:highlight w:val="none"/>
                    </w:rPr>
                  </w:pPr>
                </w:p>
              </w:tc>
              <w:tc>
                <w:tcPr>
                  <w:tcW w:w="683" w:type="dxa"/>
                  <w:vMerge w:val="continue"/>
                  <w:tcBorders>
                    <w:tl2br w:val="nil"/>
                    <w:tr2bl w:val="nil"/>
                  </w:tcBorders>
                  <w:vAlign w:val="center"/>
                </w:tcPr>
                <w:p w14:paraId="1A194625">
                  <w:pPr>
                    <w:kinsoku w:val="0"/>
                    <w:overflowPunct w:val="0"/>
                    <w:autoSpaceDE w:val="0"/>
                    <w:autoSpaceDN w:val="0"/>
                    <w:adjustRightInd w:val="0"/>
                    <w:snapToGrid w:val="0"/>
                    <w:jc w:val="center"/>
                    <w:rPr>
                      <w:rFonts w:hint="default" w:ascii="Times New Roman" w:hAnsi="Times New Roman" w:eastAsia="宋体" w:cs="Times New Roman"/>
                      <w:b/>
                      <w:bCs/>
                      <w:color w:val="auto"/>
                      <w:szCs w:val="21"/>
                      <w:highlight w:val="none"/>
                    </w:rPr>
                  </w:pPr>
                </w:p>
              </w:tc>
              <w:tc>
                <w:tcPr>
                  <w:tcW w:w="461" w:type="dxa"/>
                  <w:tcBorders>
                    <w:tl2br w:val="nil"/>
                    <w:tr2bl w:val="nil"/>
                  </w:tcBorders>
                  <w:vAlign w:val="center"/>
                </w:tcPr>
                <w:p w14:paraId="2D1B0E36">
                  <w:pPr>
                    <w:kinsoku w:val="0"/>
                    <w:overflowPunct w:val="0"/>
                    <w:autoSpaceDE w:val="0"/>
                    <w:autoSpaceDN w:val="0"/>
                    <w:adjustRightInd w:val="0"/>
                    <w:snapToGri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X</w:t>
                  </w:r>
                </w:p>
              </w:tc>
              <w:tc>
                <w:tcPr>
                  <w:tcW w:w="425" w:type="dxa"/>
                  <w:tcBorders>
                    <w:tl2br w:val="nil"/>
                    <w:tr2bl w:val="nil"/>
                  </w:tcBorders>
                  <w:vAlign w:val="center"/>
                </w:tcPr>
                <w:p w14:paraId="10AC8282">
                  <w:pPr>
                    <w:kinsoku w:val="0"/>
                    <w:overflowPunct w:val="0"/>
                    <w:autoSpaceDE w:val="0"/>
                    <w:autoSpaceDN w:val="0"/>
                    <w:adjustRightInd w:val="0"/>
                    <w:snapToGri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Y</w:t>
                  </w:r>
                </w:p>
              </w:tc>
              <w:tc>
                <w:tcPr>
                  <w:tcW w:w="406" w:type="dxa"/>
                  <w:tcBorders>
                    <w:tl2br w:val="nil"/>
                    <w:tr2bl w:val="nil"/>
                  </w:tcBorders>
                  <w:vAlign w:val="center"/>
                </w:tcPr>
                <w:p w14:paraId="0A8463F7">
                  <w:pPr>
                    <w:kinsoku w:val="0"/>
                    <w:overflowPunct w:val="0"/>
                    <w:autoSpaceDE w:val="0"/>
                    <w:autoSpaceDN w:val="0"/>
                    <w:adjustRightInd w:val="0"/>
                    <w:snapToGri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Z</w:t>
                  </w:r>
                </w:p>
              </w:tc>
              <w:tc>
                <w:tcPr>
                  <w:tcW w:w="895" w:type="dxa"/>
                  <w:vMerge w:val="continue"/>
                  <w:tcBorders>
                    <w:tl2br w:val="nil"/>
                    <w:tr2bl w:val="nil"/>
                  </w:tcBorders>
                  <w:vAlign w:val="center"/>
                </w:tcPr>
                <w:p w14:paraId="5A6635F0">
                  <w:pPr>
                    <w:kinsoku w:val="0"/>
                    <w:overflowPunct w:val="0"/>
                    <w:autoSpaceDE w:val="0"/>
                    <w:autoSpaceDN w:val="0"/>
                    <w:adjustRightInd w:val="0"/>
                    <w:snapToGrid w:val="0"/>
                    <w:jc w:val="center"/>
                    <w:rPr>
                      <w:rFonts w:hint="default" w:ascii="Times New Roman" w:hAnsi="Times New Roman" w:eastAsia="宋体" w:cs="Times New Roman"/>
                      <w:b/>
                      <w:bCs/>
                      <w:color w:val="auto"/>
                      <w:szCs w:val="21"/>
                      <w:highlight w:val="none"/>
                    </w:rPr>
                  </w:pPr>
                </w:p>
              </w:tc>
              <w:tc>
                <w:tcPr>
                  <w:tcW w:w="982" w:type="dxa"/>
                  <w:vMerge w:val="continue"/>
                  <w:tcBorders>
                    <w:tl2br w:val="nil"/>
                    <w:tr2bl w:val="nil"/>
                  </w:tcBorders>
                  <w:vAlign w:val="center"/>
                </w:tcPr>
                <w:p w14:paraId="718B9386">
                  <w:pPr>
                    <w:kinsoku w:val="0"/>
                    <w:overflowPunct w:val="0"/>
                    <w:autoSpaceDE w:val="0"/>
                    <w:autoSpaceDN w:val="0"/>
                    <w:adjustRightInd w:val="0"/>
                    <w:snapToGrid w:val="0"/>
                    <w:jc w:val="center"/>
                    <w:rPr>
                      <w:rFonts w:hint="default" w:ascii="Times New Roman" w:hAnsi="Times New Roman" w:eastAsia="宋体" w:cs="Times New Roman"/>
                      <w:b/>
                      <w:bCs/>
                      <w:color w:val="auto"/>
                      <w:szCs w:val="21"/>
                      <w:highlight w:val="none"/>
                    </w:rPr>
                  </w:pPr>
                </w:p>
              </w:tc>
              <w:tc>
                <w:tcPr>
                  <w:tcW w:w="498" w:type="dxa"/>
                  <w:vMerge w:val="continue"/>
                  <w:tcBorders>
                    <w:tl2br w:val="nil"/>
                    <w:tr2bl w:val="nil"/>
                  </w:tcBorders>
                  <w:vAlign w:val="center"/>
                </w:tcPr>
                <w:p w14:paraId="31A0EEC3">
                  <w:pPr>
                    <w:kinsoku w:val="0"/>
                    <w:overflowPunct w:val="0"/>
                    <w:autoSpaceDE w:val="0"/>
                    <w:autoSpaceDN w:val="0"/>
                    <w:adjustRightInd w:val="0"/>
                    <w:snapToGrid w:val="0"/>
                    <w:jc w:val="center"/>
                    <w:rPr>
                      <w:rFonts w:hint="default" w:ascii="Times New Roman" w:hAnsi="Times New Roman" w:eastAsia="宋体" w:cs="Times New Roman"/>
                      <w:b/>
                      <w:bCs/>
                      <w:color w:val="auto"/>
                      <w:szCs w:val="21"/>
                      <w:highlight w:val="none"/>
                    </w:rPr>
                  </w:pPr>
                </w:p>
              </w:tc>
            </w:tr>
            <w:tr w14:paraId="2E106141">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cantSplit/>
                <w:trHeight w:val="298" w:hRule="atLeast"/>
                <w:jc w:val="center"/>
              </w:trPr>
              <w:tc>
                <w:tcPr>
                  <w:tcW w:w="290" w:type="dxa"/>
                  <w:tcBorders>
                    <w:tl2br w:val="nil"/>
                    <w:tr2bl w:val="nil"/>
                  </w:tcBorders>
                  <w:vAlign w:val="center"/>
                </w:tcPr>
                <w:p w14:paraId="0D0C628B">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eastAsia" w:ascii="Times New Roman" w:hAnsi="Times New Roman" w:eastAsia="宋体" w:cs="Times New Roman"/>
                      <w:b w:val="0"/>
                      <w:bCs w:val="0"/>
                      <w:color w:val="auto"/>
                      <w:szCs w:val="21"/>
                      <w:highlight w:val="none"/>
                      <w:lang w:val="en-US" w:eastAsia="zh-CN"/>
                    </w:rPr>
                    <w:t>1</w:t>
                  </w:r>
                </w:p>
              </w:tc>
              <w:tc>
                <w:tcPr>
                  <w:tcW w:w="1329" w:type="dxa"/>
                  <w:tcBorders>
                    <w:tl2br w:val="nil"/>
                    <w:tr2bl w:val="nil"/>
                  </w:tcBorders>
                  <w:vAlign w:val="center"/>
                </w:tcPr>
                <w:p w14:paraId="539B3128">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行星式球磨机</w:t>
                  </w:r>
                </w:p>
              </w:tc>
              <w:tc>
                <w:tcPr>
                  <w:tcW w:w="696" w:type="dxa"/>
                  <w:tcBorders>
                    <w:tl2br w:val="nil"/>
                    <w:tr2bl w:val="nil"/>
                  </w:tcBorders>
                  <w:vAlign w:val="center"/>
                </w:tcPr>
                <w:p w14:paraId="5FD3A4B5">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1</w:t>
                  </w:r>
                </w:p>
              </w:tc>
              <w:tc>
                <w:tcPr>
                  <w:tcW w:w="971" w:type="dxa"/>
                  <w:tcBorders>
                    <w:tl2br w:val="nil"/>
                    <w:tr2bl w:val="nil"/>
                  </w:tcBorders>
                  <w:vAlign w:val="center"/>
                </w:tcPr>
                <w:p w14:paraId="53F96E93">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65</w:t>
                  </w:r>
                </w:p>
              </w:tc>
              <w:tc>
                <w:tcPr>
                  <w:tcW w:w="683" w:type="dxa"/>
                  <w:vMerge w:val="restart"/>
                  <w:tcBorders>
                    <w:tl2br w:val="nil"/>
                    <w:tr2bl w:val="nil"/>
                  </w:tcBorders>
                  <w:vAlign w:val="center"/>
                </w:tcPr>
                <w:p w14:paraId="12DE1ACC">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default" w:cs="Times New Roman"/>
                      <w:b w:val="0"/>
                      <w:bCs w:val="0"/>
                      <w:color w:val="auto"/>
                      <w:szCs w:val="21"/>
                      <w:highlight w:val="none"/>
                      <w:lang w:val="en-US" w:eastAsia="zh-CN"/>
                    </w:rPr>
                    <w:t>低噪声设备，基础减振</w:t>
                  </w:r>
                </w:p>
              </w:tc>
              <w:tc>
                <w:tcPr>
                  <w:tcW w:w="461" w:type="dxa"/>
                  <w:tcBorders>
                    <w:tl2br w:val="nil"/>
                    <w:tr2bl w:val="nil"/>
                  </w:tcBorders>
                  <w:shd w:val="clear" w:color="auto" w:fill="FFFFFF"/>
                  <w:vAlign w:val="center"/>
                </w:tcPr>
                <w:p w14:paraId="6EF30CA6">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-0.7</w:t>
                  </w:r>
                </w:p>
              </w:tc>
              <w:tc>
                <w:tcPr>
                  <w:tcW w:w="425" w:type="dxa"/>
                  <w:tcBorders>
                    <w:tl2br w:val="nil"/>
                    <w:tr2bl w:val="nil"/>
                  </w:tcBorders>
                  <w:shd w:val="clear" w:color="auto" w:fill="FFFFFF"/>
                  <w:vAlign w:val="center"/>
                </w:tcPr>
                <w:p w14:paraId="2C94F449">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-2.6</w:t>
                  </w:r>
                </w:p>
              </w:tc>
              <w:tc>
                <w:tcPr>
                  <w:tcW w:w="406" w:type="dxa"/>
                  <w:tcBorders>
                    <w:tl2br w:val="nil"/>
                    <w:tr2bl w:val="nil"/>
                  </w:tcBorders>
                  <w:shd w:val="clear" w:color="auto" w:fill="FFFFFF"/>
                  <w:vAlign w:val="center"/>
                </w:tcPr>
                <w:p w14:paraId="0854ECA9">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1.2</w:t>
                  </w:r>
                </w:p>
              </w:tc>
              <w:tc>
                <w:tcPr>
                  <w:tcW w:w="895" w:type="dxa"/>
                  <w:tcBorders>
                    <w:tl2br w:val="nil"/>
                    <w:tr2bl w:val="nil"/>
                  </w:tcBorders>
                  <w:shd w:val="clear" w:color="auto" w:fill="auto"/>
                  <w:vAlign w:val="center"/>
                </w:tcPr>
                <w:p w14:paraId="267B5C29">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45</w:t>
                  </w:r>
                </w:p>
              </w:tc>
              <w:tc>
                <w:tcPr>
                  <w:tcW w:w="982" w:type="dxa"/>
                  <w:tcBorders>
                    <w:tl2br w:val="nil"/>
                    <w:tr2bl w:val="nil"/>
                  </w:tcBorders>
                  <w:shd w:val="clear" w:color="auto" w:fill="auto"/>
                  <w:vAlign w:val="center"/>
                </w:tcPr>
                <w:p w14:paraId="19BC753D">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default" w:cs="Times New Roman"/>
                      <w:b w:val="0"/>
                      <w:bCs w:val="0"/>
                      <w:color w:val="auto"/>
                      <w:szCs w:val="21"/>
                      <w:highlight w:val="none"/>
                      <w:lang w:val="en-US" w:eastAsia="zh-CN"/>
                    </w:rPr>
                    <w:t>20</w:t>
                  </w:r>
                </w:p>
              </w:tc>
              <w:tc>
                <w:tcPr>
                  <w:tcW w:w="498" w:type="dxa"/>
                  <w:vMerge w:val="restart"/>
                  <w:tcBorders>
                    <w:tl2br w:val="nil"/>
                    <w:tr2bl w:val="nil"/>
                  </w:tcBorders>
                  <w:vAlign w:val="center"/>
                </w:tcPr>
                <w:p w14:paraId="1377CC4E">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昼间</w:t>
                  </w:r>
                </w:p>
              </w:tc>
            </w:tr>
            <w:tr w14:paraId="3CB058D1">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cantSplit/>
                <w:trHeight w:val="206" w:hRule="atLeast"/>
                <w:jc w:val="center"/>
              </w:trPr>
              <w:tc>
                <w:tcPr>
                  <w:tcW w:w="290" w:type="dxa"/>
                  <w:tcBorders>
                    <w:tl2br w:val="nil"/>
                    <w:tr2bl w:val="nil"/>
                  </w:tcBorders>
                  <w:vAlign w:val="center"/>
                </w:tcPr>
                <w:p w14:paraId="7F5331B6">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eastAsia" w:ascii="Times New Roman" w:hAnsi="Times New Roman" w:eastAsia="宋体" w:cs="Times New Roman"/>
                      <w:b w:val="0"/>
                      <w:bCs w:val="0"/>
                      <w:color w:val="auto"/>
                      <w:szCs w:val="21"/>
                      <w:highlight w:val="none"/>
                      <w:lang w:val="en-US" w:eastAsia="zh-CN"/>
                    </w:rPr>
                    <w:t>2</w:t>
                  </w:r>
                </w:p>
              </w:tc>
              <w:tc>
                <w:tcPr>
                  <w:tcW w:w="1329" w:type="dxa"/>
                  <w:tcBorders>
                    <w:tl2br w:val="nil"/>
                    <w:tr2bl w:val="nil"/>
                  </w:tcBorders>
                  <w:vAlign w:val="center"/>
                </w:tcPr>
                <w:p w14:paraId="2E5C1B02">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鼓风干燥箱</w:t>
                  </w:r>
                </w:p>
              </w:tc>
              <w:tc>
                <w:tcPr>
                  <w:tcW w:w="696" w:type="dxa"/>
                  <w:tcBorders>
                    <w:tl2br w:val="nil"/>
                    <w:tr2bl w:val="nil"/>
                  </w:tcBorders>
                  <w:vAlign w:val="center"/>
                </w:tcPr>
                <w:p w14:paraId="4B087080">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1</w:t>
                  </w:r>
                </w:p>
              </w:tc>
              <w:tc>
                <w:tcPr>
                  <w:tcW w:w="971" w:type="dxa"/>
                  <w:tcBorders>
                    <w:tl2br w:val="nil"/>
                    <w:tr2bl w:val="nil"/>
                  </w:tcBorders>
                  <w:vAlign w:val="center"/>
                </w:tcPr>
                <w:p w14:paraId="67BAEE5E">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60</w:t>
                  </w:r>
                </w:p>
              </w:tc>
              <w:tc>
                <w:tcPr>
                  <w:tcW w:w="683" w:type="dxa"/>
                  <w:vMerge w:val="continue"/>
                  <w:tcBorders>
                    <w:tl2br w:val="nil"/>
                    <w:tr2bl w:val="nil"/>
                  </w:tcBorders>
                  <w:vAlign w:val="center"/>
                </w:tcPr>
                <w:p w14:paraId="7797060B">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p>
              </w:tc>
              <w:tc>
                <w:tcPr>
                  <w:tcW w:w="461" w:type="dxa"/>
                  <w:tcBorders>
                    <w:tl2br w:val="nil"/>
                    <w:tr2bl w:val="nil"/>
                  </w:tcBorders>
                  <w:shd w:val="clear" w:color="auto" w:fill="FFFFFF"/>
                  <w:vAlign w:val="center"/>
                </w:tcPr>
                <w:p w14:paraId="3EDB898E">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1.2</w:t>
                  </w:r>
                </w:p>
              </w:tc>
              <w:tc>
                <w:tcPr>
                  <w:tcW w:w="425" w:type="dxa"/>
                  <w:tcBorders>
                    <w:tl2br w:val="nil"/>
                    <w:tr2bl w:val="nil"/>
                  </w:tcBorders>
                  <w:shd w:val="clear" w:color="auto" w:fill="FFFFFF"/>
                  <w:vAlign w:val="center"/>
                </w:tcPr>
                <w:p w14:paraId="67787A80">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-2.7</w:t>
                  </w:r>
                </w:p>
              </w:tc>
              <w:tc>
                <w:tcPr>
                  <w:tcW w:w="406" w:type="dxa"/>
                  <w:tcBorders>
                    <w:tl2br w:val="nil"/>
                    <w:tr2bl w:val="nil"/>
                  </w:tcBorders>
                  <w:shd w:val="clear" w:color="auto" w:fill="FFFFFF"/>
                  <w:vAlign w:val="center"/>
                </w:tcPr>
                <w:p w14:paraId="7ACFF6DA">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1.2</w:t>
                  </w:r>
                </w:p>
              </w:tc>
              <w:tc>
                <w:tcPr>
                  <w:tcW w:w="895" w:type="dxa"/>
                  <w:tcBorders>
                    <w:tl2br w:val="nil"/>
                    <w:tr2bl w:val="nil"/>
                  </w:tcBorders>
                  <w:shd w:val="clear" w:color="auto" w:fill="auto"/>
                  <w:vAlign w:val="center"/>
                </w:tcPr>
                <w:p w14:paraId="685693BB">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40</w:t>
                  </w:r>
                </w:p>
              </w:tc>
              <w:tc>
                <w:tcPr>
                  <w:tcW w:w="982" w:type="dxa"/>
                  <w:tcBorders>
                    <w:tl2br w:val="nil"/>
                    <w:tr2bl w:val="nil"/>
                  </w:tcBorders>
                  <w:shd w:val="clear" w:color="auto" w:fill="auto"/>
                  <w:vAlign w:val="center"/>
                </w:tcPr>
                <w:p w14:paraId="33142A63">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default" w:cs="Times New Roman"/>
                      <w:b w:val="0"/>
                      <w:bCs w:val="0"/>
                      <w:color w:val="auto"/>
                      <w:szCs w:val="21"/>
                      <w:highlight w:val="none"/>
                      <w:lang w:val="en-US" w:eastAsia="zh-CN"/>
                    </w:rPr>
                    <w:t>20</w:t>
                  </w:r>
                </w:p>
              </w:tc>
              <w:tc>
                <w:tcPr>
                  <w:tcW w:w="498" w:type="dxa"/>
                  <w:vMerge w:val="continue"/>
                  <w:tcBorders>
                    <w:tl2br w:val="nil"/>
                    <w:tr2bl w:val="nil"/>
                  </w:tcBorders>
                  <w:vAlign w:val="center"/>
                </w:tcPr>
                <w:p w14:paraId="0088E88B">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r>
            <w:tr w14:paraId="4DB1710B">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cantSplit/>
                <w:trHeight w:val="240" w:hRule="atLeast"/>
                <w:jc w:val="center"/>
              </w:trPr>
              <w:tc>
                <w:tcPr>
                  <w:tcW w:w="290" w:type="dxa"/>
                  <w:tcBorders>
                    <w:tl2br w:val="nil"/>
                    <w:tr2bl w:val="nil"/>
                  </w:tcBorders>
                  <w:vAlign w:val="center"/>
                </w:tcPr>
                <w:p w14:paraId="01A4C066">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eastAsia" w:ascii="Times New Roman" w:hAnsi="Times New Roman" w:eastAsia="宋体" w:cs="Times New Roman"/>
                      <w:b w:val="0"/>
                      <w:bCs w:val="0"/>
                      <w:color w:val="auto"/>
                      <w:szCs w:val="21"/>
                      <w:highlight w:val="none"/>
                      <w:lang w:val="en-US" w:eastAsia="zh-CN"/>
                    </w:rPr>
                    <w:t>3</w:t>
                  </w:r>
                </w:p>
              </w:tc>
              <w:tc>
                <w:tcPr>
                  <w:tcW w:w="1329" w:type="dxa"/>
                  <w:tcBorders>
                    <w:tl2br w:val="nil"/>
                    <w:tr2bl w:val="nil"/>
                  </w:tcBorders>
                  <w:vAlign w:val="center"/>
                </w:tcPr>
                <w:p w14:paraId="718F45AB">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纳米级研磨机</w:t>
                  </w:r>
                </w:p>
              </w:tc>
              <w:tc>
                <w:tcPr>
                  <w:tcW w:w="696" w:type="dxa"/>
                  <w:tcBorders>
                    <w:tl2br w:val="nil"/>
                    <w:tr2bl w:val="nil"/>
                  </w:tcBorders>
                  <w:vAlign w:val="center"/>
                </w:tcPr>
                <w:p w14:paraId="7D1BD72A">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1</w:t>
                  </w:r>
                </w:p>
              </w:tc>
              <w:tc>
                <w:tcPr>
                  <w:tcW w:w="971" w:type="dxa"/>
                  <w:tcBorders>
                    <w:tl2br w:val="nil"/>
                    <w:tr2bl w:val="nil"/>
                  </w:tcBorders>
                  <w:vAlign w:val="center"/>
                </w:tcPr>
                <w:p w14:paraId="77DC3239">
                  <w:pPr>
                    <w:kinsoku w:val="0"/>
                    <w:overflowPunct w:val="0"/>
                    <w:autoSpaceDE w:val="0"/>
                    <w:autoSpaceDN w:val="0"/>
                    <w:adjustRightInd w:val="0"/>
                    <w:snapToGrid w:val="0"/>
                    <w:jc w:val="center"/>
                    <w:rPr>
                      <w:rFonts w:hint="eastAsia"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65</w:t>
                  </w:r>
                </w:p>
              </w:tc>
              <w:tc>
                <w:tcPr>
                  <w:tcW w:w="683" w:type="dxa"/>
                  <w:vMerge w:val="continue"/>
                  <w:tcBorders>
                    <w:tl2br w:val="nil"/>
                    <w:tr2bl w:val="nil"/>
                  </w:tcBorders>
                  <w:vAlign w:val="center"/>
                </w:tcPr>
                <w:p w14:paraId="2323E401">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p>
              </w:tc>
              <w:tc>
                <w:tcPr>
                  <w:tcW w:w="461" w:type="dxa"/>
                  <w:tcBorders>
                    <w:tl2br w:val="nil"/>
                    <w:tr2bl w:val="nil"/>
                  </w:tcBorders>
                  <w:shd w:val="clear" w:color="auto" w:fill="FFFFFF"/>
                  <w:vAlign w:val="center"/>
                </w:tcPr>
                <w:p w14:paraId="6C1BCE8B">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-17.1</w:t>
                  </w:r>
                </w:p>
              </w:tc>
              <w:tc>
                <w:tcPr>
                  <w:tcW w:w="425" w:type="dxa"/>
                  <w:tcBorders>
                    <w:tl2br w:val="nil"/>
                    <w:tr2bl w:val="nil"/>
                  </w:tcBorders>
                  <w:shd w:val="clear" w:color="auto" w:fill="FFFFFF"/>
                  <w:vAlign w:val="center"/>
                </w:tcPr>
                <w:p w14:paraId="34A1BBDC">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-2.7</w:t>
                  </w:r>
                </w:p>
              </w:tc>
              <w:tc>
                <w:tcPr>
                  <w:tcW w:w="406" w:type="dxa"/>
                  <w:tcBorders>
                    <w:tl2br w:val="nil"/>
                    <w:tr2bl w:val="nil"/>
                  </w:tcBorders>
                  <w:shd w:val="clear" w:color="auto" w:fill="FFFFFF"/>
                  <w:vAlign w:val="center"/>
                </w:tcPr>
                <w:p w14:paraId="55F233F8">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1.2</w:t>
                  </w:r>
                </w:p>
              </w:tc>
              <w:tc>
                <w:tcPr>
                  <w:tcW w:w="895" w:type="dxa"/>
                  <w:tcBorders>
                    <w:tl2br w:val="nil"/>
                    <w:tr2bl w:val="nil"/>
                  </w:tcBorders>
                  <w:shd w:val="clear" w:color="auto" w:fill="auto"/>
                  <w:vAlign w:val="center"/>
                </w:tcPr>
                <w:p w14:paraId="5720A8C1">
                  <w:pPr>
                    <w:kinsoku w:val="0"/>
                    <w:overflowPunct w:val="0"/>
                    <w:autoSpaceDE w:val="0"/>
                    <w:autoSpaceDN w:val="0"/>
                    <w:adjustRightInd w:val="0"/>
                    <w:snapToGrid w:val="0"/>
                    <w:jc w:val="center"/>
                    <w:rPr>
                      <w:rFonts w:hint="eastAsia"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45</w:t>
                  </w:r>
                </w:p>
              </w:tc>
              <w:tc>
                <w:tcPr>
                  <w:tcW w:w="982" w:type="dxa"/>
                  <w:tcBorders>
                    <w:tl2br w:val="nil"/>
                    <w:tr2bl w:val="nil"/>
                  </w:tcBorders>
                  <w:shd w:val="clear" w:color="auto" w:fill="auto"/>
                  <w:vAlign w:val="center"/>
                </w:tcPr>
                <w:p w14:paraId="4E832397">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default" w:cs="Times New Roman"/>
                      <w:b w:val="0"/>
                      <w:bCs w:val="0"/>
                      <w:color w:val="auto"/>
                      <w:szCs w:val="21"/>
                      <w:highlight w:val="none"/>
                      <w:lang w:val="en-US" w:eastAsia="zh-CN"/>
                    </w:rPr>
                    <w:t>20</w:t>
                  </w:r>
                </w:p>
              </w:tc>
              <w:tc>
                <w:tcPr>
                  <w:tcW w:w="498" w:type="dxa"/>
                  <w:vMerge w:val="continue"/>
                  <w:tcBorders>
                    <w:tl2br w:val="nil"/>
                    <w:tr2bl w:val="nil"/>
                  </w:tcBorders>
                  <w:vAlign w:val="center"/>
                </w:tcPr>
                <w:p w14:paraId="03EE7366">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r>
            <w:tr w14:paraId="1E8B2742">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cantSplit/>
                <w:trHeight w:val="251" w:hRule="atLeast"/>
                <w:jc w:val="center"/>
              </w:trPr>
              <w:tc>
                <w:tcPr>
                  <w:tcW w:w="290" w:type="dxa"/>
                  <w:tcBorders>
                    <w:tl2br w:val="nil"/>
                    <w:tr2bl w:val="nil"/>
                  </w:tcBorders>
                  <w:vAlign w:val="center"/>
                </w:tcPr>
                <w:p w14:paraId="4086DE6F">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eastAsia" w:ascii="Times New Roman" w:hAnsi="Times New Roman" w:eastAsia="宋体" w:cs="Times New Roman"/>
                      <w:b w:val="0"/>
                      <w:bCs w:val="0"/>
                      <w:color w:val="auto"/>
                      <w:szCs w:val="21"/>
                      <w:highlight w:val="none"/>
                      <w:lang w:val="en-US" w:eastAsia="zh-CN"/>
                    </w:rPr>
                    <w:t>4</w:t>
                  </w:r>
                </w:p>
              </w:tc>
              <w:tc>
                <w:tcPr>
                  <w:tcW w:w="1329" w:type="dxa"/>
                  <w:tcBorders>
                    <w:tl2br w:val="nil"/>
                    <w:tr2bl w:val="nil"/>
                  </w:tcBorders>
                  <w:vAlign w:val="center"/>
                </w:tcPr>
                <w:p w14:paraId="74201266">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加热型磁力搅拌器</w:t>
                  </w:r>
                </w:p>
              </w:tc>
              <w:tc>
                <w:tcPr>
                  <w:tcW w:w="696" w:type="dxa"/>
                  <w:tcBorders>
                    <w:tl2br w:val="nil"/>
                    <w:tr2bl w:val="nil"/>
                  </w:tcBorders>
                  <w:vAlign w:val="center"/>
                </w:tcPr>
                <w:p w14:paraId="6C4B430E">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1</w:t>
                  </w:r>
                </w:p>
              </w:tc>
              <w:tc>
                <w:tcPr>
                  <w:tcW w:w="971" w:type="dxa"/>
                  <w:tcBorders>
                    <w:tl2br w:val="nil"/>
                    <w:tr2bl w:val="nil"/>
                  </w:tcBorders>
                  <w:vAlign w:val="center"/>
                </w:tcPr>
                <w:p w14:paraId="032B12EA">
                  <w:pPr>
                    <w:kinsoku w:val="0"/>
                    <w:overflowPunct w:val="0"/>
                    <w:autoSpaceDE w:val="0"/>
                    <w:autoSpaceDN w:val="0"/>
                    <w:adjustRightInd w:val="0"/>
                    <w:snapToGrid w:val="0"/>
                    <w:jc w:val="center"/>
                    <w:rPr>
                      <w:rFonts w:hint="eastAsia"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50</w:t>
                  </w:r>
                </w:p>
              </w:tc>
              <w:tc>
                <w:tcPr>
                  <w:tcW w:w="683" w:type="dxa"/>
                  <w:vMerge w:val="continue"/>
                  <w:tcBorders>
                    <w:tl2br w:val="nil"/>
                    <w:tr2bl w:val="nil"/>
                  </w:tcBorders>
                  <w:vAlign w:val="center"/>
                </w:tcPr>
                <w:p w14:paraId="7FF9F4AE">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p>
              </w:tc>
              <w:tc>
                <w:tcPr>
                  <w:tcW w:w="461" w:type="dxa"/>
                  <w:tcBorders>
                    <w:tl2br w:val="nil"/>
                    <w:tr2bl w:val="nil"/>
                  </w:tcBorders>
                  <w:shd w:val="clear" w:color="auto" w:fill="FFFFFF"/>
                  <w:vAlign w:val="center"/>
                </w:tcPr>
                <w:p w14:paraId="16EB0A8A">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-17.1</w:t>
                  </w:r>
                </w:p>
              </w:tc>
              <w:tc>
                <w:tcPr>
                  <w:tcW w:w="425" w:type="dxa"/>
                  <w:tcBorders>
                    <w:tl2br w:val="nil"/>
                    <w:tr2bl w:val="nil"/>
                  </w:tcBorders>
                  <w:shd w:val="clear" w:color="auto" w:fill="FFFFFF"/>
                  <w:vAlign w:val="center"/>
                </w:tcPr>
                <w:p w14:paraId="7DF7FC10">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4.2</w:t>
                  </w:r>
                </w:p>
              </w:tc>
              <w:tc>
                <w:tcPr>
                  <w:tcW w:w="406" w:type="dxa"/>
                  <w:tcBorders>
                    <w:tl2br w:val="nil"/>
                    <w:tr2bl w:val="nil"/>
                  </w:tcBorders>
                  <w:shd w:val="clear" w:color="auto" w:fill="FFFFFF"/>
                  <w:vAlign w:val="center"/>
                </w:tcPr>
                <w:p w14:paraId="1FF75444">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1.2</w:t>
                  </w:r>
                </w:p>
              </w:tc>
              <w:tc>
                <w:tcPr>
                  <w:tcW w:w="895" w:type="dxa"/>
                  <w:tcBorders>
                    <w:tl2br w:val="nil"/>
                    <w:tr2bl w:val="nil"/>
                  </w:tcBorders>
                  <w:shd w:val="clear" w:color="auto" w:fill="auto"/>
                  <w:vAlign w:val="center"/>
                </w:tcPr>
                <w:p w14:paraId="57A7BC81">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30</w:t>
                  </w:r>
                </w:p>
              </w:tc>
              <w:tc>
                <w:tcPr>
                  <w:tcW w:w="982" w:type="dxa"/>
                  <w:tcBorders>
                    <w:tl2br w:val="nil"/>
                    <w:tr2bl w:val="nil"/>
                  </w:tcBorders>
                  <w:shd w:val="clear" w:color="auto" w:fill="auto"/>
                  <w:vAlign w:val="center"/>
                </w:tcPr>
                <w:p w14:paraId="2035D9BA">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default" w:cs="Times New Roman"/>
                      <w:b w:val="0"/>
                      <w:bCs w:val="0"/>
                      <w:color w:val="auto"/>
                      <w:szCs w:val="21"/>
                      <w:highlight w:val="none"/>
                      <w:lang w:val="en-US" w:eastAsia="zh-CN"/>
                    </w:rPr>
                    <w:t>20</w:t>
                  </w:r>
                </w:p>
              </w:tc>
              <w:tc>
                <w:tcPr>
                  <w:tcW w:w="498" w:type="dxa"/>
                  <w:vMerge w:val="continue"/>
                  <w:tcBorders>
                    <w:tl2br w:val="nil"/>
                    <w:tr2bl w:val="nil"/>
                  </w:tcBorders>
                  <w:vAlign w:val="center"/>
                </w:tcPr>
                <w:p w14:paraId="57E38143">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r>
            <w:tr w14:paraId="7307CBBC">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cantSplit/>
                <w:trHeight w:val="280" w:hRule="atLeast"/>
                <w:jc w:val="center"/>
              </w:trPr>
              <w:tc>
                <w:tcPr>
                  <w:tcW w:w="290" w:type="dxa"/>
                  <w:tcBorders>
                    <w:tl2br w:val="nil"/>
                    <w:tr2bl w:val="nil"/>
                  </w:tcBorders>
                  <w:vAlign w:val="center"/>
                </w:tcPr>
                <w:p w14:paraId="2EB856A9">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eastAsia" w:ascii="Times New Roman" w:hAnsi="Times New Roman" w:eastAsia="宋体" w:cs="Times New Roman"/>
                      <w:b w:val="0"/>
                      <w:bCs w:val="0"/>
                      <w:color w:val="auto"/>
                      <w:szCs w:val="21"/>
                      <w:highlight w:val="none"/>
                      <w:lang w:val="en-US" w:eastAsia="zh-CN"/>
                    </w:rPr>
                    <w:t>5</w:t>
                  </w:r>
                </w:p>
              </w:tc>
              <w:tc>
                <w:tcPr>
                  <w:tcW w:w="1329" w:type="dxa"/>
                  <w:tcBorders>
                    <w:tl2br w:val="nil"/>
                    <w:tr2bl w:val="nil"/>
                  </w:tcBorders>
                  <w:vAlign w:val="center"/>
                </w:tcPr>
                <w:p w14:paraId="0A2AB456">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气流粉碎机</w:t>
                  </w:r>
                </w:p>
              </w:tc>
              <w:tc>
                <w:tcPr>
                  <w:tcW w:w="696" w:type="dxa"/>
                  <w:tcBorders>
                    <w:tl2br w:val="nil"/>
                    <w:tr2bl w:val="nil"/>
                  </w:tcBorders>
                  <w:vAlign w:val="center"/>
                </w:tcPr>
                <w:p w14:paraId="004F9E78">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1</w:t>
                  </w:r>
                </w:p>
              </w:tc>
              <w:tc>
                <w:tcPr>
                  <w:tcW w:w="971" w:type="dxa"/>
                  <w:tcBorders>
                    <w:tl2br w:val="nil"/>
                    <w:tr2bl w:val="nil"/>
                  </w:tcBorders>
                  <w:vAlign w:val="center"/>
                </w:tcPr>
                <w:p w14:paraId="6E772556">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65</w:t>
                  </w:r>
                </w:p>
              </w:tc>
              <w:tc>
                <w:tcPr>
                  <w:tcW w:w="683" w:type="dxa"/>
                  <w:vMerge w:val="continue"/>
                  <w:tcBorders>
                    <w:tl2br w:val="nil"/>
                    <w:tr2bl w:val="nil"/>
                  </w:tcBorders>
                  <w:vAlign w:val="center"/>
                </w:tcPr>
                <w:p w14:paraId="611A53F5">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p>
              </w:tc>
              <w:tc>
                <w:tcPr>
                  <w:tcW w:w="461" w:type="dxa"/>
                  <w:tcBorders>
                    <w:tl2br w:val="nil"/>
                    <w:tr2bl w:val="nil"/>
                  </w:tcBorders>
                  <w:shd w:val="clear" w:color="auto" w:fill="FFFFFF"/>
                  <w:vAlign w:val="center"/>
                </w:tcPr>
                <w:p w14:paraId="671FADCA">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-21.9</w:t>
                  </w:r>
                </w:p>
              </w:tc>
              <w:tc>
                <w:tcPr>
                  <w:tcW w:w="425" w:type="dxa"/>
                  <w:tcBorders>
                    <w:tl2br w:val="nil"/>
                    <w:tr2bl w:val="nil"/>
                  </w:tcBorders>
                  <w:shd w:val="clear" w:color="auto" w:fill="FFFFFF"/>
                  <w:vAlign w:val="center"/>
                </w:tcPr>
                <w:p w14:paraId="2EBF06EF">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4.2</w:t>
                  </w:r>
                </w:p>
              </w:tc>
              <w:tc>
                <w:tcPr>
                  <w:tcW w:w="406" w:type="dxa"/>
                  <w:tcBorders>
                    <w:tl2br w:val="nil"/>
                    <w:tr2bl w:val="nil"/>
                  </w:tcBorders>
                  <w:shd w:val="clear" w:color="auto" w:fill="FFFFFF"/>
                  <w:vAlign w:val="center"/>
                </w:tcPr>
                <w:p w14:paraId="41F13934">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1.2</w:t>
                  </w:r>
                </w:p>
              </w:tc>
              <w:tc>
                <w:tcPr>
                  <w:tcW w:w="895" w:type="dxa"/>
                  <w:tcBorders>
                    <w:tl2br w:val="nil"/>
                    <w:tr2bl w:val="nil"/>
                  </w:tcBorders>
                  <w:shd w:val="clear" w:color="auto" w:fill="auto"/>
                  <w:vAlign w:val="center"/>
                </w:tcPr>
                <w:p w14:paraId="23FD6564">
                  <w:pPr>
                    <w:kinsoku w:val="0"/>
                    <w:overflowPunct w:val="0"/>
                    <w:autoSpaceDE w:val="0"/>
                    <w:autoSpaceDN w:val="0"/>
                    <w:adjustRightInd w:val="0"/>
                    <w:snapToGrid w:val="0"/>
                    <w:jc w:val="center"/>
                    <w:rPr>
                      <w:rFonts w:hint="eastAsia"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45</w:t>
                  </w:r>
                </w:p>
              </w:tc>
              <w:tc>
                <w:tcPr>
                  <w:tcW w:w="982" w:type="dxa"/>
                  <w:tcBorders>
                    <w:tl2br w:val="nil"/>
                    <w:tr2bl w:val="nil"/>
                  </w:tcBorders>
                  <w:shd w:val="clear" w:color="auto" w:fill="auto"/>
                  <w:vAlign w:val="center"/>
                </w:tcPr>
                <w:p w14:paraId="588E349E">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default" w:cs="Times New Roman"/>
                      <w:b w:val="0"/>
                      <w:bCs w:val="0"/>
                      <w:color w:val="auto"/>
                      <w:szCs w:val="21"/>
                      <w:highlight w:val="none"/>
                      <w:lang w:val="en-US" w:eastAsia="zh-CN"/>
                    </w:rPr>
                    <w:t>20</w:t>
                  </w:r>
                </w:p>
              </w:tc>
              <w:tc>
                <w:tcPr>
                  <w:tcW w:w="498" w:type="dxa"/>
                  <w:vMerge w:val="continue"/>
                  <w:tcBorders>
                    <w:tl2br w:val="nil"/>
                    <w:tr2bl w:val="nil"/>
                  </w:tcBorders>
                  <w:vAlign w:val="center"/>
                </w:tcPr>
                <w:p w14:paraId="41BA8933">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r>
            <w:tr w14:paraId="05192E23">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cantSplit/>
                <w:trHeight w:val="280" w:hRule="atLeast"/>
                <w:jc w:val="center"/>
              </w:trPr>
              <w:tc>
                <w:tcPr>
                  <w:tcW w:w="290" w:type="dxa"/>
                  <w:tcBorders>
                    <w:tl2br w:val="nil"/>
                    <w:tr2bl w:val="nil"/>
                  </w:tcBorders>
                  <w:vAlign w:val="center"/>
                </w:tcPr>
                <w:p w14:paraId="733E34E0">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eastAsia" w:ascii="Times New Roman" w:hAnsi="Times New Roman" w:eastAsia="宋体" w:cs="Times New Roman"/>
                      <w:b w:val="0"/>
                      <w:bCs w:val="0"/>
                      <w:color w:val="auto"/>
                      <w:szCs w:val="21"/>
                      <w:highlight w:val="none"/>
                      <w:lang w:val="en-US" w:eastAsia="zh-CN"/>
                    </w:rPr>
                    <w:t>6</w:t>
                  </w:r>
                </w:p>
              </w:tc>
              <w:tc>
                <w:tcPr>
                  <w:tcW w:w="1329" w:type="dxa"/>
                  <w:tcBorders>
                    <w:tl2br w:val="nil"/>
                    <w:tr2bl w:val="nil"/>
                  </w:tcBorders>
                  <w:vAlign w:val="center"/>
                </w:tcPr>
                <w:p w14:paraId="6FC90242">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鼓风干燥箱</w:t>
                  </w:r>
                </w:p>
              </w:tc>
              <w:tc>
                <w:tcPr>
                  <w:tcW w:w="696" w:type="dxa"/>
                  <w:tcBorders>
                    <w:tl2br w:val="nil"/>
                    <w:tr2bl w:val="nil"/>
                  </w:tcBorders>
                  <w:vAlign w:val="center"/>
                </w:tcPr>
                <w:p w14:paraId="6FE49E96">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1</w:t>
                  </w:r>
                </w:p>
              </w:tc>
              <w:tc>
                <w:tcPr>
                  <w:tcW w:w="971" w:type="dxa"/>
                  <w:tcBorders>
                    <w:tl2br w:val="nil"/>
                    <w:tr2bl w:val="nil"/>
                  </w:tcBorders>
                  <w:vAlign w:val="center"/>
                </w:tcPr>
                <w:p w14:paraId="39D1B1E2">
                  <w:pPr>
                    <w:kinsoku w:val="0"/>
                    <w:overflowPunct w:val="0"/>
                    <w:autoSpaceDE w:val="0"/>
                    <w:autoSpaceDN w:val="0"/>
                    <w:adjustRightInd w:val="0"/>
                    <w:snapToGrid w:val="0"/>
                    <w:jc w:val="center"/>
                    <w:rPr>
                      <w:rFonts w:hint="eastAsia"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65</w:t>
                  </w:r>
                </w:p>
              </w:tc>
              <w:tc>
                <w:tcPr>
                  <w:tcW w:w="683" w:type="dxa"/>
                  <w:vMerge w:val="continue"/>
                  <w:tcBorders>
                    <w:tl2br w:val="nil"/>
                    <w:tr2bl w:val="nil"/>
                  </w:tcBorders>
                  <w:vAlign w:val="center"/>
                </w:tcPr>
                <w:p w14:paraId="03F6CF5B">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p>
              </w:tc>
              <w:tc>
                <w:tcPr>
                  <w:tcW w:w="461" w:type="dxa"/>
                  <w:tcBorders>
                    <w:tl2br w:val="nil"/>
                    <w:tr2bl w:val="nil"/>
                  </w:tcBorders>
                  <w:shd w:val="clear" w:color="auto" w:fill="FFFFFF"/>
                  <w:vAlign w:val="center"/>
                </w:tcPr>
                <w:p w14:paraId="79F85410">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-21.9</w:t>
                  </w:r>
                </w:p>
              </w:tc>
              <w:tc>
                <w:tcPr>
                  <w:tcW w:w="425" w:type="dxa"/>
                  <w:tcBorders>
                    <w:tl2br w:val="nil"/>
                    <w:tr2bl w:val="nil"/>
                  </w:tcBorders>
                  <w:shd w:val="clear" w:color="auto" w:fill="FFFFFF"/>
                  <w:vAlign w:val="center"/>
                </w:tcPr>
                <w:p w14:paraId="344D3C90">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2.2</w:t>
                  </w:r>
                </w:p>
              </w:tc>
              <w:tc>
                <w:tcPr>
                  <w:tcW w:w="406" w:type="dxa"/>
                  <w:tcBorders>
                    <w:tl2br w:val="nil"/>
                    <w:tr2bl w:val="nil"/>
                  </w:tcBorders>
                  <w:shd w:val="clear" w:color="auto" w:fill="FFFFFF"/>
                  <w:vAlign w:val="center"/>
                </w:tcPr>
                <w:p w14:paraId="30FFEBA5">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1.2</w:t>
                  </w:r>
                </w:p>
              </w:tc>
              <w:tc>
                <w:tcPr>
                  <w:tcW w:w="895" w:type="dxa"/>
                  <w:tcBorders>
                    <w:tl2br w:val="nil"/>
                    <w:tr2bl w:val="nil"/>
                  </w:tcBorders>
                  <w:shd w:val="clear" w:color="auto" w:fill="auto"/>
                  <w:vAlign w:val="center"/>
                </w:tcPr>
                <w:p w14:paraId="19B93245">
                  <w:pPr>
                    <w:kinsoku w:val="0"/>
                    <w:overflowPunct w:val="0"/>
                    <w:autoSpaceDE w:val="0"/>
                    <w:autoSpaceDN w:val="0"/>
                    <w:adjustRightInd w:val="0"/>
                    <w:snapToGrid w:val="0"/>
                    <w:jc w:val="center"/>
                    <w:rPr>
                      <w:rFonts w:hint="eastAsia"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45</w:t>
                  </w:r>
                </w:p>
              </w:tc>
              <w:tc>
                <w:tcPr>
                  <w:tcW w:w="982" w:type="dxa"/>
                  <w:tcBorders>
                    <w:tl2br w:val="nil"/>
                    <w:tr2bl w:val="nil"/>
                  </w:tcBorders>
                  <w:shd w:val="clear" w:color="auto" w:fill="auto"/>
                  <w:vAlign w:val="center"/>
                </w:tcPr>
                <w:p w14:paraId="1167AF28">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default" w:cs="Times New Roman"/>
                      <w:b w:val="0"/>
                      <w:bCs w:val="0"/>
                      <w:color w:val="auto"/>
                      <w:szCs w:val="21"/>
                      <w:highlight w:val="none"/>
                      <w:lang w:val="en-US" w:eastAsia="zh-CN"/>
                    </w:rPr>
                    <w:t>20</w:t>
                  </w:r>
                </w:p>
              </w:tc>
              <w:tc>
                <w:tcPr>
                  <w:tcW w:w="498" w:type="dxa"/>
                  <w:vMerge w:val="continue"/>
                  <w:tcBorders>
                    <w:tl2br w:val="nil"/>
                    <w:tr2bl w:val="nil"/>
                  </w:tcBorders>
                  <w:vAlign w:val="center"/>
                </w:tcPr>
                <w:p w14:paraId="46DAF999">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r>
            <w:tr w14:paraId="18CDE5FC">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cantSplit/>
                <w:trHeight w:val="280" w:hRule="atLeast"/>
                <w:jc w:val="center"/>
              </w:trPr>
              <w:tc>
                <w:tcPr>
                  <w:tcW w:w="290" w:type="dxa"/>
                  <w:tcBorders>
                    <w:tl2br w:val="nil"/>
                    <w:tr2bl w:val="nil"/>
                  </w:tcBorders>
                  <w:vAlign w:val="center"/>
                </w:tcPr>
                <w:p w14:paraId="016017B9">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eastAsia" w:ascii="Times New Roman" w:hAnsi="Times New Roman" w:eastAsia="宋体" w:cs="Times New Roman"/>
                      <w:b w:val="0"/>
                      <w:bCs w:val="0"/>
                      <w:color w:val="auto"/>
                      <w:szCs w:val="21"/>
                      <w:highlight w:val="none"/>
                      <w:lang w:val="en-US" w:eastAsia="zh-CN"/>
                    </w:rPr>
                    <w:t>7</w:t>
                  </w:r>
                </w:p>
              </w:tc>
              <w:tc>
                <w:tcPr>
                  <w:tcW w:w="1329" w:type="dxa"/>
                  <w:tcBorders>
                    <w:tl2br w:val="nil"/>
                    <w:tr2bl w:val="nil"/>
                  </w:tcBorders>
                  <w:vAlign w:val="center"/>
                </w:tcPr>
                <w:p w14:paraId="3B5D6265">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双分散轴真空行星搅拌机</w:t>
                  </w:r>
                </w:p>
              </w:tc>
              <w:tc>
                <w:tcPr>
                  <w:tcW w:w="696" w:type="dxa"/>
                  <w:tcBorders>
                    <w:tl2br w:val="nil"/>
                    <w:tr2bl w:val="nil"/>
                  </w:tcBorders>
                  <w:vAlign w:val="center"/>
                </w:tcPr>
                <w:p w14:paraId="2C6A7B9E">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1</w:t>
                  </w:r>
                </w:p>
              </w:tc>
              <w:tc>
                <w:tcPr>
                  <w:tcW w:w="971" w:type="dxa"/>
                  <w:tcBorders>
                    <w:tl2br w:val="nil"/>
                    <w:tr2bl w:val="nil"/>
                  </w:tcBorders>
                  <w:vAlign w:val="center"/>
                </w:tcPr>
                <w:p w14:paraId="540312BC">
                  <w:pPr>
                    <w:kinsoku w:val="0"/>
                    <w:overflowPunct w:val="0"/>
                    <w:autoSpaceDE w:val="0"/>
                    <w:autoSpaceDN w:val="0"/>
                    <w:adjustRightInd w:val="0"/>
                    <w:snapToGrid w:val="0"/>
                    <w:jc w:val="center"/>
                    <w:rPr>
                      <w:rFonts w:hint="eastAsia"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65</w:t>
                  </w:r>
                </w:p>
              </w:tc>
              <w:tc>
                <w:tcPr>
                  <w:tcW w:w="683" w:type="dxa"/>
                  <w:vMerge w:val="continue"/>
                  <w:tcBorders>
                    <w:tl2br w:val="nil"/>
                    <w:tr2bl w:val="nil"/>
                  </w:tcBorders>
                  <w:vAlign w:val="center"/>
                </w:tcPr>
                <w:p w14:paraId="5A2ADEAE">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p>
              </w:tc>
              <w:tc>
                <w:tcPr>
                  <w:tcW w:w="461" w:type="dxa"/>
                  <w:tcBorders>
                    <w:tl2br w:val="nil"/>
                    <w:tr2bl w:val="nil"/>
                  </w:tcBorders>
                  <w:shd w:val="clear" w:color="auto" w:fill="FFFFFF"/>
                  <w:vAlign w:val="center"/>
                </w:tcPr>
                <w:p w14:paraId="0F0E6760">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-2.8</w:t>
                  </w:r>
                </w:p>
              </w:tc>
              <w:tc>
                <w:tcPr>
                  <w:tcW w:w="425" w:type="dxa"/>
                  <w:tcBorders>
                    <w:tl2br w:val="nil"/>
                    <w:tr2bl w:val="nil"/>
                  </w:tcBorders>
                  <w:shd w:val="clear" w:color="auto" w:fill="FFFFFF"/>
                  <w:vAlign w:val="center"/>
                </w:tcPr>
                <w:p w14:paraId="202B621F">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0.9</w:t>
                  </w:r>
                </w:p>
              </w:tc>
              <w:tc>
                <w:tcPr>
                  <w:tcW w:w="406" w:type="dxa"/>
                  <w:tcBorders>
                    <w:tl2br w:val="nil"/>
                    <w:tr2bl w:val="nil"/>
                  </w:tcBorders>
                  <w:shd w:val="clear" w:color="auto" w:fill="FFFFFF"/>
                  <w:vAlign w:val="center"/>
                </w:tcPr>
                <w:p w14:paraId="5100DD74">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1.2</w:t>
                  </w:r>
                </w:p>
              </w:tc>
              <w:tc>
                <w:tcPr>
                  <w:tcW w:w="895" w:type="dxa"/>
                  <w:tcBorders>
                    <w:tl2br w:val="nil"/>
                    <w:tr2bl w:val="nil"/>
                  </w:tcBorders>
                  <w:shd w:val="clear" w:color="auto" w:fill="auto"/>
                  <w:vAlign w:val="center"/>
                </w:tcPr>
                <w:p w14:paraId="16404D59">
                  <w:pPr>
                    <w:kinsoku w:val="0"/>
                    <w:overflowPunct w:val="0"/>
                    <w:autoSpaceDE w:val="0"/>
                    <w:autoSpaceDN w:val="0"/>
                    <w:adjustRightInd w:val="0"/>
                    <w:snapToGrid w:val="0"/>
                    <w:jc w:val="center"/>
                    <w:rPr>
                      <w:rFonts w:hint="eastAsia"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45</w:t>
                  </w:r>
                </w:p>
              </w:tc>
              <w:tc>
                <w:tcPr>
                  <w:tcW w:w="982" w:type="dxa"/>
                  <w:tcBorders>
                    <w:tl2br w:val="nil"/>
                    <w:tr2bl w:val="nil"/>
                  </w:tcBorders>
                  <w:shd w:val="clear" w:color="auto" w:fill="auto"/>
                  <w:vAlign w:val="center"/>
                </w:tcPr>
                <w:p w14:paraId="7CBA72C7">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default" w:cs="Times New Roman"/>
                      <w:b w:val="0"/>
                      <w:bCs w:val="0"/>
                      <w:color w:val="auto"/>
                      <w:szCs w:val="21"/>
                      <w:highlight w:val="none"/>
                      <w:lang w:val="en-US" w:eastAsia="zh-CN"/>
                    </w:rPr>
                    <w:t>20</w:t>
                  </w:r>
                </w:p>
              </w:tc>
              <w:tc>
                <w:tcPr>
                  <w:tcW w:w="498" w:type="dxa"/>
                  <w:vMerge w:val="continue"/>
                  <w:tcBorders>
                    <w:tl2br w:val="nil"/>
                    <w:tr2bl w:val="nil"/>
                  </w:tcBorders>
                  <w:vAlign w:val="center"/>
                </w:tcPr>
                <w:p w14:paraId="3C641EA5">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r>
            <w:tr w14:paraId="75878274">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PrEx>
              <w:trPr>
                <w:cantSplit/>
                <w:trHeight w:val="280" w:hRule="atLeast"/>
                <w:jc w:val="center"/>
              </w:trPr>
              <w:tc>
                <w:tcPr>
                  <w:tcW w:w="290" w:type="dxa"/>
                  <w:tcBorders>
                    <w:tl2br w:val="nil"/>
                    <w:tr2bl w:val="nil"/>
                  </w:tcBorders>
                  <w:vAlign w:val="center"/>
                </w:tcPr>
                <w:p w14:paraId="385A9457">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eastAsia" w:ascii="Times New Roman" w:hAnsi="Times New Roman" w:eastAsia="宋体" w:cs="Times New Roman"/>
                      <w:b w:val="0"/>
                      <w:bCs w:val="0"/>
                      <w:color w:val="auto"/>
                      <w:szCs w:val="21"/>
                      <w:highlight w:val="none"/>
                      <w:lang w:val="en-US" w:eastAsia="zh-CN"/>
                    </w:rPr>
                    <w:t>8</w:t>
                  </w:r>
                </w:p>
              </w:tc>
              <w:tc>
                <w:tcPr>
                  <w:tcW w:w="1329" w:type="dxa"/>
                  <w:tcBorders>
                    <w:tl2br w:val="nil"/>
                    <w:tr2bl w:val="nil"/>
                  </w:tcBorders>
                  <w:vAlign w:val="center"/>
                </w:tcPr>
                <w:p w14:paraId="7CE4088D">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双分散轴真空行星搅拌机</w:t>
                  </w:r>
                </w:p>
              </w:tc>
              <w:tc>
                <w:tcPr>
                  <w:tcW w:w="696" w:type="dxa"/>
                  <w:tcBorders>
                    <w:tl2br w:val="nil"/>
                    <w:tr2bl w:val="nil"/>
                  </w:tcBorders>
                  <w:vAlign w:val="center"/>
                </w:tcPr>
                <w:p w14:paraId="2C6457C3">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1</w:t>
                  </w:r>
                </w:p>
              </w:tc>
              <w:tc>
                <w:tcPr>
                  <w:tcW w:w="971" w:type="dxa"/>
                  <w:tcBorders>
                    <w:tl2br w:val="nil"/>
                    <w:tr2bl w:val="nil"/>
                  </w:tcBorders>
                  <w:vAlign w:val="center"/>
                </w:tcPr>
                <w:p w14:paraId="17980D4D">
                  <w:pPr>
                    <w:kinsoku w:val="0"/>
                    <w:overflowPunct w:val="0"/>
                    <w:autoSpaceDE w:val="0"/>
                    <w:autoSpaceDN w:val="0"/>
                    <w:adjustRightInd w:val="0"/>
                    <w:snapToGrid w:val="0"/>
                    <w:jc w:val="center"/>
                    <w:rPr>
                      <w:rFonts w:hint="eastAsia"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65</w:t>
                  </w:r>
                </w:p>
              </w:tc>
              <w:tc>
                <w:tcPr>
                  <w:tcW w:w="683" w:type="dxa"/>
                  <w:vMerge w:val="continue"/>
                  <w:tcBorders>
                    <w:tl2br w:val="nil"/>
                    <w:tr2bl w:val="nil"/>
                  </w:tcBorders>
                  <w:vAlign w:val="center"/>
                </w:tcPr>
                <w:p w14:paraId="705DD9D3">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p>
              </w:tc>
              <w:tc>
                <w:tcPr>
                  <w:tcW w:w="461" w:type="dxa"/>
                  <w:tcBorders>
                    <w:tl2br w:val="nil"/>
                    <w:tr2bl w:val="nil"/>
                  </w:tcBorders>
                  <w:shd w:val="clear" w:color="auto" w:fill="FFFFFF"/>
                  <w:vAlign w:val="center"/>
                </w:tcPr>
                <w:p w14:paraId="58BE90BB">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-4.3</w:t>
                  </w:r>
                </w:p>
              </w:tc>
              <w:tc>
                <w:tcPr>
                  <w:tcW w:w="425" w:type="dxa"/>
                  <w:tcBorders>
                    <w:tl2br w:val="nil"/>
                    <w:tr2bl w:val="nil"/>
                  </w:tcBorders>
                  <w:shd w:val="clear" w:color="auto" w:fill="FFFFFF"/>
                  <w:vAlign w:val="center"/>
                </w:tcPr>
                <w:p w14:paraId="0B71B244">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4.4</w:t>
                  </w:r>
                </w:p>
              </w:tc>
              <w:tc>
                <w:tcPr>
                  <w:tcW w:w="406" w:type="dxa"/>
                  <w:tcBorders>
                    <w:tl2br w:val="nil"/>
                    <w:tr2bl w:val="nil"/>
                  </w:tcBorders>
                  <w:shd w:val="clear" w:color="auto" w:fill="FFFFFF"/>
                  <w:vAlign w:val="center"/>
                </w:tcPr>
                <w:p w14:paraId="5CBC8A0B">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1.2</w:t>
                  </w:r>
                </w:p>
              </w:tc>
              <w:tc>
                <w:tcPr>
                  <w:tcW w:w="895" w:type="dxa"/>
                  <w:tcBorders>
                    <w:tl2br w:val="nil"/>
                    <w:tr2bl w:val="nil"/>
                  </w:tcBorders>
                  <w:shd w:val="clear" w:color="auto" w:fill="auto"/>
                  <w:vAlign w:val="center"/>
                </w:tcPr>
                <w:p w14:paraId="71CF5457">
                  <w:pPr>
                    <w:kinsoku w:val="0"/>
                    <w:overflowPunct w:val="0"/>
                    <w:autoSpaceDE w:val="0"/>
                    <w:autoSpaceDN w:val="0"/>
                    <w:adjustRightInd w:val="0"/>
                    <w:snapToGrid w:val="0"/>
                    <w:jc w:val="center"/>
                    <w:rPr>
                      <w:rFonts w:hint="eastAsia"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45</w:t>
                  </w:r>
                </w:p>
              </w:tc>
              <w:tc>
                <w:tcPr>
                  <w:tcW w:w="982" w:type="dxa"/>
                  <w:tcBorders>
                    <w:tl2br w:val="nil"/>
                    <w:tr2bl w:val="nil"/>
                  </w:tcBorders>
                  <w:shd w:val="clear" w:color="auto" w:fill="auto"/>
                  <w:vAlign w:val="center"/>
                </w:tcPr>
                <w:p w14:paraId="3381EADF">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default" w:cs="Times New Roman"/>
                      <w:b w:val="0"/>
                      <w:bCs w:val="0"/>
                      <w:color w:val="auto"/>
                      <w:szCs w:val="21"/>
                      <w:highlight w:val="none"/>
                      <w:lang w:val="en-US" w:eastAsia="zh-CN"/>
                    </w:rPr>
                    <w:t>20</w:t>
                  </w:r>
                </w:p>
              </w:tc>
              <w:tc>
                <w:tcPr>
                  <w:tcW w:w="498" w:type="dxa"/>
                  <w:vMerge w:val="continue"/>
                  <w:tcBorders>
                    <w:tl2br w:val="nil"/>
                    <w:tr2bl w:val="nil"/>
                  </w:tcBorders>
                  <w:vAlign w:val="center"/>
                </w:tcPr>
                <w:p w14:paraId="3FD8E240">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r>
            <w:tr w14:paraId="2D032A08">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cantSplit/>
                <w:trHeight w:val="280" w:hRule="atLeast"/>
                <w:jc w:val="center"/>
              </w:trPr>
              <w:tc>
                <w:tcPr>
                  <w:tcW w:w="290" w:type="dxa"/>
                  <w:tcBorders>
                    <w:tl2br w:val="nil"/>
                    <w:tr2bl w:val="nil"/>
                  </w:tcBorders>
                  <w:vAlign w:val="center"/>
                </w:tcPr>
                <w:p w14:paraId="351163E1">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9</w:t>
                  </w:r>
                </w:p>
              </w:tc>
              <w:tc>
                <w:tcPr>
                  <w:tcW w:w="1329" w:type="dxa"/>
                  <w:tcBorders>
                    <w:tl2br w:val="nil"/>
                    <w:tr2bl w:val="nil"/>
                  </w:tcBorders>
                  <w:vAlign w:val="center"/>
                </w:tcPr>
                <w:p w14:paraId="2F9C2AA0">
                  <w:pPr>
                    <w:kinsoku w:val="0"/>
                    <w:overflowPunct w:val="0"/>
                    <w:autoSpaceDE w:val="0"/>
                    <w:autoSpaceDN w:val="0"/>
                    <w:adjustRightInd w:val="0"/>
                    <w:snapToGrid w:val="0"/>
                    <w:jc w:val="center"/>
                    <w:rPr>
                      <w:rFonts w:hint="eastAsia"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双分散轴真空行星搅拌机</w:t>
                  </w:r>
                </w:p>
              </w:tc>
              <w:tc>
                <w:tcPr>
                  <w:tcW w:w="696" w:type="dxa"/>
                  <w:tcBorders>
                    <w:tl2br w:val="nil"/>
                    <w:tr2bl w:val="nil"/>
                  </w:tcBorders>
                  <w:vAlign w:val="center"/>
                </w:tcPr>
                <w:p w14:paraId="019CAB31">
                  <w:pPr>
                    <w:kinsoku w:val="0"/>
                    <w:overflowPunct w:val="0"/>
                    <w:autoSpaceDE w:val="0"/>
                    <w:autoSpaceDN w:val="0"/>
                    <w:adjustRightInd w:val="0"/>
                    <w:snapToGrid w:val="0"/>
                    <w:jc w:val="center"/>
                    <w:rPr>
                      <w:rFonts w:hint="eastAsia" w:cs="Times New Roman"/>
                      <w:b w:val="0"/>
                      <w:bCs w:val="0"/>
                      <w:color w:val="auto"/>
                      <w:szCs w:val="21"/>
                      <w:highlight w:val="none"/>
                      <w:lang w:val="en-US" w:eastAsia="zh-CN"/>
                    </w:rPr>
                  </w:pPr>
                </w:p>
              </w:tc>
              <w:tc>
                <w:tcPr>
                  <w:tcW w:w="971" w:type="dxa"/>
                  <w:tcBorders>
                    <w:tl2br w:val="nil"/>
                    <w:tr2bl w:val="nil"/>
                  </w:tcBorders>
                  <w:vAlign w:val="center"/>
                </w:tcPr>
                <w:p w14:paraId="153A0897">
                  <w:pPr>
                    <w:kinsoku w:val="0"/>
                    <w:overflowPunct w:val="0"/>
                    <w:autoSpaceDE w:val="0"/>
                    <w:autoSpaceDN w:val="0"/>
                    <w:adjustRightInd w:val="0"/>
                    <w:snapToGrid w:val="0"/>
                    <w:jc w:val="center"/>
                    <w:rPr>
                      <w:rFonts w:hint="eastAsia"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65</w:t>
                  </w:r>
                </w:p>
              </w:tc>
              <w:tc>
                <w:tcPr>
                  <w:tcW w:w="683" w:type="dxa"/>
                  <w:vMerge w:val="continue"/>
                  <w:tcBorders>
                    <w:tl2br w:val="nil"/>
                    <w:tr2bl w:val="nil"/>
                  </w:tcBorders>
                  <w:vAlign w:val="center"/>
                </w:tcPr>
                <w:p w14:paraId="08AD4C92">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p>
              </w:tc>
              <w:tc>
                <w:tcPr>
                  <w:tcW w:w="461" w:type="dxa"/>
                  <w:tcBorders>
                    <w:tl2br w:val="nil"/>
                    <w:tr2bl w:val="nil"/>
                  </w:tcBorders>
                  <w:shd w:val="clear" w:color="auto" w:fill="FFFFFF"/>
                  <w:vAlign w:val="center"/>
                </w:tcPr>
                <w:p w14:paraId="72E266A0">
                  <w:pPr>
                    <w:kinsoku w:val="0"/>
                    <w:overflowPunct w:val="0"/>
                    <w:autoSpaceDE w:val="0"/>
                    <w:autoSpaceDN w:val="0"/>
                    <w:adjustRightInd w:val="0"/>
                    <w:snapToGrid w:val="0"/>
                    <w:jc w:val="center"/>
                    <w:rPr>
                      <w:rFonts w:hint="eastAsia"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-2.7</w:t>
                  </w:r>
                </w:p>
              </w:tc>
              <w:tc>
                <w:tcPr>
                  <w:tcW w:w="425" w:type="dxa"/>
                  <w:tcBorders>
                    <w:tl2br w:val="nil"/>
                    <w:tr2bl w:val="nil"/>
                  </w:tcBorders>
                  <w:shd w:val="clear" w:color="auto" w:fill="FFFFFF"/>
                  <w:vAlign w:val="center"/>
                </w:tcPr>
                <w:p w14:paraId="3A52A3F1">
                  <w:pPr>
                    <w:kinsoku w:val="0"/>
                    <w:overflowPunct w:val="0"/>
                    <w:autoSpaceDE w:val="0"/>
                    <w:autoSpaceDN w:val="0"/>
                    <w:adjustRightInd w:val="0"/>
                    <w:snapToGrid w:val="0"/>
                    <w:jc w:val="center"/>
                    <w:rPr>
                      <w:rFonts w:hint="eastAsia"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4.4</w:t>
                  </w:r>
                </w:p>
              </w:tc>
              <w:tc>
                <w:tcPr>
                  <w:tcW w:w="406" w:type="dxa"/>
                  <w:tcBorders>
                    <w:tl2br w:val="nil"/>
                    <w:tr2bl w:val="nil"/>
                  </w:tcBorders>
                  <w:shd w:val="clear" w:color="auto" w:fill="FFFFFF"/>
                  <w:vAlign w:val="center"/>
                </w:tcPr>
                <w:p w14:paraId="18EE9740">
                  <w:pPr>
                    <w:kinsoku w:val="0"/>
                    <w:overflowPunct w:val="0"/>
                    <w:autoSpaceDE w:val="0"/>
                    <w:autoSpaceDN w:val="0"/>
                    <w:adjustRightInd w:val="0"/>
                    <w:snapToGrid w:val="0"/>
                    <w:jc w:val="center"/>
                    <w:rPr>
                      <w:rFonts w:hint="eastAsia"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1.2</w:t>
                  </w:r>
                </w:p>
              </w:tc>
              <w:tc>
                <w:tcPr>
                  <w:tcW w:w="895" w:type="dxa"/>
                  <w:tcBorders>
                    <w:tl2br w:val="nil"/>
                    <w:tr2bl w:val="nil"/>
                  </w:tcBorders>
                  <w:shd w:val="clear" w:color="auto" w:fill="auto"/>
                  <w:vAlign w:val="center"/>
                </w:tcPr>
                <w:p w14:paraId="60A700B2">
                  <w:pPr>
                    <w:kinsoku w:val="0"/>
                    <w:overflowPunct w:val="0"/>
                    <w:autoSpaceDE w:val="0"/>
                    <w:autoSpaceDN w:val="0"/>
                    <w:adjustRightInd w:val="0"/>
                    <w:snapToGrid w:val="0"/>
                    <w:jc w:val="center"/>
                    <w:rPr>
                      <w:rFonts w:hint="eastAsia"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45</w:t>
                  </w:r>
                </w:p>
              </w:tc>
              <w:tc>
                <w:tcPr>
                  <w:tcW w:w="982" w:type="dxa"/>
                  <w:tcBorders>
                    <w:tl2br w:val="nil"/>
                    <w:tr2bl w:val="nil"/>
                  </w:tcBorders>
                  <w:shd w:val="clear" w:color="auto" w:fill="auto"/>
                  <w:vAlign w:val="center"/>
                </w:tcPr>
                <w:p w14:paraId="7F8473EF">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default" w:cs="Times New Roman"/>
                      <w:b w:val="0"/>
                      <w:bCs w:val="0"/>
                      <w:color w:val="auto"/>
                      <w:szCs w:val="21"/>
                      <w:highlight w:val="none"/>
                      <w:lang w:val="en-US" w:eastAsia="zh-CN"/>
                    </w:rPr>
                    <w:t>20</w:t>
                  </w:r>
                </w:p>
              </w:tc>
              <w:tc>
                <w:tcPr>
                  <w:tcW w:w="498" w:type="dxa"/>
                  <w:vMerge w:val="continue"/>
                  <w:tcBorders>
                    <w:tl2br w:val="nil"/>
                    <w:tr2bl w:val="nil"/>
                  </w:tcBorders>
                  <w:vAlign w:val="center"/>
                </w:tcPr>
                <w:p w14:paraId="25D879B9">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r>
            <w:tr w14:paraId="1811BB2A">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PrEx>
              <w:trPr>
                <w:cantSplit/>
                <w:trHeight w:val="280" w:hRule="atLeast"/>
                <w:jc w:val="center"/>
              </w:trPr>
              <w:tc>
                <w:tcPr>
                  <w:tcW w:w="290" w:type="dxa"/>
                  <w:tcBorders>
                    <w:tl2br w:val="nil"/>
                    <w:tr2bl w:val="nil"/>
                  </w:tcBorders>
                  <w:vAlign w:val="center"/>
                </w:tcPr>
                <w:p w14:paraId="41D9EB4D">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10</w:t>
                  </w:r>
                </w:p>
              </w:tc>
              <w:tc>
                <w:tcPr>
                  <w:tcW w:w="1329" w:type="dxa"/>
                  <w:tcBorders>
                    <w:tl2br w:val="nil"/>
                    <w:tr2bl w:val="nil"/>
                  </w:tcBorders>
                  <w:vAlign w:val="center"/>
                </w:tcPr>
                <w:p w14:paraId="5E017D54">
                  <w:pPr>
                    <w:kinsoku w:val="0"/>
                    <w:overflowPunct w:val="0"/>
                    <w:autoSpaceDE w:val="0"/>
                    <w:autoSpaceDN w:val="0"/>
                    <w:adjustRightInd w:val="0"/>
                    <w:snapToGrid w:val="0"/>
                    <w:jc w:val="center"/>
                    <w:rPr>
                      <w:rFonts w:hint="eastAsia"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小型气流筛分系统</w:t>
                  </w:r>
                </w:p>
              </w:tc>
              <w:tc>
                <w:tcPr>
                  <w:tcW w:w="696" w:type="dxa"/>
                  <w:tcBorders>
                    <w:tl2br w:val="nil"/>
                    <w:tr2bl w:val="nil"/>
                  </w:tcBorders>
                  <w:vAlign w:val="center"/>
                </w:tcPr>
                <w:p w14:paraId="34B4D48C">
                  <w:pPr>
                    <w:kinsoku w:val="0"/>
                    <w:overflowPunct w:val="0"/>
                    <w:autoSpaceDE w:val="0"/>
                    <w:autoSpaceDN w:val="0"/>
                    <w:adjustRightInd w:val="0"/>
                    <w:snapToGrid w:val="0"/>
                    <w:jc w:val="center"/>
                    <w:rPr>
                      <w:rFonts w:hint="eastAsia" w:cs="Times New Roman"/>
                      <w:b w:val="0"/>
                      <w:bCs w:val="0"/>
                      <w:color w:val="auto"/>
                      <w:szCs w:val="21"/>
                      <w:highlight w:val="none"/>
                      <w:lang w:val="en-US" w:eastAsia="zh-CN"/>
                    </w:rPr>
                  </w:pPr>
                </w:p>
              </w:tc>
              <w:tc>
                <w:tcPr>
                  <w:tcW w:w="971" w:type="dxa"/>
                  <w:tcBorders>
                    <w:tl2br w:val="nil"/>
                    <w:tr2bl w:val="nil"/>
                  </w:tcBorders>
                  <w:vAlign w:val="center"/>
                </w:tcPr>
                <w:p w14:paraId="111033C8">
                  <w:pPr>
                    <w:kinsoku w:val="0"/>
                    <w:overflowPunct w:val="0"/>
                    <w:autoSpaceDE w:val="0"/>
                    <w:autoSpaceDN w:val="0"/>
                    <w:adjustRightInd w:val="0"/>
                    <w:snapToGrid w:val="0"/>
                    <w:jc w:val="center"/>
                    <w:rPr>
                      <w:rFonts w:hint="eastAsia"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65</w:t>
                  </w:r>
                </w:p>
              </w:tc>
              <w:tc>
                <w:tcPr>
                  <w:tcW w:w="683" w:type="dxa"/>
                  <w:vMerge w:val="continue"/>
                  <w:tcBorders>
                    <w:tl2br w:val="nil"/>
                    <w:tr2bl w:val="nil"/>
                  </w:tcBorders>
                  <w:vAlign w:val="center"/>
                </w:tcPr>
                <w:p w14:paraId="4D824DB0">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p>
              </w:tc>
              <w:tc>
                <w:tcPr>
                  <w:tcW w:w="461" w:type="dxa"/>
                  <w:tcBorders>
                    <w:tl2br w:val="nil"/>
                    <w:tr2bl w:val="nil"/>
                  </w:tcBorders>
                  <w:shd w:val="clear" w:color="auto" w:fill="FFFFFF"/>
                  <w:vAlign w:val="center"/>
                </w:tcPr>
                <w:p w14:paraId="6BF576C9">
                  <w:pPr>
                    <w:kinsoku w:val="0"/>
                    <w:overflowPunct w:val="0"/>
                    <w:autoSpaceDE w:val="0"/>
                    <w:autoSpaceDN w:val="0"/>
                    <w:adjustRightInd w:val="0"/>
                    <w:snapToGrid w:val="0"/>
                    <w:jc w:val="center"/>
                    <w:rPr>
                      <w:rFonts w:hint="eastAsia"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0.8</w:t>
                  </w:r>
                </w:p>
              </w:tc>
              <w:tc>
                <w:tcPr>
                  <w:tcW w:w="425" w:type="dxa"/>
                  <w:tcBorders>
                    <w:tl2br w:val="nil"/>
                    <w:tr2bl w:val="nil"/>
                  </w:tcBorders>
                  <w:shd w:val="clear" w:color="auto" w:fill="FFFFFF"/>
                  <w:vAlign w:val="center"/>
                </w:tcPr>
                <w:p w14:paraId="63C2504B">
                  <w:pPr>
                    <w:kinsoku w:val="0"/>
                    <w:overflowPunct w:val="0"/>
                    <w:autoSpaceDE w:val="0"/>
                    <w:autoSpaceDN w:val="0"/>
                    <w:adjustRightInd w:val="0"/>
                    <w:snapToGrid w:val="0"/>
                    <w:jc w:val="center"/>
                    <w:rPr>
                      <w:rFonts w:hint="eastAsia"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-4</w:t>
                  </w:r>
                </w:p>
              </w:tc>
              <w:tc>
                <w:tcPr>
                  <w:tcW w:w="406" w:type="dxa"/>
                  <w:tcBorders>
                    <w:tl2br w:val="nil"/>
                    <w:tr2bl w:val="nil"/>
                  </w:tcBorders>
                  <w:shd w:val="clear" w:color="auto" w:fill="FFFFFF"/>
                  <w:vAlign w:val="center"/>
                </w:tcPr>
                <w:p w14:paraId="0E6AB4FD">
                  <w:pPr>
                    <w:kinsoku w:val="0"/>
                    <w:overflowPunct w:val="0"/>
                    <w:autoSpaceDE w:val="0"/>
                    <w:autoSpaceDN w:val="0"/>
                    <w:adjustRightInd w:val="0"/>
                    <w:snapToGrid w:val="0"/>
                    <w:jc w:val="center"/>
                    <w:rPr>
                      <w:rFonts w:hint="eastAsia"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1.2</w:t>
                  </w:r>
                </w:p>
              </w:tc>
              <w:tc>
                <w:tcPr>
                  <w:tcW w:w="895" w:type="dxa"/>
                  <w:tcBorders>
                    <w:tl2br w:val="nil"/>
                    <w:tr2bl w:val="nil"/>
                  </w:tcBorders>
                  <w:shd w:val="clear" w:color="auto" w:fill="auto"/>
                  <w:vAlign w:val="center"/>
                </w:tcPr>
                <w:p w14:paraId="3EDF6B77">
                  <w:pPr>
                    <w:kinsoku w:val="0"/>
                    <w:overflowPunct w:val="0"/>
                    <w:autoSpaceDE w:val="0"/>
                    <w:autoSpaceDN w:val="0"/>
                    <w:adjustRightInd w:val="0"/>
                    <w:snapToGrid w:val="0"/>
                    <w:jc w:val="center"/>
                    <w:rPr>
                      <w:rFonts w:hint="eastAsia"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45</w:t>
                  </w:r>
                </w:p>
              </w:tc>
              <w:tc>
                <w:tcPr>
                  <w:tcW w:w="982" w:type="dxa"/>
                  <w:tcBorders>
                    <w:tl2br w:val="nil"/>
                    <w:tr2bl w:val="nil"/>
                  </w:tcBorders>
                  <w:shd w:val="clear" w:color="auto" w:fill="auto"/>
                  <w:vAlign w:val="center"/>
                </w:tcPr>
                <w:p w14:paraId="3FA8D155">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default" w:cs="Times New Roman"/>
                      <w:b w:val="0"/>
                      <w:bCs w:val="0"/>
                      <w:color w:val="auto"/>
                      <w:szCs w:val="21"/>
                      <w:highlight w:val="none"/>
                      <w:lang w:val="en-US" w:eastAsia="zh-CN"/>
                    </w:rPr>
                    <w:t>20</w:t>
                  </w:r>
                </w:p>
              </w:tc>
              <w:tc>
                <w:tcPr>
                  <w:tcW w:w="498" w:type="dxa"/>
                  <w:vMerge w:val="continue"/>
                  <w:tcBorders>
                    <w:tl2br w:val="nil"/>
                    <w:tr2bl w:val="nil"/>
                  </w:tcBorders>
                  <w:vAlign w:val="center"/>
                </w:tcPr>
                <w:p w14:paraId="2BBE1A4A">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r>
            <w:tr w14:paraId="7BAFFADF">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cantSplit/>
                <w:trHeight w:val="280" w:hRule="atLeast"/>
                <w:jc w:val="center"/>
              </w:trPr>
              <w:tc>
                <w:tcPr>
                  <w:tcW w:w="290" w:type="dxa"/>
                  <w:tcBorders>
                    <w:tl2br w:val="nil"/>
                    <w:tr2bl w:val="nil"/>
                  </w:tcBorders>
                  <w:vAlign w:val="center"/>
                </w:tcPr>
                <w:p w14:paraId="59763A77">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11</w:t>
                  </w:r>
                </w:p>
              </w:tc>
              <w:tc>
                <w:tcPr>
                  <w:tcW w:w="1329" w:type="dxa"/>
                  <w:tcBorders>
                    <w:tl2br w:val="nil"/>
                    <w:tr2bl w:val="nil"/>
                  </w:tcBorders>
                  <w:vAlign w:val="center"/>
                </w:tcPr>
                <w:p w14:paraId="08772678">
                  <w:pPr>
                    <w:kinsoku w:val="0"/>
                    <w:overflowPunct w:val="0"/>
                    <w:autoSpaceDE w:val="0"/>
                    <w:autoSpaceDN w:val="0"/>
                    <w:adjustRightInd w:val="0"/>
                    <w:snapToGrid w:val="0"/>
                    <w:jc w:val="center"/>
                    <w:rPr>
                      <w:rFonts w:hint="eastAsia"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颚式破碎机</w:t>
                  </w:r>
                </w:p>
              </w:tc>
              <w:tc>
                <w:tcPr>
                  <w:tcW w:w="696" w:type="dxa"/>
                  <w:tcBorders>
                    <w:tl2br w:val="nil"/>
                    <w:tr2bl w:val="nil"/>
                  </w:tcBorders>
                  <w:vAlign w:val="center"/>
                </w:tcPr>
                <w:p w14:paraId="1308AD3F">
                  <w:pPr>
                    <w:kinsoku w:val="0"/>
                    <w:overflowPunct w:val="0"/>
                    <w:autoSpaceDE w:val="0"/>
                    <w:autoSpaceDN w:val="0"/>
                    <w:adjustRightInd w:val="0"/>
                    <w:snapToGrid w:val="0"/>
                    <w:jc w:val="center"/>
                    <w:rPr>
                      <w:rFonts w:hint="eastAsia" w:cs="Times New Roman"/>
                      <w:b w:val="0"/>
                      <w:bCs w:val="0"/>
                      <w:color w:val="auto"/>
                      <w:szCs w:val="21"/>
                      <w:highlight w:val="none"/>
                      <w:lang w:val="en-US" w:eastAsia="zh-CN"/>
                    </w:rPr>
                  </w:pPr>
                </w:p>
              </w:tc>
              <w:tc>
                <w:tcPr>
                  <w:tcW w:w="971" w:type="dxa"/>
                  <w:tcBorders>
                    <w:tl2br w:val="nil"/>
                    <w:tr2bl w:val="nil"/>
                  </w:tcBorders>
                  <w:vAlign w:val="center"/>
                </w:tcPr>
                <w:p w14:paraId="29C5B08B">
                  <w:pPr>
                    <w:kinsoku w:val="0"/>
                    <w:overflowPunct w:val="0"/>
                    <w:autoSpaceDE w:val="0"/>
                    <w:autoSpaceDN w:val="0"/>
                    <w:adjustRightInd w:val="0"/>
                    <w:snapToGrid w:val="0"/>
                    <w:jc w:val="center"/>
                    <w:rPr>
                      <w:rFonts w:hint="eastAsia"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75</w:t>
                  </w:r>
                </w:p>
              </w:tc>
              <w:tc>
                <w:tcPr>
                  <w:tcW w:w="683" w:type="dxa"/>
                  <w:vMerge w:val="continue"/>
                  <w:tcBorders>
                    <w:tl2br w:val="nil"/>
                    <w:tr2bl w:val="nil"/>
                  </w:tcBorders>
                  <w:vAlign w:val="center"/>
                </w:tcPr>
                <w:p w14:paraId="23C7A955">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p>
              </w:tc>
              <w:tc>
                <w:tcPr>
                  <w:tcW w:w="461" w:type="dxa"/>
                  <w:tcBorders>
                    <w:tl2br w:val="nil"/>
                    <w:tr2bl w:val="nil"/>
                  </w:tcBorders>
                  <w:shd w:val="clear" w:color="auto" w:fill="FFFFFF"/>
                  <w:vAlign w:val="center"/>
                </w:tcPr>
                <w:p w14:paraId="3801E67A">
                  <w:pPr>
                    <w:kinsoku w:val="0"/>
                    <w:overflowPunct w:val="0"/>
                    <w:autoSpaceDE w:val="0"/>
                    <w:autoSpaceDN w:val="0"/>
                    <w:adjustRightInd w:val="0"/>
                    <w:snapToGrid w:val="0"/>
                    <w:jc w:val="center"/>
                    <w:rPr>
                      <w:rFonts w:hint="eastAsia"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-0.6</w:t>
                  </w:r>
                </w:p>
              </w:tc>
              <w:tc>
                <w:tcPr>
                  <w:tcW w:w="425" w:type="dxa"/>
                  <w:tcBorders>
                    <w:tl2br w:val="nil"/>
                    <w:tr2bl w:val="nil"/>
                  </w:tcBorders>
                  <w:shd w:val="clear" w:color="auto" w:fill="FFFFFF"/>
                  <w:vAlign w:val="center"/>
                </w:tcPr>
                <w:p w14:paraId="11C5ED97">
                  <w:pPr>
                    <w:kinsoku w:val="0"/>
                    <w:overflowPunct w:val="0"/>
                    <w:autoSpaceDE w:val="0"/>
                    <w:autoSpaceDN w:val="0"/>
                    <w:adjustRightInd w:val="0"/>
                    <w:snapToGrid w:val="0"/>
                    <w:jc w:val="center"/>
                    <w:rPr>
                      <w:rFonts w:hint="eastAsia"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-3.9</w:t>
                  </w:r>
                </w:p>
              </w:tc>
              <w:tc>
                <w:tcPr>
                  <w:tcW w:w="406" w:type="dxa"/>
                  <w:tcBorders>
                    <w:tl2br w:val="nil"/>
                    <w:tr2bl w:val="nil"/>
                  </w:tcBorders>
                  <w:shd w:val="clear" w:color="auto" w:fill="FFFFFF"/>
                  <w:vAlign w:val="center"/>
                </w:tcPr>
                <w:p w14:paraId="23E01B31">
                  <w:pPr>
                    <w:kinsoku w:val="0"/>
                    <w:overflowPunct w:val="0"/>
                    <w:autoSpaceDE w:val="0"/>
                    <w:autoSpaceDN w:val="0"/>
                    <w:adjustRightInd w:val="0"/>
                    <w:snapToGrid w:val="0"/>
                    <w:jc w:val="center"/>
                    <w:rPr>
                      <w:rFonts w:hint="eastAsia"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1.2</w:t>
                  </w:r>
                </w:p>
              </w:tc>
              <w:tc>
                <w:tcPr>
                  <w:tcW w:w="895" w:type="dxa"/>
                  <w:tcBorders>
                    <w:tl2br w:val="nil"/>
                    <w:tr2bl w:val="nil"/>
                  </w:tcBorders>
                  <w:shd w:val="clear" w:color="auto" w:fill="auto"/>
                  <w:vAlign w:val="center"/>
                </w:tcPr>
                <w:p w14:paraId="388242D1">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55</w:t>
                  </w:r>
                </w:p>
              </w:tc>
              <w:tc>
                <w:tcPr>
                  <w:tcW w:w="982" w:type="dxa"/>
                  <w:tcBorders>
                    <w:tl2br w:val="nil"/>
                    <w:tr2bl w:val="nil"/>
                  </w:tcBorders>
                  <w:shd w:val="clear" w:color="auto" w:fill="auto"/>
                  <w:vAlign w:val="center"/>
                </w:tcPr>
                <w:p w14:paraId="18DDCD9F">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default" w:cs="Times New Roman"/>
                      <w:b w:val="0"/>
                      <w:bCs w:val="0"/>
                      <w:color w:val="auto"/>
                      <w:szCs w:val="21"/>
                      <w:highlight w:val="none"/>
                      <w:lang w:val="en-US" w:eastAsia="zh-CN"/>
                    </w:rPr>
                    <w:t>20</w:t>
                  </w:r>
                </w:p>
              </w:tc>
              <w:tc>
                <w:tcPr>
                  <w:tcW w:w="498" w:type="dxa"/>
                  <w:vMerge w:val="continue"/>
                  <w:tcBorders>
                    <w:tl2br w:val="nil"/>
                    <w:tr2bl w:val="nil"/>
                  </w:tcBorders>
                  <w:vAlign w:val="center"/>
                </w:tcPr>
                <w:p w14:paraId="744D6B75">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r>
            <w:tr w14:paraId="59533A9F">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cantSplit/>
                <w:trHeight w:val="280" w:hRule="atLeast"/>
                <w:jc w:val="center"/>
              </w:trPr>
              <w:tc>
                <w:tcPr>
                  <w:tcW w:w="290" w:type="dxa"/>
                  <w:tcBorders>
                    <w:tl2br w:val="nil"/>
                    <w:tr2bl w:val="nil"/>
                  </w:tcBorders>
                  <w:vAlign w:val="center"/>
                </w:tcPr>
                <w:p w14:paraId="28AC3548">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12</w:t>
                  </w:r>
                </w:p>
              </w:tc>
              <w:tc>
                <w:tcPr>
                  <w:tcW w:w="1329" w:type="dxa"/>
                  <w:tcBorders>
                    <w:tl2br w:val="nil"/>
                    <w:tr2bl w:val="nil"/>
                  </w:tcBorders>
                  <w:vAlign w:val="center"/>
                </w:tcPr>
                <w:p w14:paraId="0A9C7E3C">
                  <w:pPr>
                    <w:kinsoku w:val="0"/>
                    <w:overflowPunct w:val="0"/>
                    <w:autoSpaceDE w:val="0"/>
                    <w:autoSpaceDN w:val="0"/>
                    <w:adjustRightInd w:val="0"/>
                    <w:snapToGrid w:val="0"/>
                    <w:jc w:val="center"/>
                    <w:rPr>
                      <w:rFonts w:hint="eastAsia"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电动压片机</w:t>
                  </w:r>
                </w:p>
              </w:tc>
              <w:tc>
                <w:tcPr>
                  <w:tcW w:w="696" w:type="dxa"/>
                  <w:tcBorders>
                    <w:tl2br w:val="nil"/>
                    <w:tr2bl w:val="nil"/>
                  </w:tcBorders>
                  <w:vAlign w:val="center"/>
                </w:tcPr>
                <w:p w14:paraId="70B3CC5B">
                  <w:pPr>
                    <w:kinsoku w:val="0"/>
                    <w:overflowPunct w:val="0"/>
                    <w:autoSpaceDE w:val="0"/>
                    <w:autoSpaceDN w:val="0"/>
                    <w:adjustRightInd w:val="0"/>
                    <w:snapToGrid w:val="0"/>
                    <w:jc w:val="center"/>
                    <w:rPr>
                      <w:rFonts w:hint="eastAsia" w:cs="Times New Roman"/>
                      <w:b w:val="0"/>
                      <w:bCs w:val="0"/>
                      <w:color w:val="auto"/>
                      <w:szCs w:val="21"/>
                      <w:highlight w:val="none"/>
                      <w:lang w:val="en-US" w:eastAsia="zh-CN"/>
                    </w:rPr>
                  </w:pPr>
                </w:p>
              </w:tc>
              <w:tc>
                <w:tcPr>
                  <w:tcW w:w="971" w:type="dxa"/>
                  <w:tcBorders>
                    <w:tl2br w:val="nil"/>
                    <w:tr2bl w:val="nil"/>
                  </w:tcBorders>
                  <w:vAlign w:val="center"/>
                </w:tcPr>
                <w:p w14:paraId="13A78033">
                  <w:pPr>
                    <w:kinsoku w:val="0"/>
                    <w:overflowPunct w:val="0"/>
                    <w:autoSpaceDE w:val="0"/>
                    <w:autoSpaceDN w:val="0"/>
                    <w:adjustRightInd w:val="0"/>
                    <w:snapToGrid w:val="0"/>
                    <w:jc w:val="center"/>
                    <w:rPr>
                      <w:rFonts w:hint="eastAsia"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60</w:t>
                  </w:r>
                </w:p>
              </w:tc>
              <w:tc>
                <w:tcPr>
                  <w:tcW w:w="683" w:type="dxa"/>
                  <w:vMerge w:val="continue"/>
                  <w:tcBorders>
                    <w:tl2br w:val="nil"/>
                    <w:tr2bl w:val="nil"/>
                  </w:tcBorders>
                  <w:vAlign w:val="center"/>
                </w:tcPr>
                <w:p w14:paraId="4AA06427">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p>
              </w:tc>
              <w:tc>
                <w:tcPr>
                  <w:tcW w:w="461" w:type="dxa"/>
                  <w:tcBorders>
                    <w:tl2br w:val="nil"/>
                    <w:tr2bl w:val="nil"/>
                  </w:tcBorders>
                  <w:shd w:val="clear" w:color="auto" w:fill="FFFFFF"/>
                  <w:vAlign w:val="center"/>
                </w:tcPr>
                <w:p w14:paraId="427D7A68">
                  <w:pPr>
                    <w:kinsoku w:val="0"/>
                    <w:overflowPunct w:val="0"/>
                    <w:autoSpaceDE w:val="0"/>
                    <w:autoSpaceDN w:val="0"/>
                    <w:adjustRightInd w:val="0"/>
                    <w:snapToGrid w:val="0"/>
                    <w:jc w:val="center"/>
                    <w:rPr>
                      <w:rFonts w:hint="eastAsia"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1.2</w:t>
                  </w:r>
                </w:p>
              </w:tc>
              <w:tc>
                <w:tcPr>
                  <w:tcW w:w="425" w:type="dxa"/>
                  <w:tcBorders>
                    <w:tl2br w:val="nil"/>
                    <w:tr2bl w:val="nil"/>
                  </w:tcBorders>
                  <w:shd w:val="clear" w:color="auto" w:fill="FFFFFF"/>
                  <w:vAlign w:val="center"/>
                </w:tcPr>
                <w:p w14:paraId="43D04A8C">
                  <w:pPr>
                    <w:kinsoku w:val="0"/>
                    <w:overflowPunct w:val="0"/>
                    <w:autoSpaceDE w:val="0"/>
                    <w:autoSpaceDN w:val="0"/>
                    <w:adjustRightInd w:val="0"/>
                    <w:snapToGrid w:val="0"/>
                    <w:jc w:val="center"/>
                    <w:rPr>
                      <w:rFonts w:hint="eastAsia"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-5.6</w:t>
                  </w:r>
                </w:p>
              </w:tc>
              <w:tc>
                <w:tcPr>
                  <w:tcW w:w="406" w:type="dxa"/>
                  <w:tcBorders>
                    <w:tl2br w:val="nil"/>
                    <w:tr2bl w:val="nil"/>
                  </w:tcBorders>
                  <w:shd w:val="clear" w:color="auto" w:fill="FFFFFF"/>
                  <w:vAlign w:val="center"/>
                </w:tcPr>
                <w:p w14:paraId="0B794F65">
                  <w:pPr>
                    <w:kinsoku w:val="0"/>
                    <w:overflowPunct w:val="0"/>
                    <w:autoSpaceDE w:val="0"/>
                    <w:autoSpaceDN w:val="0"/>
                    <w:adjustRightInd w:val="0"/>
                    <w:snapToGrid w:val="0"/>
                    <w:jc w:val="center"/>
                    <w:rPr>
                      <w:rFonts w:hint="eastAsia"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1.2</w:t>
                  </w:r>
                </w:p>
              </w:tc>
              <w:tc>
                <w:tcPr>
                  <w:tcW w:w="895" w:type="dxa"/>
                  <w:tcBorders>
                    <w:tl2br w:val="nil"/>
                    <w:tr2bl w:val="nil"/>
                  </w:tcBorders>
                  <w:shd w:val="clear" w:color="auto" w:fill="auto"/>
                  <w:vAlign w:val="center"/>
                </w:tcPr>
                <w:p w14:paraId="4F3655D4">
                  <w:pPr>
                    <w:kinsoku w:val="0"/>
                    <w:overflowPunct w:val="0"/>
                    <w:autoSpaceDE w:val="0"/>
                    <w:autoSpaceDN w:val="0"/>
                    <w:adjustRightInd w:val="0"/>
                    <w:snapToGrid w:val="0"/>
                    <w:jc w:val="center"/>
                    <w:rPr>
                      <w:rFonts w:hint="eastAsia"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40</w:t>
                  </w:r>
                </w:p>
              </w:tc>
              <w:tc>
                <w:tcPr>
                  <w:tcW w:w="982" w:type="dxa"/>
                  <w:tcBorders>
                    <w:tl2br w:val="nil"/>
                    <w:tr2bl w:val="nil"/>
                  </w:tcBorders>
                  <w:shd w:val="clear" w:color="auto" w:fill="auto"/>
                  <w:vAlign w:val="center"/>
                </w:tcPr>
                <w:p w14:paraId="66A9B7DA">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default" w:cs="Times New Roman"/>
                      <w:b w:val="0"/>
                      <w:bCs w:val="0"/>
                      <w:color w:val="auto"/>
                      <w:szCs w:val="21"/>
                      <w:highlight w:val="none"/>
                      <w:lang w:val="en-US" w:eastAsia="zh-CN"/>
                    </w:rPr>
                    <w:t>20</w:t>
                  </w:r>
                </w:p>
              </w:tc>
              <w:tc>
                <w:tcPr>
                  <w:tcW w:w="498" w:type="dxa"/>
                  <w:vMerge w:val="continue"/>
                  <w:tcBorders>
                    <w:tl2br w:val="nil"/>
                    <w:tr2bl w:val="nil"/>
                  </w:tcBorders>
                  <w:vAlign w:val="center"/>
                </w:tcPr>
                <w:p w14:paraId="1A2AAD24">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r>
            <w:tr w14:paraId="4290C4BD">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cantSplit/>
                <w:trHeight w:val="280" w:hRule="atLeast"/>
                <w:jc w:val="center"/>
              </w:trPr>
              <w:tc>
                <w:tcPr>
                  <w:tcW w:w="290" w:type="dxa"/>
                  <w:tcBorders>
                    <w:tl2br w:val="nil"/>
                    <w:tr2bl w:val="nil"/>
                  </w:tcBorders>
                  <w:vAlign w:val="center"/>
                </w:tcPr>
                <w:p w14:paraId="3B630CC7">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13</w:t>
                  </w:r>
                </w:p>
              </w:tc>
              <w:tc>
                <w:tcPr>
                  <w:tcW w:w="1329" w:type="dxa"/>
                  <w:tcBorders>
                    <w:tl2br w:val="nil"/>
                    <w:tr2bl w:val="nil"/>
                  </w:tcBorders>
                  <w:vAlign w:val="center"/>
                </w:tcPr>
                <w:p w14:paraId="53EDDCEC">
                  <w:pPr>
                    <w:kinsoku w:val="0"/>
                    <w:overflowPunct w:val="0"/>
                    <w:autoSpaceDE w:val="0"/>
                    <w:autoSpaceDN w:val="0"/>
                    <w:adjustRightInd w:val="0"/>
                    <w:snapToGrid w:val="0"/>
                    <w:jc w:val="center"/>
                    <w:rPr>
                      <w:rFonts w:hint="eastAsia"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NMP回收系统</w:t>
                  </w:r>
                </w:p>
              </w:tc>
              <w:tc>
                <w:tcPr>
                  <w:tcW w:w="696" w:type="dxa"/>
                  <w:tcBorders>
                    <w:tl2br w:val="nil"/>
                    <w:tr2bl w:val="nil"/>
                  </w:tcBorders>
                  <w:vAlign w:val="center"/>
                </w:tcPr>
                <w:p w14:paraId="3FC43308">
                  <w:pPr>
                    <w:kinsoku w:val="0"/>
                    <w:overflowPunct w:val="0"/>
                    <w:autoSpaceDE w:val="0"/>
                    <w:autoSpaceDN w:val="0"/>
                    <w:adjustRightInd w:val="0"/>
                    <w:snapToGrid w:val="0"/>
                    <w:jc w:val="center"/>
                    <w:rPr>
                      <w:rFonts w:hint="eastAsia" w:cs="Times New Roman"/>
                      <w:b w:val="0"/>
                      <w:bCs w:val="0"/>
                      <w:color w:val="auto"/>
                      <w:szCs w:val="21"/>
                      <w:highlight w:val="none"/>
                      <w:lang w:val="en-US" w:eastAsia="zh-CN"/>
                    </w:rPr>
                  </w:pPr>
                </w:p>
              </w:tc>
              <w:tc>
                <w:tcPr>
                  <w:tcW w:w="971" w:type="dxa"/>
                  <w:tcBorders>
                    <w:tl2br w:val="nil"/>
                    <w:tr2bl w:val="nil"/>
                  </w:tcBorders>
                  <w:vAlign w:val="center"/>
                </w:tcPr>
                <w:p w14:paraId="159C8AB6">
                  <w:pPr>
                    <w:kinsoku w:val="0"/>
                    <w:overflowPunct w:val="0"/>
                    <w:autoSpaceDE w:val="0"/>
                    <w:autoSpaceDN w:val="0"/>
                    <w:adjustRightInd w:val="0"/>
                    <w:snapToGrid w:val="0"/>
                    <w:jc w:val="center"/>
                    <w:rPr>
                      <w:rFonts w:hint="eastAsia"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65</w:t>
                  </w:r>
                </w:p>
              </w:tc>
              <w:tc>
                <w:tcPr>
                  <w:tcW w:w="683" w:type="dxa"/>
                  <w:vMerge w:val="continue"/>
                  <w:tcBorders>
                    <w:tl2br w:val="nil"/>
                    <w:tr2bl w:val="nil"/>
                  </w:tcBorders>
                  <w:vAlign w:val="center"/>
                </w:tcPr>
                <w:p w14:paraId="10A5DAA7">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p>
              </w:tc>
              <w:tc>
                <w:tcPr>
                  <w:tcW w:w="461" w:type="dxa"/>
                  <w:tcBorders>
                    <w:tl2br w:val="nil"/>
                    <w:tr2bl w:val="nil"/>
                  </w:tcBorders>
                  <w:shd w:val="clear" w:color="auto" w:fill="FFFFFF"/>
                  <w:vAlign w:val="center"/>
                </w:tcPr>
                <w:p w14:paraId="1E922DC8">
                  <w:pPr>
                    <w:kinsoku w:val="0"/>
                    <w:overflowPunct w:val="0"/>
                    <w:autoSpaceDE w:val="0"/>
                    <w:autoSpaceDN w:val="0"/>
                    <w:adjustRightInd w:val="0"/>
                    <w:snapToGrid w:val="0"/>
                    <w:jc w:val="center"/>
                    <w:rPr>
                      <w:rFonts w:hint="eastAsia"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2.6</w:t>
                  </w:r>
                </w:p>
              </w:tc>
              <w:tc>
                <w:tcPr>
                  <w:tcW w:w="425" w:type="dxa"/>
                  <w:tcBorders>
                    <w:tl2br w:val="nil"/>
                    <w:tr2bl w:val="nil"/>
                  </w:tcBorders>
                  <w:shd w:val="clear" w:color="auto" w:fill="FFFFFF"/>
                  <w:vAlign w:val="center"/>
                </w:tcPr>
                <w:p w14:paraId="1FFE39F2">
                  <w:pPr>
                    <w:kinsoku w:val="0"/>
                    <w:overflowPunct w:val="0"/>
                    <w:autoSpaceDE w:val="0"/>
                    <w:autoSpaceDN w:val="0"/>
                    <w:adjustRightInd w:val="0"/>
                    <w:snapToGrid w:val="0"/>
                    <w:jc w:val="center"/>
                    <w:rPr>
                      <w:rFonts w:hint="eastAsia"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4.6</w:t>
                  </w:r>
                </w:p>
              </w:tc>
              <w:tc>
                <w:tcPr>
                  <w:tcW w:w="406" w:type="dxa"/>
                  <w:tcBorders>
                    <w:tl2br w:val="nil"/>
                    <w:tr2bl w:val="nil"/>
                  </w:tcBorders>
                  <w:shd w:val="clear" w:color="auto" w:fill="FFFFFF"/>
                  <w:vAlign w:val="center"/>
                </w:tcPr>
                <w:p w14:paraId="2E3E5CB3">
                  <w:pPr>
                    <w:kinsoku w:val="0"/>
                    <w:overflowPunct w:val="0"/>
                    <w:autoSpaceDE w:val="0"/>
                    <w:autoSpaceDN w:val="0"/>
                    <w:adjustRightInd w:val="0"/>
                    <w:snapToGrid w:val="0"/>
                    <w:jc w:val="center"/>
                    <w:rPr>
                      <w:rFonts w:hint="eastAsia"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1.2</w:t>
                  </w:r>
                </w:p>
              </w:tc>
              <w:tc>
                <w:tcPr>
                  <w:tcW w:w="895" w:type="dxa"/>
                  <w:tcBorders>
                    <w:tl2br w:val="nil"/>
                    <w:tr2bl w:val="nil"/>
                  </w:tcBorders>
                  <w:shd w:val="clear" w:color="auto" w:fill="auto"/>
                  <w:vAlign w:val="center"/>
                </w:tcPr>
                <w:p w14:paraId="107EB627">
                  <w:pPr>
                    <w:kinsoku w:val="0"/>
                    <w:overflowPunct w:val="0"/>
                    <w:autoSpaceDE w:val="0"/>
                    <w:autoSpaceDN w:val="0"/>
                    <w:adjustRightInd w:val="0"/>
                    <w:snapToGrid w:val="0"/>
                    <w:jc w:val="center"/>
                    <w:rPr>
                      <w:rFonts w:hint="eastAsia"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45</w:t>
                  </w:r>
                </w:p>
              </w:tc>
              <w:tc>
                <w:tcPr>
                  <w:tcW w:w="982" w:type="dxa"/>
                  <w:tcBorders>
                    <w:tl2br w:val="nil"/>
                    <w:tr2bl w:val="nil"/>
                  </w:tcBorders>
                  <w:shd w:val="clear" w:color="auto" w:fill="auto"/>
                  <w:vAlign w:val="center"/>
                </w:tcPr>
                <w:p w14:paraId="0599A888">
                  <w:pPr>
                    <w:kinsoku w:val="0"/>
                    <w:overflowPunct w:val="0"/>
                    <w:autoSpaceDE w:val="0"/>
                    <w:autoSpaceDN w:val="0"/>
                    <w:adjustRightInd w:val="0"/>
                    <w:snapToGrid w:val="0"/>
                    <w:jc w:val="center"/>
                    <w:rPr>
                      <w:rFonts w:hint="default" w:cs="Times New Roman"/>
                      <w:b w:val="0"/>
                      <w:bCs w:val="0"/>
                      <w:color w:val="auto"/>
                      <w:szCs w:val="21"/>
                      <w:highlight w:val="none"/>
                      <w:lang w:val="en-US" w:eastAsia="zh-CN"/>
                    </w:rPr>
                  </w:pPr>
                  <w:r>
                    <w:rPr>
                      <w:rFonts w:hint="default" w:cs="Times New Roman"/>
                      <w:b w:val="0"/>
                      <w:bCs w:val="0"/>
                      <w:color w:val="auto"/>
                      <w:szCs w:val="21"/>
                      <w:highlight w:val="none"/>
                      <w:lang w:val="en-US" w:eastAsia="zh-CN"/>
                    </w:rPr>
                    <w:t>20</w:t>
                  </w:r>
                </w:p>
              </w:tc>
              <w:tc>
                <w:tcPr>
                  <w:tcW w:w="498" w:type="dxa"/>
                  <w:vMerge w:val="continue"/>
                  <w:tcBorders>
                    <w:tl2br w:val="nil"/>
                    <w:tr2bl w:val="nil"/>
                  </w:tcBorders>
                  <w:vAlign w:val="center"/>
                </w:tcPr>
                <w:p w14:paraId="66199042">
                  <w:pPr>
                    <w:kinsoku w:val="0"/>
                    <w:overflowPunct w:val="0"/>
                    <w:autoSpaceDE w:val="0"/>
                    <w:autoSpaceDN w:val="0"/>
                    <w:adjustRightInd w:val="0"/>
                    <w:snapToGrid w:val="0"/>
                    <w:jc w:val="center"/>
                    <w:rPr>
                      <w:rFonts w:hint="default" w:ascii="Times New Roman" w:hAnsi="Times New Roman" w:eastAsia="宋体" w:cs="Times New Roman"/>
                      <w:b w:val="0"/>
                      <w:bCs w:val="0"/>
                      <w:color w:val="auto"/>
                      <w:szCs w:val="21"/>
                      <w:highlight w:val="none"/>
                      <w:lang w:val="en-US" w:eastAsia="zh-CN"/>
                    </w:rPr>
                  </w:pPr>
                </w:p>
              </w:tc>
            </w:tr>
            <w:tr w14:paraId="516639E0">
              <w:tblPrEx>
                <w:tblBorders>
                  <w:top w:val="single" w:color="000000" w:sz="8" w:space="0"/>
                  <w:left w:val="none" w:color="auto" w:sz="0" w:space="0"/>
                  <w:bottom w:val="single" w:color="000000" w:sz="8" w:space="0"/>
                  <w:right w:val="none" w:color="auto" w:sz="0" w:space="0"/>
                  <w:insideH w:val="single" w:color="000000" w:sz="2" w:space="0"/>
                  <w:insideV w:val="single" w:color="000000" w:sz="2" w:space="0"/>
                </w:tblBorders>
                <w:tblCellMar>
                  <w:top w:w="0" w:type="dxa"/>
                  <w:left w:w="0" w:type="dxa"/>
                  <w:bottom w:w="0" w:type="dxa"/>
                  <w:right w:w="0" w:type="dxa"/>
                </w:tblCellMar>
              </w:tblPrEx>
              <w:trPr>
                <w:cantSplit/>
                <w:trHeight w:val="590" w:hRule="atLeast"/>
                <w:jc w:val="center"/>
              </w:trPr>
              <w:tc>
                <w:tcPr>
                  <w:tcW w:w="7636" w:type="dxa"/>
                  <w:gridSpan w:val="11"/>
                  <w:tcBorders>
                    <w:tl2br w:val="nil"/>
                    <w:tr2bl w:val="nil"/>
                  </w:tcBorders>
                  <w:vAlign w:val="center"/>
                </w:tcPr>
                <w:p w14:paraId="1B3B7C96">
                  <w:pPr>
                    <w:kinsoku w:val="0"/>
                    <w:overflowPunct w:val="0"/>
                    <w:autoSpaceDE w:val="0"/>
                    <w:autoSpaceDN w:val="0"/>
                    <w:adjustRightInd w:val="0"/>
                    <w:snapToGrid w:val="0"/>
                    <w:jc w:val="left"/>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color w:val="auto"/>
                      <w:sz w:val="21"/>
                      <w:szCs w:val="21"/>
                      <w:lang w:val="en-US" w:eastAsia="zh-CN"/>
                    </w:rPr>
                    <w:t>表中坐标以厂界中心（</w:t>
                  </w:r>
                  <w:bookmarkStart w:id="3" w:name="PO_7"/>
                  <w:r>
                    <w:rPr>
                      <w:rFonts w:hint="default" w:ascii="Times New Roman" w:hAnsi="Times New Roman" w:cs="Times New Roman" w:eastAsiaTheme="minorEastAsia"/>
                      <w:b w:val="0"/>
                      <w:bCs/>
                      <w:sz w:val="21"/>
                      <w:szCs w:val="21"/>
                      <w:lang w:val="en-US" w:eastAsia="zh-CN"/>
                    </w:rPr>
                    <w:t>116.423301</w:t>
                  </w:r>
                  <w:r>
                    <w:rPr>
                      <w:rFonts w:hint="eastAsia" w:ascii="Times New Roman" w:hAnsi="Times New Roman" w:cs="Times New Roman" w:eastAsiaTheme="minorEastAsia"/>
                      <w:b w:val="0"/>
                      <w:bCs/>
                      <w:sz w:val="21"/>
                      <w:szCs w:val="21"/>
                      <w:lang w:val="en-US" w:eastAsia="zh-CN"/>
                    </w:rPr>
                    <w:t>，</w:t>
                  </w:r>
                  <w:r>
                    <w:rPr>
                      <w:rFonts w:hint="default" w:ascii="Times New Roman" w:hAnsi="Times New Roman" w:cs="Times New Roman" w:eastAsiaTheme="minorEastAsia"/>
                      <w:b w:val="0"/>
                      <w:bCs/>
                      <w:sz w:val="21"/>
                      <w:szCs w:val="21"/>
                      <w:lang w:val="en-US" w:eastAsia="zh-CN"/>
                    </w:rPr>
                    <w:t>39.962516</w:t>
                  </w:r>
                  <w:bookmarkEnd w:id="3"/>
                  <w:r>
                    <w:rPr>
                      <w:rFonts w:hint="default" w:ascii="Times New Roman" w:hAnsi="Times New Roman" w:eastAsia="宋体" w:cs="Times New Roman"/>
                      <w:b w:val="0"/>
                      <w:bCs/>
                      <w:color w:val="auto"/>
                      <w:sz w:val="21"/>
                      <w:szCs w:val="21"/>
                      <w:lang w:val="en-US" w:eastAsia="zh-CN"/>
                    </w:rPr>
                    <w:t>）为坐标原点，正东向为X轴正方向，正北向为Y轴正方向。</w:t>
                  </w:r>
                </w:p>
              </w:tc>
            </w:tr>
          </w:tbl>
          <w:p w14:paraId="35ABE134">
            <w:pPr>
              <w:adjustRightInd w:val="0"/>
              <w:spacing w:line="360" w:lineRule="auto"/>
              <w:ind w:firstLine="480" w:firstLineChars="200"/>
              <w:rPr>
                <w:rFonts w:hint="default" w:ascii="Times New Roman" w:hAnsi="Times New Roman" w:eastAsia="宋体" w:cs="Times New Roman"/>
                <w:snapToGrid w:val="0"/>
                <w:color w:val="auto"/>
                <w:kern w:val="0"/>
                <w:sz w:val="24"/>
                <w:highlight w:val="none"/>
                <w:lang w:val="en-US" w:eastAsia="zh-CN"/>
              </w:rPr>
            </w:pPr>
            <w:r>
              <w:rPr>
                <w:rFonts w:hint="default" w:ascii="Times New Roman" w:hAnsi="Times New Roman" w:eastAsia="宋体" w:cs="Times New Roman"/>
                <w:snapToGrid w:val="0"/>
                <w:color w:val="auto"/>
                <w:kern w:val="0"/>
                <w:sz w:val="24"/>
                <w:highlight w:val="none"/>
                <w:lang w:eastAsia="zh-CN"/>
              </w:rPr>
              <w:t>（</w:t>
            </w:r>
            <w:r>
              <w:rPr>
                <w:rFonts w:hint="default" w:ascii="Times New Roman" w:hAnsi="Times New Roman" w:eastAsia="宋体" w:cs="Times New Roman"/>
                <w:snapToGrid w:val="0"/>
                <w:color w:val="auto"/>
                <w:kern w:val="0"/>
                <w:sz w:val="24"/>
                <w:highlight w:val="none"/>
                <w:lang w:val="en-US" w:eastAsia="zh-CN"/>
              </w:rPr>
              <w:t>2</w:t>
            </w:r>
            <w:r>
              <w:rPr>
                <w:rFonts w:hint="default" w:ascii="Times New Roman" w:hAnsi="Times New Roman" w:eastAsia="宋体" w:cs="Times New Roman"/>
                <w:snapToGrid w:val="0"/>
                <w:color w:val="auto"/>
                <w:kern w:val="0"/>
                <w:sz w:val="24"/>
                <w:highlight w:val="none"/>
                <w:lang w:eastAsia="zh-CN"/>
              </w:rPr>
              <w:t>）</w:t>
            </w:r>
            <w:r>
              <w:rPr>
                <w:rFonts w:hint="default" w:ascii="Times New Roman" w:hAnsi="Times New Roman" w:eastAsia="宋体" w:cs="Times New Roman"/>
                <w:snapToGrid w:val="0"/>
                <w:color w:val="auto"/>
                <w:kern w:val="0"/>
                <w:sz w:val="24"/>
                <w:highlight w:val="none"/>
                <w:lang w:val="en-US" w:eastAsia="zh-CN"/>
              </w:rPr>
              <w:t>噪声影响分析</w:t>
            </w:r>
          </w:p>
          <w:p w14:paraId="6243DB5B">
            <w:pPr>
              <w:adjustRightInd w:val="0"/>
              <w:spacing w:line="360" w:lineRule="auto"/>
              <w:ind w:firstLine="480" w:firstLineChars="200"/>
              <w:rPr>
                <w:rFonts w:hint="default" w:ascii="Times New Roman" w:hAnsi="Times New Roman" w:eastAsia="宋体" w:cs="Times New Roman"/>
                <w:snapToGrid w:val="0"/>
                <w:color w:val="auto"/>
                <w:kern w:val="0"/>
                <w:sz w:val="24"/>
                <w:highlight w:val="none"/>
              </w:rPr>
            </w:pPr>
            <w:r>
              <w:rPr>
                <w:rFonts w:hint="default" w:ascii="Times New Roman" w:hAnsi="Times New Roman" w:eastAsia="宋体" w:cs="Times New Roman"/>
                <w:snapToGrid w:val="0"/>
                <w:color w:val="auto"/>
                <w:kern w:val="0"/>
                <w:sz w:val="24"/>
                <w:highlight w:val="none"/>
              </w:rPr>
              <w:t>根据《环境影响评价技术导则 声环境》（HJ2.4—2021）推荐的方法，把上述声源当作点声源处理，等效点声源位置在声源本身的中心，对项目噪声环境影响进行预测：</w:t>
            </w:r>
          </w:p>
          <w:p w14:paraId="50C116CB">
            <w:pPr>
              <w:numPr>
                <w:ilvl w:val="0"/>
                <w:numId w:val="22"/>
              </w:numPr>
              <w:adjustRightInd w:val="0"/>
              <w:spacing w:line="360" w:lineRule="auto"/>
              <w:ind w:left="0" w:leftChars="0" w:firstLine="480" w:firstLineChars="200"/>
              <w:rPr>
                <w:rFonts w:hint="default" w:ascii="Times New Roman" w:hAnsi="Times New Roman" w:eastAsia="宋体" w:cs="Times New Roman"/>
                <w:color w:val="auto"/>
                <w:sz w:val="24"/>
                <w:highlight w:val="none"/>
                <w:lang w:val="zh-CN"/>
              </w:rPr>
            </w:pPr>
            <w:r>
              <w:rPr>
                <w:rFonts w:hint="default" w:ascii="Times New Roman" w:hAnsi="Times New Roman" w:eastAsia="宋体" w:cs="Times New Roman"/>
                <w:color w:val="auto"/>
                <w:sz w:val="24"/>
                <w:highlight w:val="none"/>
              </w:rPr>
              <w:t>点声源几何发散在预测点（厂界处）产生的A声级的计算：</w:t>
            </w:r>
          </w:p>
          <w:p w14:paraId="00D67B2F">
            <w:pPr>
              <w:adjustRightInd w:val="0"/>
              <w:spacing w:line="360" w:lineRule="auto"/>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object>
                <v:shape id="_x0000_i1029" o:spt="75" type="#_x0000_t75" style="height:18.15pt;width:163.4pt;" o:ole="t" filled="f" coordsize="21600,21600">
                  <v:path/>
                  <v:fill on="f" focussize="0,0"/>
                  <v:stroke/>
                  <v:imagedata r:id="rId25" o:title=""/>
                  <o:lock v:ext="edit" aspectratio="t"/>
                  <w10:wrap type="none"/>
                  <w10:anchorlock/>
                </v:shape>
                <o:OLEObject Type="Embed" ProgID="Equation.3" ShapeID="_x0000_i1029" DrawAspect="Content" ObjectID="_1468075729" r:id="rId24">
                  <o:LockedField>false</o:LockedField>
                </o:OLEObject>
              </w:object>
            </w:r>
          </w:p>
          <w:p w14:paraId="43A140DC">
            <w:pPr>
              <w:adjustRightInd w:val="0"/>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式中：</w:t>
            </w:r>
          </w:p>
          <w:p w14:paraId="1A695CE9">
            <w:pPr>
              <w:adjustRightInd w:val="0"/>
              <w:spacing w:line="360" w:lineRule="auto"/>
              <w:ind w:firstLine="1200" w:firstLineChars="5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L</w:t>
            </w:r>
            <w:r>
              <w:rPr>
                <w:rFonts w:hint="default" w:ascii="Times New Roman" w:hAnsi="Times New Roman" w:eastAsia="宋体" w:cs="Times New Roman"/>
                <w:color w:val="auto"/>
                <w:sz w:val="24"/>
                <w:highlight w:val="none"/>
                <w:vertAlign w:val="subscript"/>
              </w:rPr>
              <w:t>P</w:t>
            </w:r>
            <w:r>
              <w:rPr>
                <w:rFonts w:hint="default" w:ascii="Times New Roman" w:hAnsi="Times New Roman" w:eastAsia="宋体" w:cs="Times New Roman"/>
                <w:color w:val="auto"/>
                <w:sz w:val="24"/>
                <w:highlight w:val="none"/>
              </w:rPr>
              <w:t>(r)—距声源r处（厂界处）的A声级，dB(A)；</w:t>
            </w:r>
          </w:p>
          <w:p w14:paraId="582FE280">
            <w:pPr>
              <w:adjustRightInd w:val="0"/>
              <w:spacing w:line="360" w:lineRule="auto"/>
              <w:ind w:firstLine="1200" w:firstLineChars="500"/>
              <w:outlineLvl w:val="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L</w:t>
            </w:r>
            <w:r>
              <w:rPr>
                <w:rFonts w:hint="default" w:ascii="Times New Roman" w:hAnsi="Times New Roman" w:eastAsia="宋体" w:cs="Times New Roman"/>
                <w:color w:val="auto"/>
                <w:sz w:val="24"/>
                <w:highlight w:val="none"/>
                <w:vertAlign w:val="subscript"/>
              </w:rPr>
              <w:t>P</w:t>
            </w:r>
            <w:r>
              <w:rPr>
                <w:rFonts w:hint="default" w:ascii="Times New Roman" w:hAnsi="Times New Roman" w:eastAsia="宋体" w:cs="Times New Roman"/>
                <w:color w:val="auto"/>
                <w:sz w:val="24"/>
                <w:highlight w:val="none"/>
              </w:rPr>
              <w:t>(r</w:t>
            </w:r>
            <w:r>
              <w:rPr>
                <w:rFonts w:hint="default" w:ascii="Times New Roman" w:hAnsi="Times New Roman" w:eastAsia="宋体" w:cs="Times New Roman"/>
                <w:color w:val="auto"/>
                <w:sz w:val="24"/>
                <w:highlight w:val="none"/>
                <w:vertAlign w:val="subscript"/>
              </w:rPr>
              <w:t>0</w:t>
            </w:r>
            <w:r>
              <w:rPr>
                <w:rFonts w:hint="default" w:ascii="Times New Roman" w:hAnsi="Times New Roman" w:eastAsia="宋体" w:cs="Times New Roman"/>
                <w:color w:val="auto"/>
                <w:sz w:val="24"/>
                <w:highlight w:val="none"/>
              </w:rPr>
              <w:t>)—参考位置r</w:t>
            </w:r>
            <w:r>
              <w:rPr>
                <w:rFonts w:hint="default" w:ascii="Times New Roman" w:hAnsi="Times New Roman" w:eastAsia="宋体" w:cs="Times New Roman"/>
                <w:color w:val="auto"/>
                <w:sz w:val="24"/>
                <w:highlight w:val="none"/>
                <w:vertAlign w:val="subscript"/>
              </w:rPr>
              <w:t>0</w:t>
            </w:r>
            <w:r>
              <w:rPr>
                <w:rFonts w:hint="default" w:ascii="Times New Roman" w:hAnsi="Times New Roman" w:eastAsia="宋体" w:cs="Times New Roman"/>
                <w:color w:val="auto"/>
                <w:sz w:val="24"/>
                <w:highlight w:val="none"/>
              </w:rPr>
              <w:t>处（声源）的A声级，dB(A)；</w:t>
            </w:r>
          </w:p>
          <w:p w14:paraId="15728138">
            <w:pPr>
              <w:adjustRightInd w:val="0"/>
              <w:spacing w:line="360" w:lineRule="auto"/>
              <w:ind w:firstLine="1200" w:firstLineChars="5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A</w:t>
            </w:r>
            <w:r>
              <w:rPr>
                <w:rFonts w:hint="default" w:ascii="Times New Roman" w:hAnsi="Times New Roman" w:eastAsia="宋体" w:cs="Times New Roman"/>
                <w:color w:val="auto"/>
                <w:sz w:val="24"/>
                <w:highlight w:val="none"/>
                <w:vertAlign w:val="subscript"/>
              </w:rPr>
              <w:t>bar</w:t>
            </w:r>
            <w:r>
              <w:rPr>
                <w:rFonts w:hint="default" w:ascii="Times New Roman" w:hAnsi="Times New Roman" w:eastAsia="宋体" w:cs="Times New Roman"/>
                <w:color w:val="auto"/>
                <w:sz w:val="24"/>
                <w:highlight w:val="none"/>
              </w:rPr>
              <w:t>—声屏障引起的倍频带衰减（建筑隔声），dB；</w:t>
            </w:r>
          </w:p>
          <w:p w14:paraId="196E5292">
            <w:pPr>
              <w:numPr>
                <w:ilvl w:val="0"/>
                <w:numId w:val="22"/>
              </w:numPr>
              <w:adjustRightInd w:val="0"/>
              <w:spacing w:line="360" w:lineRule="auto"/>
              <w:ind w:left="0" w:leftChars="0" w:firstLine="480" w:firstLineChars="200"/>
              <w:rPr>
                <w:rFonts w:hint="default" w:ascii="Times New Roman" w:hAnsi="Times New Roman" w:eastAsia="宋体" w:cs="Times New Roman"/>
                <w:bCs/>
                <w:color w:val="auto"/>
                <w:sz w:val="24"/>
                <w:highlight w:val="none"/>
              </w:rPr>
            </w:pPr>
            <w:r>
              <w:rPr>
                <w:rFonts w:hint="default" w:ascii="Times New Roman" w:hAnsi="Times New Roman" w:eastAsia="宋体" w:cs="Times New Roman"/>
                <w:bCs/>
                <w:color w:val="auto"/>
                <w:sz w:val="24"/>
                <w:highlight w:val="none"/>
              </w:rPr>
              <w:t>噪声叠加公式</w:t>
            </w:r>
          </w:p>
          <w:p w14:paraId="295E8BE0">
            <w:pPr>
              <w:adjustRightInd w:val="0"/>
              <w:spacing w:line="360" w:lineRule="auto"/>
              <w:ind w:firstLine="480" w:firstLineChars="200"/>
              <w:rPr>
                <w:rFonts w:hint="default" w:ascii="Times New Roman" w:hAnsi="Times New Roman" w:eastAsia="宋体" w:cs="Times New Roman"/>
                <w:bCs/>
                <w:color w:val="auto"/>
                <w:sz w:val="24"/>
                <w:highlight w:val="none"/>
              </w:rPr>
            </w:pPr>
            <w:r>
              <w:rPr>
                <w:rFonts w:hint="default" w:ascii="Times New Roman" w:hAnsi="Times New Roman" w:eastAsia="宋体" w:cs="Times New Roman"/>
                <w:bCs/>
                <w:color w:val="auto"/>
                <w:sz w:val="24"/>
                <w:highlight w:val="none"/>
              </w:rPr>
              <w:t>对于多点源存在时，某个评价点的噪声贡献，可用下式计算：</w:t>
            </w:r>
          </w:p>
          <w:p w14:paraId="2A122995">
            <w:pPr>
              <w:adjustRightInd w:val="0"/>
              <w:spacing w:line="360" w:lineRule="auto"/>
              <w:ind w:firstLine="2520" w:firstLineChars="1050"/>
              <w:rPr>
                <w:rFonts w:hint="default" w:ascii="Times New Roman" w:hAnsi="Times New Roman" w:eastAsia="宋体" w:cs="Times New Roman"/>
                <w:bCs/>
                <w:color w:val="auto"/>
                <w:sz w:val="24"/>
                <w:highlight w:val="none"/>
              </w:rPr>
            </w:pPr>
            <w:r>
              <w:rPr>
                <w:rFonts w:hint="default" w:ascii="Times New Roman" w:hAnsi="Times New Roman" w:eastAsia="宋体" w:cs="Times New Roman"/>
                <w:bCs/>
                <w:color w:val="auto"/>
                <w:sz w:val="24"/>
                <w:highlight w:val="none"/>
              </w:rPr>
              <w:t>Lp=10Lg（10</w:t>
            </w:r>
            <w:r>
              <w:rPr>
                <w:rFonts w:hint="default" w:ascii="Times New Roman" w:hAnsi="Times New Roman" w:eastAsia="宋体" w:cs="Times New Roman"/>
                <w:bCs/>
                <w:color w:val="auto"/>
                <w:sz w:val="24"/>
                <w:highlight w:val="none"/>
                <w:vertAlign w:val="superscript"/>
              </w:rPr>
              <w:t>Lp1/10</w:t>
            </w:r>
            <w:r>
              <w:rPr>
                <w:rFonts w:hint="default" w:ascii="Times New Roman" w:hAnsi="Times New Roman" w:eastAsia="宋体" w:cs="Times New Roman"/>
                <w:bCs/>
                <w:color w:val="auto"/>
                <w:sz w:val="24"/>
                <w:highlight w:val="none"/>
              </w:rPr>
              <w:t>+10</w:t>
            </w:r>
            <w:r>
              <w:rPr>
                <w:rFonts w:hint="default" w:ascii="Times New Roman" w:hAnsi="Times New Roman" w:eastAsia="宋体" w:cs="Times New Roman"/>
                <w:bCs/>
                <w:color w:val="auto"/>
                <w:sz w:val="24"/>
                <w:highlight w:val="none"/>
                <w:vertAlign w:val="superscript"/>
              </w:rPr>
              <w:t>Lp2/10</w:t>
            </w:r>
            <w:r>
              <w:rPr>
                <w:rFonts w:hint="default" w:ascii="Times New Roman" w:hAnsi="Times New Roman" w:eastAsia="宋体" w:cs="Times New Roman"/>
                <w:bCs/>
                <w:color w:val="auto"/>
                <w:sz w:val="24"/>
                <w:highlight w:val="none"/>
              </w:rPr>
              <w:t>+…）</w:t>
            </w:r>
          </w:p>
          <w:p w14:paraId="2CE70F62">
            <w:pPr>
              <w:adjustRightInd w:val="0"/>
              <w:ind w:firstLine="480" w:firstLineChars="200"/>
              <w:outlineLvl w:val="0"/>
              <w:rPr>
                <w:rFonts w:hint="default" w:ascii="Times New Roman" w:hAnsi="Times New Roman" w:eastAsia="宋体" w:cs="Times New Roman"/>
                <w:bCs/>
                <w:color w:val="auto"/>
                <w:sz w:val="24"/>
                <w:highlight w:val="none"/>
              </w:rPr>
            </w:pPr>
            <w:r>
              <w:rPr>
                <w:rFonts w:hint="default" w:ascii="Times New Roman" w:hAnsi="Times New Roman" w:eastAsia="宋体" w:cs="Times New Roman"/>
                <w:bCs/>
                <w:color w:val="auto"/>
                <w:sz w:val="24"/>
                <w:highlight w:val="none"/>
              </w:rPr>
              <w:t>式中：L——总等效声级；</w:t>
            </w:r>
          </w:p>
          <w:p w14:paraId="47D7EE04">
            <w:pPr>
              <w:adjustRightInd w:val="0"/>
              <w:spacing w:line="360" w:lineRule="auto"/>
              <w:ind w:firstLine="1200" w:firstLineChars="500"/>
              <w:rPr>
                <w:rFonts w:hint="default" w:ascii="Times New Roman" w:hAnsi="Times New Roman" w:eastAsia="宋体" w:cs="Times New Roman"/>
                <w:bCs/>
                <w:color w:val="auto"/>
                <w:sz w:val="24"/>
                <w:highlight w:val="none"/>
              </w:rPr>
            </w:pPr>
            <w:r>
              <w:rPr>
                <w:rFonts w:hint="default" w:ascii="Times New Roman" w:hAnsi="Times New Roman" w:eastAsia="宋体" w:cs="Times New Roman"/>
                <w:bCs/>
                <w:color w:val="auto"/>
                <w:sz w:val="24"/>
                <w:highlight w:val="none"/>
              </w:rPr>
              <w:t>L1，L2…，Ln——分别为n个噪声的等效声级。</w:t>
            </w:r>
          </w:p>
          <w:p w14:paraId="0618ABA6">
            <w:pPr>
              <w:numPr>
                <w:ilvl w:val="0"/>
                <w:numId w:val="22"/>
              </w:numPr>
              <w:adjustRightInd w:val="0"/>
              <w:spacing w:line="360" w:lineRule="auto"/>
              <w:ind w:left="0" w:leftChars="0" w:firstLine="480" w:firstLineChars="200"/>
              <w:rPr>
                <w:rFonts w:hint="default" w:ascii="Times New Roman" w:hAnsi="Times New Roman" w:eastAsia="宋体" w:cs="Times New Roman"/>
                <w:bCs/>
                <w:snapToGrid w:val="0"/>
                <w:color w:val="auto"/>
                <w:kern w:val="0"/>
                <w:sz w:val="24"/>
                <w:highlight w:val="none"/>
              </w:rPr>
            </w:pPr>
            <w:r>
              <w:rPr>
                <w:rFonts w:hint="default" w:ascii="Times New Roman" w:hAnsi="Times New Roman" w:eastAsia="宋体" w:cs="Times New Roman"/>
                <w:bCs/>
                <w:snapToGrid w:val="0"/>
                <w:color w:val="auto"/>
                <w:kern w:val="0"/>
                <w:sz w:val="24"/>
                <w:highlight w:val="none"/>
              </w:rPr>
              <w:t>室内声源可采用等效室外声源声功率级法进行计算。设靠近门口处（或窗户）室内、室外的声压级分别为L</w:t>
            </w:r>
            <w:r>
              <w:rPr>
                <w:rFonts w:hint="default" w:ascii="Times New Roman" w:hAnsi="Times New Roman" w:eastAsia="宋体" w:cs="Times New Roman"/>
                <w:bCs/>
                <w:i/>
                <w:iCs/>
                <w:snapToGrid w:val="0"/>
                <w:color w:val="auto"/>
                <w:kern w:val="0"/>
                <w:sz w:val="24"/>
                <w:highlight w:val="none"/>
                <w:vertAlign w:val="subscript"/>
              </w:rPr>
              <w:t>p1</w:t>
            </w:r>
            <w:r>
              <w:rPr>
                <w:rFonts w:hint="default" w:ascii="Times New Roman" w:hAnsi="Times New Roman" w:eastAsia="宋体" w:cs="Times New Roman"/>
                <w:bCs/>
                <w:snapToGrid w:val="0"/>
                <w:color w:val="auto"/>
                <w:kern w:val="0"/>
                <w:sz w:val="24"/>
                <w:highlight w:val="none"/>
              </w:rPr>
              <w:t>和L</w:t>
            </w:r>
            <w:r>
              <w:rPr>
                <w:rFonts w:hint="default" w:ascii="Times New Roman" w:hAnsi="Times New Roman" w:eastAsia="宋体" w:cs="Times New Roman"/>
                <w:bCs/>
                <w:i/>
                <w:iCs/>
                <w:snapToGrid w:val="0"/>
                <w:color w:val="auto"/>
                <w:kern w:val="0"/>
                <w:sz w:val="24"/>
                <w:highlight w:val="none"/>
                <w:vertAlign w:val="subscript"/>
              </w:rPr>
              <w:t>p2</w:t>
            </w:r>
            <w:r>
              <w:rPr>
                <w:rFonts w:hint="default" w:ascii="Times New Roman" w:hAnsi="Times New Roman" w:eastAsia="宋体" w:cs="Times New Roman"/>
                <w:bCs/>
                <w:snapToGrid w:val="0"/>
                <w:color w:val="auto"/>
                <w:kern w:val="0"/>
                <w:sz w:val="24"/>
                <w:highlight w:val="none"/>
              </w:rPr>
              <w:t>。若声源所在室内声场为近似扩散声场，则室外的声压级可按下式近似求出：</w:t>
            </w:r>
          </w:p>
          <w:p w14:paraId="35977EC8">
            <w:pPr>
              <w:adjustRightInd w:val="0"/>
              <w:spacing w:line="360" w:lineRule="auto"/>
              <w:ind w:firstLine="480" w:firstLineChars="200"/>
              <w:jc w:val="center"/>
              <w:rPr>
                <w:rFonts w:hint="default" w:ascii="Times New Roman" w:hAnsi="Times New Roman" w:eastAsia="宋体" w:cs="Times New Roman"/>
                <w:bCs/>
                <w:snapToGrid w:val="0"/>
                <w:color w:val="auto"/>
                <w:kern w:val="0"/>
                <w:sz w:val="24"/>
                <w:highlight w:val="none"/>
              </w:rPr>
            </w:pPr>
            <w:r>
              <w:rPr>
                <w:rFonts w:hint="default" w:ascii="Times New Roman" w:hAnsi="Times New Roman" w:eastAsia="宋体" w:cs="Times New Roman"/>
                <w:bCs/>
                <w:snapToGrid w:val="0"/>
                <w:color w:val="auto"/>
                <w:kern w:val="0"/>
                <w:sz w:val="24"/>
                <w:highlight w:val="none"/>
              </w:rPr>
              <w:t>L</w:t>
            </w:r>
            <w:r>
              <w:rPr>
                <w:rFonts w:hint="default" w:ascii="Times New Roman" w:hAnsi="Times New Roman" w:eastAsia="宋体" w:cs="Times New Roman"/>
                <w:bCs/>
                <w:i/>
                <w:iCs/>
                <w:snapToGrid w:val="0"/>
                <w:color w:val="auto"/>
                <w:kern w:val="0"/>
                <w:sz w:val="24"/>
                <w:highlight w:val="none"/>
                <w:vertAlign w:val="subscript"/>
              </w:rPr>
              <w:t>p2</w:t>
            </w:r>
            <w:r>
              <w:rPr>
                <w:rFonts w:hint="default" w:ascii="Times New Roman" w:hAnsi="Times New Roman" w:eastAsia="宋体" w:cs="Times New Roman"/>
                <w:bCs/>
                <w:snapToGrid w:val="0"/>
                <w:color w:val="auto"/>
                <w:kern w:val="0"/>
                <w:sz w:val="24"/>
                <w:highlight w:val="none"/>
              </w:rPr>
              <w:t>=L</w:t>
            </w:r>
            <w:r>
              <w:rPr>
                <w:rFonts w:hint="default" w:ascii="Times New Roman" w:hAnsi="Times New Roman" w:eastAsia="宋体" w:cs="Times New Roman"/>
                <w:bCs/>
                <w:i/>
                <w:iCs/>
                <w:snapToGrid w:val="0"/>
                <w:color w:val="auto"/>
                <w:kern w:val="0"/>
                <w:sz w:val="24"/>
                <w:highlight w:val="none"/>
                <w:vertAlign w:val="subscript"/>
              </w:rPr>
              <w:t>p1</w:t>
            </w:r>
            <w:r>
              <w:rPr>
                <w:rFonts w:hint="default" w:ascii="Times New Roman" w:hAnsi="Times New Roman" w:eastAsia="宋体" w:cs="Times New Roman"/>
                <w:bCs/>
                <w:snapToGrid w:val="0"/>
                <w:color w:val="auto"/>
                <w:kern w:val="0"/>
                <w:sz w:val="24"/>
                <w:highlight w:val="none"/>
              </w:rPr>
              <w:t>-(TL+6)</w:t>
            </w:r>
          </w:p>
          <w:p w14:paraId="0B8AE84E">
            <w:pPr>
              <w:adjustRightInd w:val="0"/>
              <w:spacing w:line="360" w:lineRule="auto"/>
              <w:ind w:firstLine="480" w:firstLineChars="200"/>
              <w:rPr>
                <w:rFonts w:hint="default" w:ascii="Times New Roman" w:hAnsi="Times New Roman" w:eastAsia="宋体" w:cs="Times New Roman"/>
                <w:bCs/>
                <w:snapToGrid w:val="0"/>
                <w:color w:val="auto"/>
                <w:kern w:val="0"/>
                <w:sz w:val="24"/>
                <w:highlight w:val="none"/>
              </w:rPr>
            </w:pPr>
            <w:r>
              <w:rPr>
                <w:rFonts w:hint="default" w:ascii="Times New Roman" w:hAnsi="Times New Roman" w:eastAsia="宋体" w:cs="Times New Roman"/>
                <w:bCs/>
                <w:snapToGrid w:val="0"/>
                <w:color w:val="auto"/>
                <w:kern w:val="0"/>
                <w:sz w:val="24"/>
                <w:highlight w:val="none"/>
              </w:rPr>
              <w:t>式中：TL——围护结构的隔声量，dB(A)，根据《民用建筑隔声设计规范》（GB50118-2010）表 8.2.1，办公室与普通房间之间的隔墙、楼板隔声标准最低为 45dB。本项目保守考虑，工业厂房建筑隔声按照20dB计。</w:t>
            </w:r>
          </w:p>
          <w:p w14:paraId="7EF9E164">
            <w:pPr>
              <w:adjustRightInd w:val="0"/>
              <w:spacing w:line="360" w:lineRule="auto"/>
              <w:ind w:firstLine="480" w:firstLineChars="200"/>
              <w:rPr>
                <w:rFonts w:hint="default" w:ascii="Times New Roman" w:hAnsi="Times New Roman" w:eastAsia="宋体" w:cs="Times New Roman"/>
                <w:bCs/>
                <w:snapToGrid w:val="0"/>
                <w:color w:val="auto"/>
                <w:kern w:val="0"/>
                <w:sz w:val="24"/>
                <w:highlight w:val="none"/>
              </w:rPr>
            </w:pPr>
            <w:r>
              <w:rPr>
                <w:rFonts w:hint="default" w:ascii="Times New Roman" w:hAnsi="Times New Roman" w:eastAsia="宋体" w:cs="Times New Roman"/>
                <w:bCs/>
                <w:snapToGrid w:val="0"/>
                <w:color w:val="auto"/>
                <w:kern w:val="0"/>
                <w:sz w:val="24"/>
                <w:highlight w:val="none"/>
              </w:rPr>
              <w:t>计算某一室内声源靠近围护结构处产生的倍频带声压级：</w:t>
            </w:r>
          </w:p>
          <w:p w14:paraId="54B98A65">
            <w:pPr>
              <w:adjustRightInd w:val="0"/>
              <w:spacing w:line="360" w:lineRule="auto"/>
              <w:ind w:firstLine="420" w:firstLineChars="200"/>
              <w:rPr>
                <w:rFonts w:hint="default" w:ascii="Times New Roman" w:hAnsi="Times New Roman" w:eastAsia="宋体" w:cs="Times New Roman"/>
                <w:bCs/>
                <w:snapToGrid w:val="0"/>
                <w:color w:val="auto"/>
                <w:kern w:val="0"/>
                <w:sz w:val="24"/>
                <w:highlight w:val="none"/>
              </w:rPr>
            </w:pPr>
            <w:r>
              <w:rPr>
                <w:rFonts w:hint="default" w:ascii="Times New Roman" w:hAnsi="Times New Roman" w:eastAsia="宋体" w:cs="Times New Roman"/>
                <w:color w:val="auto"/>
                <w:highlight w:val="none"/>
              </w:rPr>
              <w:drawing>
                <wp:anchor distT="0" distB="0" distL="114300" distR="114300" simplePos="0" relativeHeight="251662336" behindDoc="0" locked="0" layoutInCell="1" allowOverlap="1">
                  <wp:simplePos x="0" y="0"/>
                  <wp:positionH relativeFrom="column">
                    <wp:posOffset>1477645</wp:posOffset>
                  </wp:positionH>
                  <wp:positionV relativeFrom="paragraph">
                    <wp:posOffset>10160</wp:posOffset>
                  </wp:positionV>
                  <wp:extent cx="1887220" cy="457200"/>
                  <wp:effectExtent l="0" t="0" r="2540" b="0"/>
                  <wp:wrapTopAndBottom/>
                  <wp:docPr id="15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图片 3"/>
                          <pic:cNvPicPr>
                            <a:picLocks noChangeAspect="1"/>
                          </pic:cNvPicPr>
                        </pic:nvPicPr>
                        <pic:blipFill>
                          <a:blip r:embed="rId26"/>
                          <a:stretch>
                            <a:fillRect/>
                          </a:stretch>
                        </pic:blipFill>
                        <pic:spPr>
                          <a:xfrm>
                            <a:off x="0" y="0"/>
                            <a:ext cx="1887220" cy="457200"/>
                          </a:xfrm>
                          <a:prstGeom prst="rect">
                            <a:avLst/>
                          </a:prstGeom>
                          <a:noFill/>
                          <a:ln>
                            <a:noFill/>
                          </a:ln>
                        </pic:spPr>
                      </pic:pic>
                    </a:graphicData>
                  </a:graphic>
                </wp:anchor>
              </w:drawing>
            </w:r>
            <w:r>
              <w:rPr>
                <w:rFonts w:hint="default" w:ascii="Times New Roman" w:hAnsi="Times New Roman" w:eastAsia="宋体" w:cs="Times New Roman"/>
                <w:bCs/>
                <w:snapToGrid w:val="0"/>
                <w:color w:val="auto"/>
                <w:kern w:val="0"/>
                <w:sz w:val="24"/>
                <w:highlight w:val="none"/>
              </w:rPr>
              <w:t>式中：L</w:t>
            </w:r>
            <w:r>
              <w:rPr>
                <w:rFonts w:hint="default" w:ascii="Times New Roman" w:hAnsi="Times New Roman" w:eastAsia="宋体" w:cs="Times New Roman"/>
                <w:bCs/>
                <w:i/>
                <w:iCs/>
                <w:snapToGrid w:val="0"/>
                <w:color w:val="auto"/>
                <w:kern w:val="0"/>
                <w:sz w:val="24"/>
                <w:highlight w:val="none"/>
                <w:vertAlign w:val="subscript"/>
              </w:rPr>
              <w:t>p1</w:t>
            </w:r>
            <w:r>
              <w:rPr>
                <w:rFonts w:hint="default" w:ascii="Times New Roman" w:hAnsi="Times New Roman" w:eastAsia="宋体" w:cs="Times New Roman"/>
                <w:bCs/>
                <w:snapToGrid w:val="0"/>
                <w:color w:val="auto"/>
                <w:kern w:val="0"/>
                <w:sz w:val="24"/>
                <w:highlight w:val="none"/>
              </w:rPr>
              <w:t>——靠近开口处（或窗户）室内某倍频带的声压级或A声级，dB；</w:t>
            </w:r>
          </w:p>
          <w:p w14:paraId="058DCBE5">
            <w:pPr>
              <w:adjustRightInd w:val="0"/>
              <w:spacing w:line="360" w:lineRule="auto"/>
              <w:ind w:firstLine="480" w:firstLineChars="200"/>
              <w:rPr>
                <w:rFonts w:hint="default" w:ascii="Times New Roman" w:hAnsi="Times New Roman" w:eastAsia="宋体" w:cs="Times New Roman"/>
                <w:bCs/>
                <w:snapToGrid w:val="0"/>
                <w:color w:val="auto"/>
                <w:kern w:val="0"/>
                <w:sz w:val="24"/>
                <w:highlight w:val="none"/>
              </w:rPr>
            </w:pPr>
            <w:r>
              <w:rPr>
                <w:rFonts w:hint="default" w:ascii="Times New Roman" w:hAnsi="Times New Roman" w:eastAsia="宋体" w:cs="Times New Roman"/>
                <w:bCs/>
                <w:snapToGrid w:val="0"/>
                <w:color w:val="auto"/>
                <w:kern w:val="0"/>
                <w:sz w:val="24"/>
                <w:highlight w:val="none"/>
              </w:rPr>
              <w:t>L</w:t>
            </w:r>
            <w:r>
              <w:rPr>
                <w:rFonts w:hint="default" w:ascii="Times New Roman" w:hAnsi="Times New Roman" w:eastAsia="宋体" w:cs="Times New Roman"/>
                <w:bCs/>
                <w:i/>
                <w:iCs/>
                <w:snapToGrid w:val="0"/>
                <w:color w:val="auto"/>
                <w:kern w:val="0"/>
                <w:sz w:val="24"/>
                <w:highlight w:val="none"/>
                <w:vertAlign w:val="subscript"/>
              </w:rPr>
              <w:t>W</w:t>
            </w:r>
            <w:r>
              <w:rPr>
                <w:rFonts w:hint="default" w:ascii="Times New Roman" w:hAnsi="Times New Roman" w:eastAsia="宋体" w:cs="Times New Roman"/>
                <w:bCs/>
                <w:snapToGrid w:val="0"/>
                <w:color w:val="auto"/>
                <w:kern w:val="0"/>
                <w:sz w:val="24"/>
                <w:highlight w:val="none"/>
              </w:rPr>
              <w:t>——点声源声功率级（A 计权或倍频带），dB；</w:t>
            </w:r>
          </w:p>
          <w:p w14:paraId="4F53B466">
            <w:pPr>
              <w:adjustRightInd w:val="0"/>
              <w:spacing w:line="360" w:lineRule="auto"/>
              <w:ind w:firstLine="480" w:firstLineChars="200"/>
              <w:rPr>
                <w:rFonts w:hint="default" w:ascii="Times New Roman" w:hAnsi="Times New Roman" w:eastAsia="宋体" w:cs="Times New Roman"/>
                <w:bCs/>
                <w:snapToGrid w:val="0"/>
                <w:color w:val="auto"/>
                <w:kern w:val="0"/>
                <w:sz w:val="24"/>
                <w:highlight w:val="none"/>
              </w:rPr>
            </w:pPr>
            <w:r>
              <w:rPr>
                <w:rFonts w:hint="default" w:ascii="Times New Roman" w:hAnsi="Times New Roman" w:eastAsia="宋体" w:cs="Times New Roman"/>
                <w:bCs/>
                <w:snapToGrid w:val="0"/>
                <w:color w:val="auto"/>
                <w:kern w:val="0"/>
                <w:sz w:val="24"/>
                <w:highlight w:val="none"/>
              </w:rPr>
              <w:t>Q——指向性因数；通常对无指向性声源，当声源放在房间中心时，Q=1；</w:t>
            </w:r>
          </w:p>
          <w:p w14:paraId="765D1830">
            <w:pPr>
              <w:adjustRightInd w:val="0"/>
              <w:spacing w:line="360" w:lineRule="auto"/>
              <w:ind w:firstLine="480" w:firstLineChars="200"/>
              <w:rPr>
                <w:rFonts w:hint="default" w:ascii="Times New Roman" w:hAnsi="Times New Roman" w:eastAsia="宋体" w:cs="Times New Roman"/>
                <w:bCs/>
                <w:snapToGrid w:val="0"/>
                <w:color w:val="auto"/>
                <w:kern w:val="0"/>
                <w:sz w:val="24"/>
                <w:highlight w:val="none"/>
              </w:rPr>
            </w:pPr>
            <w:r>
              <w:rPr>
                <w:rFonts w:hint="default" w:ascii="Times New Roman" w:hAnsi="Times New Roman" w:eastAsia="宋体" w:cs="Times New Roman"/>
                <w:bCs/>
                <w:snapToGrid w:val="0"/>
                <w:color w:val="auto"/>
                <w:kern w:val="0"/>
                <w:sz w:val="24"/>
                <w:highlight w:val="none"/>
              </w:rPr>
              <w:t>当放在一面墙的中心时，Q=2；当放在两面墙夹角处时，Q=4；当放在三面墙夹角处时，Q=8；</w:t>
            </w:r>
          </w:p>
          <w:p w14:paraId="3EE67ECA">
            <w:pPr>
              <w:adjustRightInd w:val="0"/>
              <w:spacing w:line="360" w:lineRule="auto"/>
              <w:ind w:firstLine="480" w:firstLineChars="200"/>
              <w:rPr>
                <w:rFonts w:hint="default" w:ascii="Times New Roman" w:hAnsi="Times New Roman" w:eastAsia="宋体" w:cs="Times New Roman"/>
                <w:bCs/>
                <w:snapToGrid w:val="0"/>
                <w:color w:val="auto"/>
                <w:kern w:val="0"/>
                <w:sz w:val="24"/>
                <w:highlight w:val="none"/>
              </w:rPr>
            </w:pPr>
            <w:r>
              <w:rPr>
                <w:rFonts w:hint="default" w:ascii="Times New Roman" w:hAnsi="Times New Roman" w:eastAsia="宋体" w:cs="Times New Roman"/>
                <w:bCs/>
                <w:snapToGrid w:val="0"/>
                <w:color w:val="auto"/>
                <w:kern w:val="0"/>
                <w:sz w:val="24"/>
                <w:highlight w:val="none"/>
              </w:rPr>
              <w:t>R——房间常数；R=S/(1-α)，S 为房间内表面面积，m</w:t>
            </w:r>
            <w:r>
              <w:rPr>
                <w:rFonts w:hint="default" w:ascii="Times New Roman" w:hAnsi="Times New Roman" w:eastAsia="宋体" w:cs="Times New Roman"/>
                <w:bCs/>
                <w:snapToGrid w:val="0"/>
                <w:color w:val="auto"/>
                <w:kern w:val="0"/>
                <w:sz w:val="24"/>
                <w:highlight w:val="none"/>
                <w:vertAlign w:val="superscript"/>
              </w:rPr>
              <w:t>2</w:t>
            </w:r>
            <w:r>
              <w:rPr>
                <w:rFonts w:hint="default" w:ascii="Times New Roman" w:hAnsi="Times New Roman" w:eastAsia="宋体" w:cs="Times New Roman"/>
                <w:bCs/>
                <w:snapToGrid w:val="0"/>
                <w:color w:val="auto"/>
                <w:kern w:val="0"/>
                <w:sz w:val="24"/>
                <w:highlight w:val="none"/>
              </w:rPr>
              <w:t>；α为平均吸声系数；</w:t>
            </w:r>
          </w:p>
          <w:p w14:paraId="37658CB4">
            <w:pPr>
              <w:adjustRightInd w:val="0"/>
              <w:spacing w:line="360" w:lineRule="auto"/>
              <w:ind w:firstLine="480" w:firstLineChars="200"/>
              <w:rPr>
                <w:rFonts w:hint="default" w:ascii="Times New Roman" w:hAnsi="Times New Roman" w:eastAsia="宋体" w:cs="Times New Roman"/>
                <w:bCs/>
                <w:snapToGrid w:val="0"/>
                <w:color w:val="auto"/>
                <w:kern w:val="0"/>
                <w:sz w:val="24"/>
                <w:highlight w:val="none"/>
              </w:rPr>
            </w:pPr>
            <w:r>
              <w:rPr>
                <w:rFonts w:hint="default" w:ascii="Times New Roman" w:hAnsi="Times New Roman" w:eastAsia="宋体" w:cs="Times New Roman"/>
                <w:bCs/>
                <w:snapToGrid w:val="0"/>
                <w:color w:val="auto"/>
                <w:kern w:val="0"/>
                <w:sz w:val="24"/>
                <w:highlight w:val="none"/>
              </w:rPr>
              <w:t>r——声源到靠近围护结构某点处的距离，m。</w:t>
            </w:r>
          </w:p>
          <w:p w14:paraId="558AF215">
            <w:pPr>
              <w:numPr>
                <w:ilvl w:val="0"/>
                <w:numId w:val="22"/>
              </w:numPr>
              <w:adjustRightInd w:val="0"/>
              <w:spacing w:line="360" w:lineRule="auto"/>
              <w:ind w:left="0" w:leftChars="0" w:firstLine="480" w:firstLineChars="200"/>
              <w:rPr>
                <w:rFonts w:hint="default" w:ascii="Times New Roman" w:hAnsi="Times New Roman" w:eastAsia="宋体" w:cs="Times New Roman"/>
                <w:bCs/>
                <w:snapToGrid w:val="0"/>
                <w:color w:val="auto"/>
                <w:kern w:val="0"/>
                <w:sz w:val="24"/>
                <w:highlight w:val="none"/>
              </w:rPr>
            </w:pPr>
            <w:r>
              <w:rPr>
                <w:rFonts w:hint="default" w:ascii="Times New Roman" w:hAnsi="Times New Roman" w:eastAsia="宋体" w:cs="Times New Roman"/>
                <w:bCs/>
                <w:snapToGrid w:val="0"/>
                <w:color w:val="auto"/>
                <w:kern w:val="0"/>
                <w:sz w:val="24"/>
                <w:highlight w:val="none"/>
              </w:rPr>
              <w:t>建设项目声源在预测点产生的等效声级贡献值计算公式：</w:t>
            </w:r>
          </w:p>
          <w:p w14:paraId="7925B7D1">
            <w:pPr>
              <w:adjustRightInd w:val="0"/>
              <w:spacing w:line="360" w:lineRule="auto"/>
              <w:ind w:firstLine="420" w:firstLineChars="200"/>
              <w:jc w:val="center"/>
              <w:rPr>
                <w:rFonts w:hint="default" w:ascii="Times New Roman" w:hAnsi="Times New Roman" w:eastAsia="宋体" w:cs="Times New Roman"/>
                <w:bCs/>
                <w:snapToGrid w:val="0"/>
                <w:color w:val="auto"/>
                <w:kern w:val="0"/>
                <w:sz w:val="24"/>
                <w:highlight w:val="none"/>
              </w:rPr>
            </w:pPr>
            <w:r>
              <w:rPr>
                <w:rFonts w:hint="default" w:ascii="Times New Roman" w:hAnsi="Times New Roman" w:eastAsia="宋体" w:cs="Times New Roman"/>
                <w:color w:val="auto"/>
                <w:highlight w:val="none"/>
              </w:rPr>
              <w:drawing>
                <wp:inline distT="0" distB="0" distL="114300" distR="114300">
                  <wp:extent cx="2581275" cy="600075"/>
                  <wp:effectExtent l="0" t="0" r="9525" b="9525"/>
                  <wp:docPr id="14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图片 2"/>
                          <pic:cNvPicPr>
                            <a:picLocks noChangeAspect="1"/>
                          </pic:cNvPicPr>
                        </pic:nvPicPr>
                        <pic:blipFill>
                          <a:blip r:embed="rId27"/>
                          <a:stretch>
                            <a:fillRect/>
                          </a:stretch>
                        </pic:blipFill>
                        <pic:spPr>
                          <a:xfrm>
                            <a:off x="0" y="0"/>
                            <a:ext cx="2581275" cy="600075"/>
                          </a:xfrm>
                          <a:prstGeom prst="rect">
                            <a:avLst/>
                          </a:prstGeom>
                          <a:noFill/>
                          <a:ln>
                            <a:noFill/>
                          </a:ln>
                        </pic:spPr>
                      </pic:pic>
                    </a:graphicData>
                  </a:graphic>
                </wp:inline>
              </w:drawing>
            </w:r>
          </w:p>
          <w:p w14:paraId="55A7E794">
            <w:pPr>
              <w:adjustRightInd w:val="0"/>
              <w:spacing w:line="360" w:lineRule="auto"/>
              <w:ind w:firstLine="480" w:firstLineChars="200"/>
              <w:rPr>
                <w:rFonts w:hint="default" w:ascii="Times New Roman" w:hAnsi="Times New Roman" w:eastAsia="宋体" w:cs="Times New Roman"/>
                <w:bCs/>
                <w:snapToGrid w:val="0"/>
                <w:color w:val="auto"/>
                <w:kern w:val="0"/>
                <w:sz w:val="24"/>
                <w:highlight w:val="none"/>
              </w:rPr>
            </w:pPr>
            <w:r>
              <w:rPr>
                <w:rFonts w:hint="default" w:ascii="Times New Roman" w:hAnsi="Times New Roman" w:eastAsia="宋体" w:cs="Times New Roman"/>
                <w:bCs/>
                <w:snapToGrid w:val="0"/>
                <w:color w:val="auto"/>
                <w:kern w:val="0"/>
                <w:sz w:val="24"/>
                <w:highlight w:val="none"/>
              </w:rPr>
              <w:t>式中：L</w:t>
            </w:r>
            <w:r>
              <w:rPr>
                <w:rFonts w:hint="default" w:ascii="Times New Roman" w:hAnsi="Times New Roman" w:eastAsia="宋体" w:cs="Times New Roman"/>
                <w:bCs/>
                <w:i/>
                <w:iCs/>
                <w:snapToGrid w:val="0"/>
                <w:color w:val="auto"/>
                <w:kern w:val="0"/>
                <w:sz w:val="24"/>
                <w:highlight w:val="none"/>
                <w:vertAlign w:val="subscript"/>
              </w:rPr>
              <w:t>eqg</w:t>
            </w:r>
            <w:r>
              <w:rPr>
                <w:rFonts w:hint="default" w:ascii="Times New Roman" w:hAnsi="Times New Roman" w:eastAsia="宋体" w:cs="Times New Roman"/>
                <w:bCs/>
                <w:snapToGrid w:val="0"/>
                <w:color w:val="auto"/>
                <w:kern w:val="0"/>
                <w:sz w:val="24"/>
                <w:highlight w:val="none"/>
              </w:rPr>
              <w:t>—建设项目声源在预测点的等效声级贡献值，dB(A)；</w:t>
            </w:r>
          </w:p>
          <w:p w14:paraId="707AD75D">
            <w:pPr>
              <w:adjustRightInd w:val="0"/>
              <w:spacing w:line="360" w:lineRule="auto"/>
              <w:ind w:firstLine="480" w:firstLineChars="200"/>
              <w:rPr>
                <w:rFonts w:hint="default" w:ascii="Times New Roman" w:hAnsi="Times New Roman" w:eastAsia="宋体" w:cs="Times New Roman"/>
                <w:bCs/>
                <w:snapToGrid w:val="0"/>
                <w:color w:val="auto"/>
                <w:kern w:val="0"/>
                <w:sz w:val="24"/>
                <w:highlight w:val="none"/>
              </w:rPr>
            </w:pPr>
            <w:r>
              <w:rPr>
                <w:rFonts w:hint="default" w:ascii="Times New Roman" w:hAnsi="Times New Roman" w:eastAsia="宋体" w:cs="Times New Roman"/>
                <w:bCs/>
                <w:snapToGrid w:val="0"/>
                <w:color w:val="auto"/>
                <w:kern w:val="0"/>
                <w:sz w:val="24"/>
                <w:highlight w:val="none"/>
              </w:rPr>
              <w:t>L</w:t>
            </w:r>
            <w:r>
              <w:rPr>
                <w:rFonts w:hint="default" w:ascii="Times New Roman" w:hAnsi="Times New Roman" w:eastAsia="宋体" w:cs="Times New Roman"/>
                <w:bCs/>
                <w:i/>
                <w:iCs/>
                <w:snapToGrid w:val="0"/>
                <w:color w:val="auto"/>
                <w:kern w:val="0"/>
                <w:sz w:val="24"/>
                <w:highlight w:val="none"/>
                <w:vertAlign w:val="subscript"/>
              </w:rPr>
              <w:t>Ai</w:t>
            </w:r>
            <w:r>
              <w:rPr>
                <w:rFonts w:hint="default" w:ascii="Times New Roman" w:hAnsi="Times New Roman" w:eastAsia="宋体" w:cs="Times New Roman"/>
                <w:bCs/>
                <w:snapToGrid w:val="0"/>
                <w:color w:val="auto"/>
                <w:kern w:val="0"/>
                <w:sz w:val="24"/>
                <w:highlight w:val="none"/>
              </w:rPr>
              <w:t>—i声源在预测点产生的A声级，dB(A)；</w:t>
            </w:r>
          </w:p>
          <w:p w14:paraId="20DE033F">
            <w:pPr>
              <w:adjustRightInd w:val="0"/>
              <w:spacing w:line="360" w:lineRule="auto"/>
              <w:ind w:firstLine="480" w:firstLineChars="200"/>
              <w:rPr>
                <w:rFonts w:hint="default" w:ascii="Times New Roman" w:hAnsi="Times New Roman" w:eastAsia="宋体" w:cs="Times New Roman"/>
                <w:bCs/>
                <w:snapToGrid w:val="0"/>
                <w:color w:val="auto"/>
                <w:kern w:val="0"/>
                <w:sz w:val="24"/>
                <w:highlight w:val="none"/>
              </w:rPr>
            </w:pPr>
            <w:r>
              <w:rPr>
                <w:rFonts w:hint="default" w:ascii="Times New Roman" w:hAnsi="Times New Roman" w:eastAsia="宋体" w:cs="Times New Roman"/>
                <w:bCs/>
                <w:snapToGrid w:val="0"/>
                <w:color w:val="auto"/>
                <w:kern w:val="0"/>
                <w:sz w:val="24"/>
                <w:highlight w:val="none"/>
              </w:rPr>
              <w:t>T—预测计算的时间段，s；</w:t>
            </w:r>
          </w:p>
          <w:p w14:paraId="0F90EA02">
            <w:pPr>
              <w:adjustRightInd w:val="0"/>
              <w:spacing w:line="360" w:lineRule="auto"/>
              <w:ind w:firstLine="480" w:firstLineChars="200"/>
              <w:rPr>
                <w:rFonts w:hint="default" w:ascii="Times New Roman" w:hAnsi="Times New Roman" w:eastAsia="宋体" w:cs="Times New Roman"/>
                <w:bCs/>
                <w:snapToGrid w:val="0"/>
                <w:color w:val="auto"/>
                <w:kern w:val="0"/>
                <w:sz w:val="24"/>
                <w:highlight w:val="none"/>
              </w:rPr>
            </w:pPr>
            <w:r>
              <w:rPr>
                <w:rFonts w:hint="default" w:ascii="Times New Roman" w:hAnsi="Times New Roman" w:eastAsia="宋体" w:cs="Times New Roman"/>
                <w:bCs/>
                <w:snapToGrid w:val="0"/>
                <w:color w:val="auto"/>
                <w:kern w:val="0"/>
                <w:sz w:val="24"/>
                <w:highlight w:val="none"/>
              </w:rPr>
              <w:t>t</w:t>
            </w:r>
            <w:r>
              <w:rPr>
                <w:rFonts w:hint="default" w:ascii="Times New Roman" w:hAnsi="Times New Roman" w:eastAsia="宋体" w:cs="Times New Roman"/>
                <w:bCs/>
                <w:i/>
                <w:iCs/>
                <w:snapToGrid w:val="0"/>
                <w:color w:val="auto"/>
                <w:kern w:val="0"/>
                <w:sz w:val="24"/>
                <w:highlight w:val="none"/>
                <w:vertAlign w:val="subscript"/>
              </w:rPr>
              <w:t>i</w:t>
            </w:r>
            <w:r>
              <w:rPr>
                <w:rFonts w:hint="default" w:ascii="Times New Roman" w:hAnsi="Times New Roman" w:eastAsia="宋体" w:cs="Times New Roman"/>
                <w:bCs/>
                <w:snapToGrid w:val="0"/>
                <w:color w:val="auto"/>
                <w:kern w:val="0"/>
                <w:sz w:val="24"/>
                <w:highlight w:val="none"/>
              </w:rPr>
              <w:t>—i声源在T时段内的运行时间，s。</w:t>
            </w:r>
          </w:p>
          <w:p w14:paraId="33CD920A">
            <w:pPr>
              <w:adjustRightInd w:val="0"/>
              <w:spacing w:line="360" w:lineRule="auto"/>
              <w:ind w:firstLine="480" w:firstLineChars="200"/>
              <w:rPr>
                <w:rFonts w:hint="default" w:ascii="Times New Roman" w:hAnsi="Times New Roman" w:eastAsia="宋体" w:cs="Times New Roman"/>
                <w:bCs/>
                <w:snapToGrid w:val="0"/>
                <w:color w:val="auto"/>
                <w:kern w:val="0"/>
                <w:sz w:val="24"/>
                <w:highlight w:val="none"/>
              </w:rPr>
            </w:pPr>
            <w:r>
              <w:rPr>
                <w:rFonts w:hint="default" w:ascii="Times New Roman" w:hAnsi="Times New Roman" w:eastAsia="宋体" w:cs="Times New Roman"/>
                <w:bCs/>
                <w:snapToGrid w:val="0"/>
                <w:color w:val="auto"/>
                <w:kern w:val="0"/>
                <w:sz w:val="24"/>
                <w:highlight w:val="none"/>
              </w:rPr>
              <w:t>本项目</w:t>
            </w:r>
            <w:r>
              <w:rPr>
                <w:rFonts w:hint="eastAsia" w:cs="Times New Roman"/>
                <w:bCs/>
                <w:snapToGrid w:val="0"/>
                <w:color w:val="auto"/>
                <w:kern w:val="0"/>
                <w:sz w:val="24"/>
                <w:highlight w:val="none"/>
                <w:lang w:val="en-US" w:eastAsia="zh-CN"/>
              </w:rPr>
              <w:t>厂界</w:t>
            </w:r>
            <w:r>
              <w:rPr>
                <w:rFonts w:hint="default" w:ascii="Times New Roman" w:hAnsi="Times New Roman" w:eastAsia="宋体" w:cs="Times New Roman"/>
                <w:bCs/>
                <w:snapToGrid w:val="0"/>
                <w:color w:val="auto"/>
                <w:kern w:val="0"/>
                <w:sz w:val="24"/>
                <w:highlight w:val="none"/>
              </w:rPr>
              <w:t>噪声预测见下表。</w:t>
            </w:r>
          </w:p>
          <w:p w14:paraId="2A62F14F">
            <w:pPr>
              <w:numPr>
                <w:ilvl w:val="0"/>
                <w:numId w:val="21"/>
              </w:numPr>
              <w:adjustRightInd w:val="0"/>
              <w:spacing w:line="360" w:lineRule="auto"/>
              <w:ind w:left="425" w:leftChars="0" w:hanging="425" w:firstLineChars="0"/>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项目厂界噪声预测结果一览表</w:t>
            </w:r>
            <w:r>
              <w:rPr>
                <w:rFonts w:hint="eastAsia" w:cs="Times New Roman"/>
                <w:b/>
                <w:color w:val="auto"/>
                <w:sz w:val="24"/>
                <w:highlight w:val="none"/>
                <w:lang w:eastAsia="zh-CN"/>
              </w:rPr>
              <w:t>，</w:t>
            </w:r>
            <w:r>
              <w:rPr>
                <w:rFonts w:hint="default" w:ascii="Times New Roman" w:hAnsi="Times New Roman" w:eastAsia="宋体" w:cs="Times New Roman"/>
                <w:b/>
                <w:color w:val="auto"/>
                <w:sz w:val="24"/>
                <w:highlight w:val="none"/>
              </w:rPr>
              <w:t>单位：dB(A)</w:t>
            </w:r>
          </w:p>
          <w:tbl>
            <w:tblPr>
              <w:tblStyle w:val="23"/>
              <w:tblW w:w="49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31"/>
              <w:gridCol w:w="1230"/>
              <w:gridCol w:w="1596"/>
              <w:gridCol w:w="1743"/>
              <w:gridCol w:w="1417"/>
            </w:tblGrid>
            <w:tr w14:paraId="7075F1B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1" w:hRule="exact"/>
                <w:jc w:val="center"/>
              </w:trPr>
              <w:tc>
                <w:tcPr>
                  <w:tcW w:w="1431" w:type="dxa"/>
                  <w:tcBorders>
                    <w:tl2br w:val="nil"/>
                    <w:tr2bl w:val="nil"/>
                  </w:tcBorders>
                  <w:vAlign w:val="center"/>
                </w:tcPr>
                <w:p w14:paraId="74D011E6">
                  <w:pPr>
                    <w:numPr>
                      <w:ilvl w:val="0"/>
                      <w:numId w:val="0"/>
                    </w:numPr>
                    <w:adjustRightInd w:val="0"/>
                    <w:snapToGrid w:val="0"/>
                    <w:spacing w:line="240" w:lineRule="auto"/>
                    <w:jc w:val="center"/>
                    <w:rPr>
                      <w:rFonts w:hint="default" w:ascii="Times New Roman" w:hAnsi="Times New Roman" w:eastAsia="宋体" w:cs="Times New Roman"/>
                      <w:b/>
                      <w:bCs/>
                      <w:color w:val="auto"/>
                      <w:sz w:val="21"/>
                      <w:szCs w:val="21"/>
                      <w:highlight w:val="none"/>
                      <w:vertAlign w:val="baseline"/>
                      <w:lang w:val="zh-CN"/>
                    </w:rPr>
                  </w:pPr>
                  <w:r>
                    <w:rPr>
                      <w:rFonts w:hint="default" w:ascii="Times New Roman" w:hAnsi="Times New Roman" w:eastAsia="宋体" w:cs="Times New Roman"/>
                      <w:b/>
                      <w:bCs/>
                      <w:color w:val="auto"/>
                      <w:sz w:val="21"/>
                      <w:szCs w:val="21"/>
                      <w:highlight w:val="none"/>
                      <w:vertAlign w:val="baseline"/>
                      <w:lang w:val="zh-CN"/>
                    </w:rPr>
                    <w:t>预测方位</w:t>
                  </w:r>
                </w:p>
              </w:tc>
              <w:tc>
                <w:tcPr>
                  <w:tcW w:w="1230" w:type="dxa"/>
                  <w:tcBorders>
                    <w:tl2br w:val="nil"/>
                    <w:tr2bl w:val="nil"/>
                  </w:tcBorders>
                  <w:vAlign w:val="center"/>
                </w:tcPr>
                <w:p w14:paraId="052E84BE">
                  <w:pPr>
                    <w:numPr>
                      <w:ilvl w:val="0"/>
                      <w:numId w:val="0"/>
                    </w:numPr>
                    <w:adjustRightInd w:val="0"/>
                    <w:snapToGrid w:val="0"/>
                    <w:spacing w:line="240" w:lineRule="auto"/>
                    <w:jc w:val="center"/>
                    <w:rPr>
                      <w:rFonts w:hint="default" w:ascii="Times New Roman" w:hAnsi="Times New Roman" w:eastAsia="宋体" w:cs="Times New Roman"/>
                      <w:b/>
                      <w:bCs/>
                      <w:color w:val="auto"/>
                      <w:sz w:val="21"/>
                      <w:szCs w:val="21"/>
                      <w:highlight w:val="none"/>
                      <w:vertAlign w:val="baseline"/>
                      <w:lang w:val="zh-CN"/>
                    </w:rPr>
                  </w:pPr>
                  <w:r>
                    <w:rPr>
                      <w:rFonts w:hint="default" w:ascii="Times New Roman" w:hAnsi="Times New Roman" w:eastAsia="宋体" w:cs="Times New Roman"/>
                      <w:b/>
                      <w:bCs/>
                      <w:color w:val="auto"/>
                      <w:sz w:val="21"/>
                      <w:szCs w:val="21"/>
                      <w:highlight w:val="none"/>
                      <w:vertAlign w:val="baseline"/>
                      <w:lang w:val="zh-CN"/>
                    </w:rPr>
                    <w:t>时段</w:t>
                  </w:r>
                </w:p>
              </w:tc>
              <w:tc>
                <w:tcPr>
                  <w:tcW w:w="1596" w:type="dxa"/>
                  <w:tcBorders>
                    <w:tl2br w:val="nil"/>
                    <w:tr2bl w:val="nil"/>
                  </w:tcBorders>
                  <w:vAlign w:val="center"/>
                </w:tcPr>
                <w:p w14:paraId="6D4C0CB4">
                  <w:pPr>
                    <w:numPr>
                      <w:ilvl w:val="0"/>
                      <w:numId w:val="0"/>
                    </w:numPr>
                    <w:adjustRightInd w:val="0"/>
                    <w:snapToGrid w:val="0"/>
                    <w:spacing w:line="240" w:lineRule="auto"/>
                    <w:jc w:val="center"/>
                    <w:rPr>
                      <w:rFonts w:hint="default" w:ascii="Times New Roman" w:hAnsi="Times New Roman" w:eastAsia="宋体" w:cs="Times New Roman"/>
                      <w:b/>
                      <w:bCs/>
                      <w:color w:val="auto"/>
                      <w:sz w:val="21"/>
                      <w:szCs w:val="21"/>
                      <w:highlight w:val="none"/>
                      <w:vertAlign w:val="baseline"/>
                      <w:lang w:val="zh-CN"/>
                    </w:rPr>
                  </w:pPr>
                  <w:r>
                    <w:rPr>
                      <w:rFonts w:hint="default" w:ascii="Times New Roman" w:hAnsi="Times New Roman" w:eastAsia="宋体" w:cs="Times New Roman"/>
                      <w:b/>
                      <w:bCs/>
                      <w:color w:val="auto"/>
                      <w:sz w:val="21"/>
                      <w:szCs w:val="21"/>
                      <w:highlight w:val="none"/>
                      <w:vertAlign w:val="baseline"/>
                      <w:lang w:val="zh-CN"/>
                    </w:rPr>
                    <w:t>贡献值</w:t>
                  </w:r>
                </w:p>
              </w:tc>
              <w:tc>
                <w:tcPr>
                  <w:tcW w:w="1743" w:type="dxa"/>
                  <w:tcBorders>
                    <w:tl2br w:val="nil"/>
                    <w:tr2bl w:val="nil"/>
                  </w:tcBorders>
                  <w:vAlign w:val="center"/>
                </w:tcPr>
                <w:p w14:paraId="62EA0190">
                  <w:pPr>
                    <w:numPr>
                      <w:ilvl w:val="0"/>
                      <w:numId w:val="0"/>
                    </w:numPr>
                    <w:adjustRightInd w:val="0"/>
                    <w:snapToGrid w:val="0"/>
                    <w:spacing w:line="240" w:lineRule="auto"/>
                    <w:jc w:val="center"/>
                    <w:rPr>
                      <w:rFonts w:hint="default" w:ascii="Times New Roman" w:hAnsi="Times New Roman" w:eastAsia="宋体" w:cs="Times New Roman"/>
                      <w:b/>
                      <w:bCs/>
                      <w:color w:val="auto"/>
                      <w:sz w:val="21"/>
                      <w:szCs w:val="21"/>
                      <w:highlight w:val="none"/>
                      <w:vertAlign w:val="baseline"/>
                      <w:lang w:val="zh-CN"/>
                    </w:rPr>
                  </w:pPr>
                  <w:r>
                    <w:rPr>
                      <w:rFonts w:hint="default" w:ascii="Times New Roman" w:hAnsi="Times New Roman" w:eastAsia="宋体" w:cs="Times New Roman"/>
                      <w:b/>
                      <w:bCs/>
                      <w:color w:val="auto"/>
                      <w:sz w:val="21"/>
                      <w:szCs w:val="21"/>
                      <w:highlight w:val="none"/>
                      <w:vertAlign w:val="baseline"/>
                      <w:lang w:val="zh-CN"/>
                    </w:rPr>
                    <w:t>标准限值</w:t>
                  </w:r>
                </w:p>
              </w:tc>
              <w:tc>
                <w:tcPr>
                  <w:tcW w:w="1417" w:type="dxa"/>
                  <w:tcBorders>
                    <w:tl2br w:val="nil"/>
                    <w:tr2bl w:val="nil"/>
                  </w:tcBorders>
                  <w:vAlign w:val="center"/>
                </w:tcPr>
                <w:p w14:paraId="60C7F9F8">
                  <w:pPr>
                    <w:numPr>
                      <w:ilvl w:val="0"/>
                      <w:numId w:val="0"/>
                    </w:numPr>
                    <w:adjustRightInd w:val="0"/>
                    <w:snapToGrid w:val="0"/>
                    <w:spacing w:line="240" w:lineRule="auto"/>
                    <w:jc w:val="center"/>
                    <w:rPr>
                      <w:rFonts w:hint="default" w:ascii="Times New Roman" w:hAnsi="Times New Roman" w:eastAsia="宋体" w:cs="Times New Roman"/>
                      <w:b/>
                      <w:bCs/>
                      <w:color w:val="auto"/>
                      <w:sz w:val="21"/>
                      <w:szCs w:val="21"/>
                      <w:highlight w:val="none"/>
                      <w:vertAlign w:val="baseline"/>
                      <w:lang w:val="zh-CN"/>
                    </w:rPr>
                  </w:pPr>
                  <w:r>
                    <w:rPr>
                      <w:rFonts w:hint="default" w:ascii="Times New Roman" w:hAnsi="Times New Roman" w:eastAsia="宋体" w:cs="Times New Roman"/>
                      <w:b/>
                      <w:bCs/>
                      <w:color w:val="auto"/>
                      <w:sz w:val="21"/>
                      <w:szCs w:val="21"/>
                      <w:highlight w:val="none"/>
                      <w:vertAlign w:val="baseline"/>
                      <w:lang w:val="zh-CN"/>
                    </w:rPr>
                    <w:t>达标情况</w:t>
                  </w:r>
                </w:p>
              </w:tc>
            </w:tr>
            <w:tr w14:paraId="59C536D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12" w:hRule="exact"/>
                <w:jc w:val="center"/>
              </w:trPr>
              <w:tc>
                <w:tcPr>
                  <w:tcW w:w="1431" w:type="dxa"/>
                  <w:tcBorders>
                    <w:tl2br w:val="nil"/>
                    <w:tr2bl w:val="nil"/>
                  </w:tcBorders>
                  <w:shd w:val="clear" w:color="auto" w:fill="FFFFFF"/>
                  <w:vAlign w:val="center"/>
                </w:tcPr>
                <w:p w14:paraId="56A5CB3A">
                  <w:pPr>
                    <w:numPr>
                      <w:ilvl w:val="0"/>
                      <w:numId w:val="0"/>
                    </w:numPr>
                    <w:adjustRightInd w:val="0"/>
                    <w:snapToGrid w:val="0"/>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项目东边界</w:t>
                  </w:r>
                </w:p>
              </w:tc>
              <w:tc>
                <w:tcPr>
                  <w:tcW w:w="1230" w:type="dxa"/>
                  <w:tcBorders>
                    <w:tl2br w:val="nil"/>
                    <w:tr2bl w:val="nil"/>
                  </w:tcBorders>
                  <w:shd w:val="clear" w:color="auto" w:fill="FFFFFF"/>
                  <w:vAlign w:val="center"/>
                </w:tcPr>
                <w:p w14:paraId="28CB2A9C">
                  <w:pPr>
                    <w:numPr>
                      <w:ilvl w:val="0"/>
                      <w:numId w:val="0"/>
                    </w:numPr>
                    <w:adjustRightInd w:val="0"/>
                    <w:snapToGrid w:val="0"/>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昼间</w:t>
                  </w:r>
                </w:p>
              </w:tc>
              <w:tc>
                <w:tcPr>
                  <w:tcW w:w="1596" w:type="dxa"/>
                  <w:tcBorders>
                    <w:tl2br w:val="nil"/>
                    <w:tr2bl w:val="nil"/>
                  </w:tcBorders>
                  <w:shd w:val="clear" w:color="auto" w:fill="FFFFFF"/>
                  <w:vAlign w:val="center"/>
                </w:tcPr>
                <w:p w14:paraId="68D7CDCB">
                  <w:pPr>
                    <w:numPr>
                      <w:ilvl w:val="0"/>
                      <w:numId w:val="0"/>
                    </w:numPr>
                    <w:adjustRightInd w:val="0"/>
                    <w:snapToGrid w:val="0"/>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35</w:t>
                  </w:r>
                </w:p>
              </w:tc>
              <w:tc>
                <w:tcPr>
                  <w:tcW w:w="1743" w:type="dxa"/>
                  <w:tcBorders>
                    <w:tl2br w:val="nil"/>
                    <w:tr2bl w:val="nil"/>
                  </w:tcBorders>
                  <w:shd w:val="clear" w:color="auto" w:fill="FFFFFF"/>
                  <w:vAlign w:val="center"/>
                </w:tcPr>
                <w:p w14:paraId="7499B610">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55</w:t>
                  </w:r>
                </w:p>
              </w:tc>
              <w:tc>
                <w:tcPr>
                  <w:tcW w:w="1417" w:type="dxa"/>
                  <w:tcBorders>
                    <w:tl2br w:val="nil"/>
                    <w:tr2bl w:val="nil"/>
                  </w:tcBorders>
                  <w:shd w:val="clear" w:color="auto" w:fill="FFFFFF"/>
                  <w:vAlign w:val="center"/>
                </w:tcPr>
                <w:p w14:paraId="4A486620">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达标</w:t>
                  </w:r>
                </w:p>
              </w:tc>
            </w:tr>
            <w:tr w14:paraId="21A2CE3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12" w:hRule="exact"/>
                <w:jc w:val="center"/>
              </w:trPr>
              <w:tc>
                <w:tcPr>
                  <w:tcW w:w="1431" w:type="dxa"/>
                  <w:tcBorders>
                    <w:tl2br w:val="nil"/>
                    <w:tr2bl w:val="nil"/>
                  </w:tcBorders>
                  <w:shd w:val="clear" w:color="auto" w:fill="FFFFFF"/>
                  <w:vAlign w:val="center"/>
                </w:tcPr>
                <w:p w14:paraId="6A942818">
                  <w:pPr>
                    <w:numPr>
                      <w:ilvl w:val="0"/>
                      <w:numId w:val="0"/>
                    </w:numPr>
                    <w:adjustRightInd w:val="0"/>
                    <w:snapToGrid w:val="0"/>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项目</w:t>
                  </w:r>
                  <w:r>
                    <w:rPr>
                      <w:rFonts w:hint="eastAsia" w:cs="Times New Roman"/>
                      <w:color w:val="auto"/>
                      <w:sz w:val="21"/>
                      <w:szCs w:val="21"/>
                      <w:highlight w:val="none"/>
                      <w:vertAlign w:val="baseline"/>
                      <w:lang w:val="en-US" w:eastAsia="zh-CN"/>
                    </w:rPr>
                    <w:t>西</w:t>
                  </w:r>
                  <w:r>
                    <w:rPr>
                      <w:rFonts w:hint="eastAsia" w:ascii="Times New Roman" w:hAnsi="Times New Roman" w:eastAsia="宋体" w:cs="Times New Roman"/>
                      <w:color w:val="auto"/>
                      <w:sz w:val="21"/>
                      <w:szCs w:val="21"/>
                      <w:highlight w:val="none"/>
                      <w:vertAlign w:val="baseline"/>
                      <w:lang w:val="en-US" w:eastAsia="zh-CN"/>
                    </w:rPr>
                    <w:t>边界</w:t>
                  </w:r>
                </w:p>
              </w:tc>
              <w:tc>
                <w:tcPr>
                  <w:tcW w:w="1230" w:type="dxa"/>
                  <w:tcBorders>
                    <w:tl2br w:val="nil"/>
                    <w:tr2bl w:val="nil"/>
                  </w:tcBorders>
                  <w:shd w:val="clear" w:color="auto" w:fill="FFFFFF"/>
                  <w:vAlign w:val="center"/>
                </w:tcPr>
                <w:p w14:paraId="03FDDF93">
                  <w:pPr>
                    <w:numPr>
                      <w:ilvl w:val="0"/>
                      <w:numId w:val="0"/>
                    </w:numPr>
                    <w:adjustRightInd w:val="0"/>
                    <w:snapToGrid w:val="0"/>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昼间</w:t>
                  </w:r>
                </w:p>
              </w:tc>
              <w:tc>
                <w:tcPr>
                  <w:tcW w:w="1596" w:type="dxa"/>
                  <w:tcBorders>
                    <w:tl2br w:val="nil"/>
                    <w:tr2bl w:val="nil"/>
                  </w:tcBorders>
                  <w:shd w:val="clear" w:color="auto" w:fill="FFFFFF"/>
                  <w:vAlign w:val="center"/>
                </w:tcPr>
                <w:p w14:paraId="72A2CAE8">
                  <w:pPr>
                    <w:numPr>
                      <w:ilvl w:val="0"/>
                      <w:numId w:val="0"/>
                    </w:numPr>
                    <w:adjustRightInd w:val="0"/>
                    <w:snapToGrid w:val="0"/>
                    <w:spacing w:line="240" w:lineRule="auto"/>
                    <w:jc w:val="center"/>
                    <w:rPr>
                      <w:rFonts w:hint="default"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43.7</w:t>
                  </w:r>
                </w:p>
              </w:tc>
              <w:tc>
                <w:tcPr>
                  <w:tcW w:w="1743" w:type="dxa"/>
                  <w:tcBorders>
                    <w:tl2br w:val="nil"/>
                    <w:tr2bl w:val="nil"/>
                  </w:tcBorders>
                  <w:shd w:val="clear" w:color="auto" w:fill="FFFFFF"/>
                  <w:vAlign w:val="center"/>
                </w:tcPr>
                <w:p w14:paraId="55D640EF">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55</w:t>
                  </w:r>
                </w:p>
              </w:tc>
              <w:tc>
                <w:tcPr>
                  <w:tcW w:w="1417" w:type="dxa"/>
                  <w:tcBorders>
                    <w:tl2br w:val="nil"/>
                    <w:tr2bl w:val="nil"/>
                  </w:tcBorders>
                  <w:shd w:val="clear" w:color="auto" w:fill="FFFFFF"/>
                  <w:vAlign w:val="center"/>
                </w:tcPr>
                <w:p w14:paraId="372D8E77">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达标</w:t>
                  </w:r>
                </w:p>
              </w:tc>
            </w:tr>
            <w:tr w14:paraId="7086329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12" w:hRule="exact"/>
                <w:jc w:val="center"/>
              </w:trPr>
              <w:tc>
                <w:tcPr>
                  <w:tcW w:w="1431" w:type="dxa"/>
                  <w:tcBorders>
                    <w:tl2br w:val="nil"/>
                    <w:tr2bl w:val="nil"/>
                  </w:tcBorders>
                  <w:shd w:val="clear" w:color="auto" w:fill="FFFFFF"/>
                  <w:vAlign w:val="center"/>
                </w:tcPr>
                <w:p w14:paraId="5B1CDB99">
                  <w:pPr>
                    <w:numPr>
                      <w:ilvl w:val="0"/>
                      <w:numId w:val="0"/>
                    </w:numPr>
                    <w:adjustRightInd w:val="0"/>
                    <w:snapToGrid w:val="0"/>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项目</w:t>
                  </w:r>
                  <w:r>
                    <w:rPr>
                      <w:rFonts w:hint="eastAsia" w:cs="Times New Roman"/>
                      <w:color w:val="auto"/>
                      <w:sz w:val="21"/>
                      <w:szCs w:val="21"/>
                      <w:highlight w:val="none"/>
                      <w:vertAlign w:val="baseline"/>
                      <w:lang w:val="en-US" w:eastAsia="zh-CN"/>
                    </w:rPr>
                    <w:t>南</w:t>
                  </w:r>
                  <w:r>
                    <w:rPr>
                      <w:rFonts w:hint="eastAsia" w:ascii="Times New Roman" w:hAnsi="Times New Roman" w:eastAsia="宋体" w:cs="Times New Roman"/>
                      <w:color w:val="auto"/>
                      <w:sz w:val="21"/>
                      <w:szCs w:val="21"/>
                      <w:highlight w:val="none"/>
                      <w:vertAlign w:val="baseline"/>
                      <w:lang w:val="en-US" w:eastAsia="zh-CN"/>
                    </w:rPr>
                    <w:t>边界</w:t>
                  </w:r>
                </w:p>
              </w:tc>
              <w:tc>
                <w:tcPr>
                  <w:tcW w:w="1230" w:type="dxa"/>
                  <w:tcBorders>
                    <w:tl2br w:val="nil"/>
                    <w:tr2bl w:val="nil"/>
                  </w:tcBorders>
                  <w:shd w:val="clear" w:color="auto" w:fill="FFFFFF"/>
                  <w:vAlign w:val="center"/>
                </w:tcPr>
                <w:p w14:paraId="0BDF2EC4">
                  <w:pPr>
                    <w:numPr>
                      <w:ilvl w:val="0"/>
                      <w:numId w:val="0"/>
                    </w:numPr>
                    <w:adjustRightInd w:val="0"/>
                    <w:snapToGrid w:val="0"/>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昼间</w:t>
                  </w:r>
                </w:p>
              </w:tc>
              <w:tc>
                <w:tcPr>
                  <w:tcW w:w="1596" w:type="dxa"/>
                  <w:tcBorders>
                    <w:tl2br w:val="nil"/>
                    <w:tr2bl w:val="nil"/>
                  </w:tcBorders>
                  <w:shd w:val="clear" w:color="auto" w:fill="FFFFFF"/>
                  <w:vAlign w:val="center"/>
                </w:tcPr>
                <w:p w14:paraId="7B13FB02">
                  <w:pPr>
                    <w:numPr>
                      <w:ilvl w:val="0"/>
                      <w:numId w:val="0"/>
                    </w:numPr>
                    <w:adjustRightInd w:val="0"/>
                    <w:snapToGrid w:val="0"/>
                    <w:spacing w:line="240" w:lineRule="auto"/>
                    <w:jc w:val="center"/>
                    <w:rPr>
                      <w:rFonts w:hint="default"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36</w:t>
                  </w:r>
                </w:p>
              </w:tc>
              <w:tc>
                <w:tcPr>
                  <w:tcW w:w="1743" w:type="dxa"/>
                  <w:tcBorders>
                    <w:tl2br w:val="nil"/>
                    <w:tr2bl w:val="nil"/>
                  </w:tcBorders>
                  <w:shd w:val="clear" w:color="auto" w:fill="FFFFFF"/>
                  <w:vAlign w:val="center"/>
                </w:tcPr>
                <w:p w14:paraId="22BB4D37">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55</w:t>
                  </w:r>
                </w:p>
              </w:tc>
              <w:tc>
                <w:tcPr>
                  <w:tcW w:w="1417" w:type="dxa"/>
                  <w:tcBorders>
                    <w:tl2br w:val="nil"/>
                    <w:tr2bl w:val="nil"/>
                  </w:tcBorders>
                  <w:shd w:val="clear" w:color="auto" w:fill="FFFFFF"/>
                  <w:vAlign w:val="center"/>
                </w:tcPr>
                <w:p w14:paraId="30F294BC">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达标</w:t>
                  </w:r>
                </w:p>
              </w:tc>
            </w:tr>
            <w:tr w14:paraId="5B058A6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12" w:hRule="exact"/>
                <w:jc w:val="center"/>
              </w:trPr>
              <w:tc>
                <w:tcPr>
                  <w:tcW w:w="1431" w:type="dxa"/>
                  <w:tcBorders>
                    <w:tl2br w:val="nil"/>
                    <w:tr2bl w:val="nil"/>
                  </w:tcBorders>
                  <w:shd w:val="clear" w:color="auto" w:fill="FFFFFF"/>
                  <w:vAlign w:val="center"/>
                </w:tcPr>
                <w:p w14:paraId="0D4B4BC2">
                  <w:pPr>
                    <w:numPr>
                      <w:ilvl w:val="0"/>
                      <w:numId w:val="0"/>
                    </w:numPr>
                    <w:adjustRightInd w:val="0"/>
                    <w:snapToGrid w:val="0"/>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项目</w:t>
                  </w:r>
                  <w:r>
                    <w:rPr>
                      <w:rFonts w:hint="eastAsia" w:cs="Times New Roman"/>
                      <w:color w:val="auto"/>
                      <w:sz w:val="21"/>
                      <w:szCs w:val="21"/>
                      <w:highlight w:val="none"/>
                      <w:vertAlign w:val="baseline"/>
                      <w:lang w:val="en-US" w:eastAsia="zh-CN"/>
                    </w:rPr>
                    <w:t>北</w:t>
                  </w:r>
                  <w:r>
                    <w:rPr>
                      <w:rFonts w:hint="eastAsia" w:ascii="Times New Roman" w:hAnsi="Times New Roman" w:eastAsia="宋体" w:cs="Times New Roman"/>
                      <w:color w:val="auto"/>
                      <w:sz w:val="21"/>
                      <w:szCs w:val="21"/>
                      <w:highlight w:val="none"/>
                      <w:vertAlign w:val="baseline"/>
                      <w:lang w:val="en-US" w:eastAsia="zh-CN"/>
                    </w:rPr>
                    <w:t>边界</w:t>
                  </w:r>
                </w:p>
              </w:tc>
              <w:tc>
                <w:tcPr>
                  <w:tcW w:w="1230" w:type="dxa"/>
                  <w:tcBorders>
                    <w:tl2br w:val="nil"/>
                    <w:tr2bl w:val="nil"/>
                  </w:tcBorders>
                  <w:shd w:val="clear" w:color="auto" w:fill="FFFFFF"/>
                  <w:vAlign w:val="center"/>
                </w:tcPr>
                <w:p w14:paraId="7EBADB60">
                  <w:pPr>
                    <w:numPr>
                      <w:ilvl w:val="0"/>
                      <w:numId w:val="0"/>
                    </w:numPr>
                    <w:adjustRightInd w:val="0"/>
                    <w:snapToGrid w:val="0"/>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昼间</w:t>
                  </w:r>
                </w:p>
              </w:tc>
              <w:tc>
                <w:tcPr>
                  <w:tcW w:w="1596" w:type="dxa"/>
                  <w:tcBorders>
                    <w:tl2br w:val="nil"/>
                    <w:tr2bl w:val="nil"/>
                  </w:tcBorders>
                  <w:shd w:val="clear" w:color="auto" w:fill="FFFFFF"/>
                  <w:vAlign w:val="center"/>
                </w:tcPr>
                <w:p w14:paraId="32746E6A">
                  <w:pPr>
                    <w:numPr>
                      <w:ilvl w:val="0"/>
                      <w:numId w:val="0"/>
                    </w:numPr>
                    <w:adjustRightInd w:val="0"/>
                    <w:snapToGrid w:val="0"/>
                    <w:spacing w:line="240" w:lineRule="auto"/>
                    <w:jc w:val="center"/>
                    <w:rPr>
                      <w:rFonts w:hint="default"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42.3</w:t>
                  </w:r>
                </w:p>
              </w:tc>
              <w:tc>
                <w:tcPr>
                  <w:tcW w:w="1743" w:type="dxa"/>
                  <w:tcBorders>
                    <w:tl2br w:val="nil"/>
                    <w:tr2bl w:val="nil"/>
                  </w:tcBorders>
                  <w:shd w:val="clear" w:color="auto" w:fill="FFFFFF"/>
                  <w:vAlign w:val="center"/>
                </w:tcPr>
                <w:p w14:paraId="3E2DD06B">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55</w:t>
                  </w:r>
                </w:p>
              </w:tc>
              <w:tc>
                <w:tcPr>
                  <w:tcW w:w="1417" w:type="dxa"/>
                  <w:tcBorders>
                    <w:tl2br w:val="nil"/>
                    <w:tr2bl w:val="nil"/>
                  </w:tcBorders>
                  <w:shd w:val="clear" w:color="auto" w:fill="FFFFFF"/>
                  <w:vAlign w:val="center"/>
                </w:tcPr>
                <w:p w14:paraId="2E3B2A53">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达标</w:t>
                  </w:r>
                </w:p>
              </w:tc>
            </w:tr>
          </w:tbl>
          <w:p w14:paraId="501C7F6C">
            <w:pPr>
              <w:adjustRightInd w:val="0"/>
              <w:spacing w:line="360" w:lineRule="auto"/>
              <w:ind w:firstLine="480" w:firstLineChars="200"/>
              <w:rPr>
                <w:rFonts w:hint="default" w:ascii="Times New Roman" w:hAnsi="Times New Roman" w:eastAsia="宋体" w:cs="Times New Roman"/>
                <w:bCs/>
                <w:snapToGrid w:val="0"/>
                <w:color w:val="auto"/>
                <w:kern w:val="0"/>
                <w:sz w:val="24"/>
                <w:highlight w:val="none"/>
              </w:rPr>
            </w:pPr>
            <w:r>
              <w:rPr>
                <w:rFonts w:hint="eastAsia" w:ascii="Times New Roman" w:hAnsi="Times New Roman" w:eastAsia="宋体" w:cs="Times New Roman"/>
                <w:bCs/>
                <w:snapToGrid w:val="0"/>
                <w:color w:val="auto"/>
                <w:kern w:val="0"/>
                <w:sz w:val="24"/>
                <w:highlight w:val="none"/>
                <w:lang w:val="en-US" w:eastAsia="zh-CN"/>
              </w:rPr>
              <w:t>本项目边界</w:t>
            </w:r>
            <w:r>
              <w:rPr>
                <w:rFonts w:hint="default" w:ascii="Times New Roman" w:hAnsi="Times New Roman" w:eastAsia="宋体" w:cs="Times New Roman"/>
                <w:bCs/>
                <w:snapToGrid w:val="0"/>
                <w:color w:val="auto"/>
                <w:kern w:val="0"/>
                <w:sz w:val="24"/>
                <w:highlight w:val="none"/>
                <w:lang w:val="en-US" w:eastAsia="zh-CN"/>
              </w:rPr>
              <w:t>50m</w:t>
            </w:r>
            <w:r>
              <w:rPr>
                <w:rFonts w:hint="eastAsia" w:ascii="Times New Roman" w:hAnsi="Times New Roman" w:eastAsia="宋体" w:cs="Times New Roman"/>
                <w:bCs/>
                <w:snapToGrid w:val="0"/>
                <w:color w:val="auto"/>
                <w:kern w:val="0"/>
                <w:sz w:val="24"/>
                <w:highlight w:val="none"/>
                <w:lang w:val="en-US" w:eastAsia="zh-CN"/>
              </w:rPr>
              <w:t>范围内声环境保护目标有</w:t>
            </w:r>
            <w:r>
              <w:rPr>
                <w:rFonts w:hint="eastAsia" w:cs="Times New Roman"/>
                <w:bCs/>
                <w:snapToGrid w:val="0"/>
                <w:color w:val="auto"/>
                <w:kern w:val="0"/>
                <w:sz w:val="24"/>
                <w:highlight w:val="none"/>
                <w:lang w:val="en-US" w:eastAsia="zh-CN"/>
              </w:rPr>
              <w:t>3</w:t>
            </w:r>
            <w:r>
              <w:rPr>
                <w:rFonts w:hint="eastAsia" w:ascii="Times New Roman" w:hAnsi="Times New Roman" w:eastAsia="宋体" w:cs="Times New Roman"/>
                <w:bCs/>
                <w:snapToGrid w:val="0"/>
                <w:color w:val="auto"/>
                <w:kern w:val="0"/>
                <w:sz w:val="24"/>
                <w:highlight w:val="none"/>
                <w:lang w:val="en-US" w:eastAsia="zh-CN"/>
              </w:rPr>
              <w:t>处，因本项目夜间不运行，因此，本次评价仅对保护目标处昼间噪声进行预测，预测结果见</w:t>
            </w:r>
            <w:r>
              <w:rPr>
                <w:rFonts w:hint="eastAsia" w:cs="Times New Roman"/>
                <w:bCs/>
                <w:snapToGrid w:val="0"/>
                <w:color w:val="auto"/>
                <w:kern w:val="0"/>
                <w:sz w:val="24"/>
                <w:highlight w:val="none"/>
                <w:lang w:val="en-US" w:eastAsia="zh-CN"/>
              </w:rPr>
              <w:t>下</w:t>
            </w:r>
            <w:r>
              <w:rPr>
                <w:rFonts w:hint="eastAsia" w:ascii="Times New Roman" w:hAnsi="Times New Roman" w:eastAsia="宋体" w:cs="Times New Roman"/>
                <w:bCs/>
                <w:snapToGrid w:val="0"/>
                <w:color w:val="auto"/>
                <w:kern w:val="0"/>
                <w:sz w:val="24"/>
                <w:highlight w:val="none"/>
                <w:lang w:val="en-US" w:eastAsia="zh-CN"/>
              </w:rPr>
              <w:t>表。</w:t>
            </w:r>
          </w:p>
          <w:p w14:paraId="7A9CCD6D">
            <w:pPr>
              <w:numPr>
                <w:ilvl w:val="0"/>
                <w:numId w:val="21"/>
              </w:numPr>
              <w:adjustRightInd w:val="0"/>
              <w:spacing w:line="360" w:lineRule="auto"/>
              <w:ind w:left="425" w:leftChars="0" w:hanging="425" w:firstLineChars="0"/>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 xml:space="preserve"> </w:t>
            </w:r>
            <w:r>
              <w:rPr>
                <w:rFonts w:hint="eastAsia" w:cs="Times New Roman"/>
                <w:b/>
                <w:color w:val="auto"/>
                <w:sz w:val="24"/>
                <w:highlight w:val="none"/>
                <w:lang w:val="en-US" w:eastAsia="zh-CN"/>
              </w:rPr>
              <w:t>声环境保护目标</w:t>
            </w:r>
            <w:r>
              <w:rPr>
                <w:rFonts w:hint="default" w:ascii="Times New Roman" w:hAnsi="Times New Roman" w:eastAsia="宋体" w:cs="Times New Roman"/>
                <w:b/>
                <w:color w:val="auto"/>
                <w:sz w:val="24"/>
                <w:highlight w:val="none"/>
              </w:rPr>
              <w:t>噪声预测结果一览表</w:t>
            </w:r>
            <w:r>
              <w:rPr>
                <w:rFonts w:hint="eastAsia" w:cs="Times New Roman"/>
                <w:b/>
                <w:color w:val="auto"/>
                <w:sz w:val="24"/>
                <w:highlight w:val="none"/>
                <w:lang w:eastAsia="zh-CN"/>
              </w:rPr>
              <w:t>，</w:t>
            </w:r>
            <w:r>
              <w:rPr>
                <w:rFonts w:hint="default" w:ascii="Times New Roman" w:hAnsi="Times New Roman" w:eastAsia="宋体" w:cs="Times New Roman"/>
                <w:b/>
                <w:color w:val="auto"/>
                <w:sz w:val="24"/>
                <w:highlight w:val="none"/>
              </w:rPr>
              <w:t>单位：dB(A)</w:t>
            </w:r>
          </w:p>
          <w:tbl>
            <w:tblPr>
              <w:tblStyle w:val="23"/>
              <w:tblW w:w="49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858"/>
              <w:gridCol w:w="911"/>
              <w:gridCol w:w="911"/>
              <w:gridCol w:w="911"/>
              <w:gridCol w:w="911"/>
              <w:gridCol w:w="915"/>
            </w:tblGrid>
            <w:tr w14:paraId="3554BE9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8" w:hRule="exact"/>
                <w:jc w:val="center"/>
              </w:trPr>
              <w:tc>
                <w:tcPr>
                  <w:tcW w:w="2858" w:type="dxa"/>
                  <w:tcBorders>
                    <w:tl2br w:val="nil"/>
                    <w:tr2bl w:val="nil"/>
                  </w:tcBorders>
                  <w:vAlign w:val="center"/>
                </w:tcPr>
                <w:p w14:paraId="260AA46E">
                  <w:pPr>
                    <w:numPr>
                      <w:ilvl w:val="0"/>
                      <w:numId w:val="0"/>
                    </w:numPr>
                    <w:adjustRightInd w:val="0"/>
                    <w:snapToGrid w:val="0"/>
                    <w:spacing w:line="240" w:lineRule="auto"/>
                    <w:jc w:val="center"/>
                    <w:rPr>
                      <w:rFonts w:hint="eastAsia" w:ascii="Times New Roman" w:hAnsi="Times New Roman" w:eastAsia="宋体" w:cs="Times New Roman"/>
                      <w:b/>
                      <w:bCs/>
                      <w:color w:val="auto"/>
                      <w:sz w:val="21"/>
                      <w:szCs w:val="21"/>
                      <w:highlight w:val="none"/>
                      <w:vertAlign w:val="baseline"/>
                      <w:lang w:val="zh-CN" w:eastAsia="zh-CN"/>
                    </w:rPr>
                  </w:pPr>
                  <w:r>
                    <w:rPr>
                      <w:rFonts w:hint="default" w:ascii="Times New Roman" w:hAnsi="Times New Roman" w:eastAsia="宋体" w:cs="Times New Roman"/>
                      <w:b/>
                      <w:bCs/>
                      <w:color w:val="auto"/>
                      <w:sz w:val="21"/>
                      <w:szCs w:val="21"/>
                      <w:highlight w:val="none"/>
                      <w:vertAlign w:val="baseline"/>
                      <w:lang w:val="zh-CN"/>
                    </w:rPr>
                    <w:t>预测</w:t>
                  </w:r>
                  <w:r>
                    <w:rPr>
                      <w:rFonts w:hint="eastAsia" w:cs="Times New Roman"/>
                      <w:b/>
                      <w:bCs/>
                      <w:color w:val="auto"/>
                      <w:sz w:val="21"/>
                      <w:szCs w:val="21"/>
                      <w:highlight w:val="none"/>
                      <w:vertAlign w:val="baseline"/>
                      <w:lang w:val="en-US" w:eastAsia="zh-CN"/>
                    </w:rPr>
                    <w:t>点位</w:t>
                  </w:r>
                </w:p>
              </w:tc>
              <w:tc>
                <w:tcPr>
                  <w:tcW w:w="911" w:type="dxa"/>
                  <w:tcBorders>
                    <w:tl2br w:val="nil"/>
                    <w:tr2bl w:val="nil"/>
                  </w:tcBorders>
                  <w:vAlign w:val="center"/>
                </w:tcPr>
                <w:p w14:paraId="6AC3DB8B">
                  <w:pPr>
                    <w:numPr>
                      <w:ilvl w:val="0"/>
                      <w:numId w:val="0"/>
                    </w:numPr>
                    <w:adjustRightInd w:val="0"/>
                    <w:snapToGrid w:val="0"/>
                    <w:spacing w:line="240" w:lineRule="auto"/>
                    <w:jc w:val="center"/>
                    <w:rPr>
                      <w:rFonts w:hint="default" w:ascii="Times New Roman" w:hAnsi="Times New Roman" w:eastAsia="宋体" w:cs="Times New Roman"/>
                      <w:b/>
                      <w:bCs/>
                      <w:color w:val="auto"/>
                      <w:sz w:val="21"/>
                      <w:szCs w:val="21"/>
                      <w:highlight w:val="none"/>
                      <w:vertAlign w:val="baseline"/>
                      <w:lang w:val="zh-CN"/>
                    </w:rPr>
                  </w:pPr>
                  <w:r>
                    <w:rPr>
                      <w:rFonts w:hint="default" w:ascii="Times New Roman" w:hAnsi="Times New Roman" w:eastAsia="宋体" w:cs="Times New Roman"/>
                      <w:b/>
                      <w:bCs/>
                      <w:color w:val="auto"/>
                      <w:sz w:val="21"/>
                      <w:szCs w:val="21"/>
                      <w:highlight w:val="none"/>
                      <w:vertAlign w:val="baseline"/>
                      <w:lang w:val="zh-CN"/>
                    </w:rPr>
                    <w:t>贡献值</w:t>
                  </w:r>
                </w:p>
              </w:tc>
              <w:tc>
                <w:tcPr>
                  <w:tcW w:w="911" w:type="dxa"/>
                  <w:tcBorders>
                    <w:tl2br w:val="nil"/>
                    <w:tr2bl w:val="nil"/>
                  </w:tcBorders>
                  <w:vAlign w:val="center"/>
                </w:tcPr>
                <w:p w14:paraId="304150CD">
                  <w:pPr>
                    <w:numPr>
                      <w:ilvl w:val="0"/>
                      <w:numId w:val="0"/>
                    </w:numPr>
                    <w:adjustRightInd w:val="0"/>
                    <w:snapToGrid w:val="0"/>
                    <w:spacing w:line="240" w:lineRule="auto"/>
                    <w:jc w:val="center"/>
                    <w:rPr>
                      <w:rFonts w:hint="eastAsia" w:ascii="Times New Roman" w:hAnsi="Times New Roman" w:eastAsia="宋体" w:cs="Times New Roman"/>
                      <w:b/>
                      <w:bCs/>
                      <w:color w:val="auto"/>
                      <w:sz w:val="21"/>
                      <w:szCs w:val="21"/>
                      <w:highlight w:val="none"/>
                      <w:vertAlign w:val="baseline"/>
                      <w:lang w:val="en-US" w:eastAsia="zh-CN"/>
                    </w:rPr>
                  </w:pPr>
                  <w:r>
                    <w:rPr>
                      <w:rFonts w:hint="eastAsia" w:cs="Times New Roman"/>
                      <w:b/>
                      <w:bCs/>
                      <w:color w:val="auto"/>
                      <w:sz w:val="21"/>
                      <w:szCs w:val="21"/>
                      <w:highlight w:val="none"/>
                      <w:vertAlign w:val="baseline"/>
                      <w:lang w:val="en-US" w:eastAsia="zh-CN"/>
                    </w:rPr>
                    <w:t>背景值</w:t>
                  </w:r>
                </w:p>
              </w:tc>
              <w:tc>
                <w:tcPr>
                  <w:tcW w:w="911" w:type="dxa"/>
                  <w:tcBorders>
                    <w:tl2br w:val="nil"/>
                    <w:tr2bl w:val="nil"/>
                  </w:tcBorders>
                  <w:vAlign w:val="center"/>
                </w:tcPr>
                <w:p w14:paraId="2FB338E8">
                  <w:pPr>
                    <w:numPr>
                      <w:ilvl w:val="0"/>
                      <w:numId w:val="0"/>
                    </w:numPr>
                    <w:adjustRightInd w:val="0"/>
                    <w:snapToGrid w:val="0"/>
                    <w:spacing w:line="240" w:lineRule="auto"/>
                    <w:jc w:val="center"/>
                    <w:rPr>
                      <w:rFonts w:hint="eastAsia" w:ascii="Times New Roman" w:hAnsi="Times New Roman" w:eastAsia="宋体" w:cs="Times New Roman"/>
                      <w:b/>
                      <w:bCs/>
                      <w:color w:val="auto"/>
                      <w:sz w:val="21"/>
                      <w:szCs w:val="21"/>
                      <w:highlight w:val="none"/>
                      <w:vertAlign w:val="baseline"/>
                      <w:lang w:val="en-US" w:eastAsia="zh-CN"/>
                    </w:rPr>
                  </w:pPr>
                  <w:r>
                    <w:rPr>
                      <w:rFonts w:hint="eastAsia" w:cs="Times New Roman"/>
                      <w:b/>
                      <w:bCs/>
                      <w:color w:val="auto"/>
                      <w:sz w:val="21"/>
                      <w:szCs w:val="21"/>
                      <w:highlight w:val="none"/>
                      <w:vertAlign w:val="baseline"/>
                      <w:lang w:val="en-US" w:eastAsia="zh-CN"/>
                    </w:rPr>
                    <w:t>预测值</w:t>
                  </w:r>
                </w:p>
              </w:tc>
              <w:tc>
                <w:tcPr>
                  <w:tcW w:w="911" w:type="dxa"/>
                  <w:tcBorders>
                    <w:tl2br w:val="nil"/>
                    <w:tr2bl w:val="nil"/>
                  </w:tcBorders>
                  <w:vAlign w:val="center"/>
                </w:tcPr>
                <w:p w14:paraId="74CC07C7">
                  <w:pPr>
                    <w:numPr>
                      <w:ilvl w:val="0"/>
                      <w:numId w:val="0"/>
                    </w:numPr>
                    <w:adjustRightInd w:val="0"/>
                    <w:snapToGrid w:val="0"/>
                    <w:spacing w:line="240" w:lineRule="auto"/>
                    <w:jc w:val="center"/>
                    <w:rPr>
                      <w:rFonts w:hint="default" w:ascii="Times New Roman" w:hAnsi="Times New Roman" w:eastAsia="宋体" w:cs="Times New Roman"/>
                      <w:b/>
                      <w:bCs/>
                      <w:color w:val="auto"/>
                      <w:sz w:val="21"/>
                      <w:szCs w:val="21"/>
                      <w:highlight w:val="none"/>
                      <w:vertAlign w:val="baseline"/>
                      <w:lang w:val="zh-CN"/>
                    </w:rPr>
                  </w:pPr>
                  <w:r>
                    <w:rPr>
                      <w:rFonts w:hint="default" w:ascii="Times New Roman" w:hAnsi="Times New Roman" w:eastAsia="宋体" w:cs="Times New Roman"/>
                      <w:b/>
                      <w:bCs/>
                      <w:color w:val="auto"/>
                      <w:sz w:val="21"/>
                      <w:szCs w:val="21"/>
                      <w:highlight w:val="none"/>
                      <w:vertAlign w:val="baseline"/>
                      <w:lang w:val="zh-CN"/>
                    </w:rPr>
                    <w:t>标准限值</w:t>
                  </w:r>
                </w:p>
              </w:tc>
              <w:tc>
                <w:tcPr>
                  <w:tcW w:w="915" w:type="dxa"/>
                  <w:tcBorders>
                    <w:tl2br w:val="nil"/>
                    <w:tr2bl w:val="nil"/>
                  </w:tcBorders>
                  <w:vAlign w:val="center"/>
                </w:tcPr>
                <w:p w14:paraId="79FE020E">
                  <w:pPr>
                    <w:numPr>
                      <w:ilvl w:val="0"/>
                      <w:numId w:val="0"/>
                    </w:numPr>
                    <w:adjustRightInd w:val="0"/>
                    <w:snapToGrid w:val="0"/>
                    <w:spacing w:line="240" w:lineRule="auto"/>
                    <w:jc w:val="center"/>
                    <w:rPr>
                      <w:rFonts w:hint="default" w:ascii="Times New Roman" w:hAnsi="Times New Roman" w:eastAsia="宋体" w:cs="Times New Roman"/>
                      <w:b/>
                      <w:bCs/>
                      <w:color w:val="auto"/>
                      <w:sz w:val="21"/>
                      <w:szCs w:val="21"/>
                      <w:highlight w:val="none"/>
                      <w:vertAlign w:val="baseline"/>
                      <w:lang w:val="zh-CN"/>
                    </w:rPr>
                  </w:pPr>
                  <w:r>
                    <w:rPr>
                      <w:rFonts w:hint="default" w:ascii="Times New Roman" w:hAnsi="Times New Roman" w:eastAsia="宋体" w:cs="Times New Roman"/>
                      <w:b/>
                      <w:bCs/>
                      <w:color w:val="auto"/>
                      <w:sz w:val="21"/>
                      <w:szCs w:val="21"/>
                      <w:highlight w:val="none"/>
                      <w:vertAlign w:val="baseline"/>
                      <w:lang w:val="zh-CN"/>
                    </w:rPr>
                    <w:t>达标情况</w:t>
                  </w:r>
                </w:p>
              </w:tc>
            </w:tr>
            <w:tr w14:paraId="50AB5C1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12" w:hRule="exact"/>
                <w:jc w:val="center"/>
              </w:trPr>
              <w:tc>
                <w:tcPr>
                  <w:tcW w:w="2858" w:type="dxa"/>
                  <w:tcBorders>
                    <w:tl2br w:val="nil"/>
                    <w:tr2bl w:val="nil"/>
                  </w:tcBorders>
                  <w:shd w:val="clear" w:color="auto" w:fill="FFFFFF"/>
                  <w:vAlign w:val="center"/>
                </w:tcPr>
                <w:p w14:paraId="3239F2A6">
                  <w:pPr>
                    <w:numPr>
                      <w:ilvl w:val="0"/>
                      <w:numId w:val="0"/>
                    </w:numPr>
                    <w:adjustRightInd w:val="0"/>
                    <w:snapToGrid w:val="0"/>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煤炭科学研究总院家属楼东南侧1m</w:t>
                  </w:r>
                </w:p>
              </w:tc>
              <w:tc>
                <w:tcPr>
                  <w:tcW w:w="911" w:type="dxa"/>
                  <w:tcBorders>
                    <w:tl2br w:val="nil"/>
                    <w:tr2bl w:val="nil"/>
                  </w:tcBorders>
                  <w:shd w:val="clear" w:color="auto" w:fill="FFFFFF"/>
                  <w:vAlign w:val="center"/>
                </w:tcPr>
                <w:p w14:paraId="4B46BD34">
                  <w:pPr>
                    <w:numPr>
                      <w:ilvl w:val="0"/>
                      <w:numId w:val="0"/>
                    </w:numPr>
                    <w:adjustRightInd w:val="0"/>
                    <w:snapToGrid w:val="0"/>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34.4</w:t>
                  </w:r>
                </w:p>
              </w:tc>
              <w:tc>
                <w:tcPr>
                  <w:tcW w:w="911" w:type="dxa"/>
                  <w:tcBorders>
                    <w:tl2br w:val="nil"/>
                    <w:tr2bl w:val="nil"/>
                  </w:tcBorders>
                  <w:shd w:val="clear" w:color="auto" w:fill="FFFFFF"/>
                  <w:vAlign w:val="center"/>
                </w:tcPr>
                <w:p w14:paraId="1F624DDF">
                  <w:pPr>
                    <w:numPr>
                      <w:ilvl w:val="0"/>
                      <w:numId w:val="0"/>
                    </w:numPr>
                    <w:adjustRightInd w:val="0"/>
                    <w:snapToGrid w:val="0"/>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41.3</w:t>
                  </w:r>
                </w:p>
              </w:tc>
              <w:tc>
                <w:tcPr>
                  <w:tcW w:w="911" w:type="dxa"/>
                  <w:tcBorders>
                    <w:tl2br w:val="nil"/>
                    <w:tr2bl w:val="nil"/>
                  </w:tcBorders>
                  <w:shd w:val="clear" w:color="auto" w:fill="FFFFFF"/>
                  <w:vAlign w:val="center"/>
                </w:tcPr>
                <w:p w14:paraId="615EBD4E">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55</w:t>
                  </w:r>
                </w:p>
              </w:tc>
              <w:tc>
                <w:tcPr>
                  <w:tcW w:w="911" w:type="dxa"/>
                  <w:tcBorders>
                    <w:tl2br w:val="nil"/>
                    <w:tr2bl w:val="nil"/>
                  </w:tcBorders>
                  <w:shd w:val="clear" w:color="auto" w:fill="FFFFFF"/>
                  <w:vAlign w:val="center"/>
                </w:tcPr>
                <w:p w14:paraId="5F4BD7CA">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55</w:t>
                  </w:r>
                </w:p>
              </w:tc>
              <w:tc>
                <w:tcPr>
                  <w:tcW w:w="915" w:type="dxa"/>
                  <w:tcBorders>
                    <w:tl2br w:val="nil"/>
                    <w:tr2bl w:val="nil"/>
                  </w:tcBorders>
                  <w:shd w:val="clear" w:color="auto" w:fill="FFFFFF"/>
                  <w:vAlign w:val="center"/>
                </w:tcPr>
                <w:p w14:paraId="1BB6E0CA">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达标</w:t>
                  </w:r>
                </w:p>
              </w:tc>
            </w:tr>
            <w:tr w14:paraId="3283586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565" w:hRule="exact"/>
                <w:jc w:val="center"/>
              </w:trPr>
              <w:tc>
                <w:tcPr>
                  <w:tcW w:w="2858" w:type="dxa"/>
                  <w:tcBorders>
                    <w:tl2br w:val="nil"/>
                    <w:tr2bl w:val="nil"/>
                  </w:tcBorders>
                  <w:shd w:val="clear" w:color="auto" w:fill="FFFFFF"/>
                  <w:vAlign w:val="center"/>
                </w:tcPr>
                <w:p w14:paraId="1D845D31">
                  <w:pPr>
                    <w:numPr>
                      <w:ilvl w:val="0"/>
                      <w:numId w:val="0"/>
                    </w:numPr>
                    <w:adjustRightInd w:val="0"/>
                    <w:snapToGrid w:val="0"/>
                    <w:spacing w:line="240" w:lineRule="auto"/>
                    <w:jc w:val="center"/>
                    <w:rPr>
                      <w:rFonts w:hint="default"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煤炭科学研究总院宾馆北侧1m</w:t>
                  </w:r>
                </w:p>
              </w:tc>
              <w:tc>
                <w:tcPr>
                  <w:tcW w:w="911" w:type="dxa"/>
                  <w:tcBorders>
                    <w:tl2br w:val="nil"/>
                    <w:tr2bl w:val="nil"/>
                  </w:tcBorders>
                  <w:shd w:val="clear" w:color="auto" w:fill="FFFFFF"/>
                  <w:vAlign w:val="center"/>
                </w:tcPr>
                <w:p w14:paraId="4C6473F4">
                  <w:pPr>
                    <w:numPr>
                      <w:ilvl w:val="0"/>
                      <w:numId w:val="0"/>
                    </w:numPr>
                    <w:adjustRightInd w:val="0"/>
                    <w:snapToGrid w:val="0"/>
                    <w:spacing w:line="240" w:lineRule="auto"/>
                    <w:jc w:val="center"/>
                    <w:rPr>
                      <w:rFonts w:hint="default"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37.0</w:t>
                  </w:r>
                </w:p>
              </w:tc>
              <w:tc>
                <w:tcPr>
                  <w:tcW w:w="911" w:type="dxa"/>
                  <w:tcBorders>
                    <w:tl2br w:val="nil"/>
                    <w:tr2bl w:val="nil"/>
                  </w:tcBorders>
                  <w:shd w:val="clear" w:color="auto" w:fill="FFFFFF"/>
                  <w:vAlign w:val="center"/>
                </w:tcPr>
                <w:p w14:paraId="40425B01">
                  <w:pPr>
                    <w:numPr>
                      <w:ilvl w:val="0"/>
                      <w:numId w:val="0"/>
                    </w:numPr>
                    <w:adjustRightInd w:val="0"/>
                    <w:snapToGrid w:val="0"/>
                    <w:spacing w:line="240" w:lineRule="auto"/>
                    <w:jc w:val="center"/>
                    <w:rPr>
                      <w:rFonts w:hint="default"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45</w:t>
                  </w:r>
                </w:p>
              </w:tc>
              <w:tc>
                <w:tcPr>
                  <w:tcW w:w="911" w:type="dxa"/>
                  <w:tcBorders>
                    <w:tl2br w:val="nil"/>
                    <w:tr2bl w:val="nil"/>
                  </w:tcBorders>
                  <w:shd w:val="clear" w:color="auto" w:fill="FFFFFF"/>
                  <w:vAlign w:val="center"/>
                </w:tcPr>
                <w:p w14:paraId="66E8BE61">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55</w:t>
                  </w:r>
                </w:p>
              </w:tc>
              <w:tc>
                <w:tcPr>
                  <w:tcW w:w="911" w:type="dxa"/>
                  <w:tcBorders>
                    <w:tl2br w:val="nil"/>
                    <w:tr2bl w:val="nil"/>
                  </w:tcBorders>
                  <w:shd w:val="clear" w:color="auto" w:fill="FFFFFF"/>
                  <w:vAlign w:val="center"/>
                </w:tcPr>
                <w:p w14:paraId="63AA417E">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55</w:t>
                  </w:r>
                </w:p>
              </w:tc>
              <w:tc>
                <w:tcPr>
                  <w:tcW w:w="915" w:type="dxa"/>
                  <w:tcBorders>
                    <w:tl2br w:val="nil"/>
                    <w:tr2bl w:val="nil"/>
                  </w:tcBorders>
                  <w:shd w:val="clear" w:color="auto" w:fill="FFFFFF"/>
                  <w:vAlign w:val="center"/>
                </w:tcPr>
                <w:p w14:paraId="1934D23B">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达标</w:t>
                  </w:r>
                </w:p>
              </w:tc>
            </w:tr>
            <w:tr w14:paraId="4B78ED9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12" w:hRule="exact"/>
                <w:jc w:val="center"/>
              </w:trPr>
              <w:tc>
                <w:tcPr>
                  <w:tcW w:w="2858" w:type="dxa"/>
                  <w:tcBorders>
                    <w:tl2br w:val="nil"/>
                    <w:tr2bl w:val="nil"/>
                  </w:tcBorders>
                  <w:shd w:val="clear" w:color="auto" w:fill="FFFFFF"/>
                  <w:vAlign w:val="center"/>
                </w:tcPr>
                <w:p w14:paraId="4EB2A039">
                  <w:pPr>
                    <w:numPr>
                      <w:ilvl w:val="0"/>
                      <w:numId w:val="0"/>
                    </w:numPr>
                    <w:adjustRightInd w:val="0"/>
                    <w:snapToGrid w:val="0"/>
                    <w:spacing w:line="240" w:lineRule="auto"/>
                    <w:jc w:val="center"/>
                    <w:rPr>
                      <w:rFonts w:hint="default"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和平街小区十五区西侧1m</w:t>
                  </w:r>
                </w:p>
              </w:tc>
              <w:tc>
                <w:tcPr>
                  <w:tcW w:w="911" w:type="dxa"/>
                  <w:tcBorders>
                    <w:tl2br w:val="nil"/>
                    <w:tr2bl w:val="nil"/>
                  </w:tcBorders>
                  <w:shd w:val="clear" w:color="auto" w:fill="FFFFFF"/>
                  <w:vAlign w:val="center"/>
                </w:tcPr>
                <w:p w14:paraId="4B33FC17">
                  <w:pPr>
                    <w:numPr>
                      <w:ilvl w:val="0"/>
                      <w:numId w:val="0"/>
                    </w:numPr>
                    <w:adjustRightInd w:val="0"/>
                    <w:snapToGrid w:val="0"/>
                    <w:spacing w:line="240" w:lineRule="auto"/>
                    <w:jc w:val="center"/>
                    <w:rPr>
                      <w:rFonts w:hint="default"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27.9</w:t>
                  </w:r>
                </w:p>
              </w:tc>
              <w:tc>
                <w:tcPr>
                  <w:tcW w:w="911" w:type="dxa"/>
                  <w:tcBorders>
                    <w:tl2br w:val="nil"/>
                    <w:tr2bl w:val="nil"/>
                  </w:tcBorders>
                  <w:shd w:val="clear" w:color="auto" w:fill="FFFFFF"/>
                  <w:vAlign w:val="center"/>
                </w:tcPr>
                <w:p w14:paraId="5A666AA3">
                  <w:pPr>
                    <w:numPr>
                      <w:ilvl w:val="0"/>
                      <w:numId w:val="0"/>
                    </w:numPr>
                    <w:adjustRightInd w:val="0"/>
                    <w:snapToGrid w:val="0"/>
                    <w:spacing w:line="240" w:lineRule="auto"/>
                    <w:jc w:val="center"/>
                    <w:rPr>
                      <w:rFonts w:hint="default"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44</w:t>
                  </w:r>
                </w:p>
              </w:tc>
              <w:tc>
                <w:tcPr>
                  <w:tcW w:w="911" w:type="dxa"/>
                  <w:tcBorders>
                    <w:tl2br w:val="nil"/>
                    <w:tr2bl w:val="nil"/>
                  </w:tcBorders>
                  <w:shd w:val="clear" w:color="auto" w:fill="FFFFFF"/>
                  <w:vAlign w:val="center"/>
                </w:tcPr>
                <w:p w14:paraId="091C81A3">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55</w:t>
                  </w:r>
                </w:p>
              </w:tc>
              <w:tc>
                <w:tcPr>
                  <w:tcW w:w="911" w:type="dxa"/>
                  <w:tcBorders>
                    <w:tl2br w:val="nil"/>
                    <w:tr2bl w:val="nil"/>
                  </w:tcBorders>
                  <w:shd w:val="clear" w:color="auto" w:fill="FFFFFF"/>
                  <w:vAlign w:val="center"/>
                </w:tcPr>
                <w:p w14:paraId="5CF90D3C">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55</w:t>
                  </w:r>
                </w:p>
              </w:tc>
              <w:tc>
                <w:tcPr>
                  <w:tcW w:w="915" w:type="dxa"/>
                  <w:tcBorders>
                    <w:tl2br w:val="nil"/>
                    <w:tr2bl w:val="nil"/>
                  </w:tcBorders>
                  <w:shd w:val="clear" w:color="auto" w:fill="FFFFFF"/>
                  <w:vAlign w:val="center"/>
                </w:tcPr>
                <w:p w14:paraId="479480AE">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达标</w:t>
                  </w:r>
                </w:p>
              </w:tc>
            </w:tr>
          </w:tbl>
          <w:p w14:paraId="33E27E9E">
            <w:pPr>
              <w:adjustRightInd w:val="0"/>
              <w:spacing w:line="360" w:lineRule="auto"/>
              <w:ind w:firstLine="480" w:firstLineChars="200"/>
              <w:rPr>
                <w:rFonts w:hint="eastAsia" w:ascii="Times New Roman" w:hAnsi="Times New Roman" w:eastAsia="宋体" w:cs="Times New Roman"/>
                <w:bCs/>
                <w:snapToGrid w:val="0"/>
                <w:color w:val="auto"/>
                <w:kern w:val="0"/>
                <w:sz w:val="24"/>
                <w:highlight w:val="none"/>
                <w:lang w:val="en-US" w:eastAsia="zh-CN"/>
              </w:rPr>
            </w:pPr>
            <w:r>
              <w:rPr>
                <w:rFonts w:hint="default" w:ascii="Times New Roman" w:hAnsi="Times New Roman" w:eastAsia="宋体" w:cs="Times New Roman"/>
                <w:bCs/>
                <w:snapToGrid w:val="0"/>
                <w:color w:val="auto"/>
                <w:kern w:val="0"/>
                <w:sz w:val="24"/>
                <w:highlight w:val="none"/>
                <w:lang w:val="en-US" w:eastAsia="zh-CN"/>
              </w:rPr>
              <w:t>由上分析可以看出，本项目噪声源经隔声、设备基础减振等措施后，厂界</w:t>
            </w:r>
            <w:r>
              <w:rPr>
                <w:rFonts w:hint="eastAsia" w:ascii="Times New Roman" w:hAnsi="Times New Roman" w:eastAsia="宋体" w:cs="Times New Roman"/>
                <w:bCs/>
                <w:snapToGrid w:val="0"/>
                <w:color w:val="auto"/>
                <w:kern w:val="0"/>
                <w:sz w:val="24"/>
                <w:highlight w:val="none"/>
                <w:lang w:val="en-US" w:eastAsia="zh-CN"/>
              </w:rPr>
              <w:t>贡献值</w:t>
            </w:r>
            <w:r>
              <w:rPr>
                <w:rFonts w:hint="default" w:ascii="Times New Roman" w:hAnsi="Times New Roman" w:eastAsia="宋体" w:cs="Times New Roman"/>
                <w:bCs/>
                <w:snapToGrid w:val="0"/>
                <w:color w:val="auto"/>
                <w:kern w:val="0"/>
                <w:sz w:val="24"/>
                <w:highlight w:val="none"/>
                <w:lang w:val="en-US" w:eastAsia="zh-CN"/>
              </w:rPr>
              <w:t>符合《工业企业厂界环境噪声排放标准》（GB12348－2008）中</w:t>
            </w:r>
            <w:r>
              <w:rPr>
                <w:rFonts w:hint="eastAsia" w:ascii="Times New Roman" w:hAnsi="Times New Roman" w:eastAsia="宋体" w:cs="Times New Roman"/>
                <w:bCs/>
                <w:snapToGrid w:val="0"/>
                <w:color w:val="auto"/>
                <w:kern w:val="0"/>
                <w:sz w:val="24"/>
                <w:highlight w:val="none"/>
                <w:lang w:val="en-US" w:eastAsia="zh-CN"/>
              </w:rPr>
              <w:t>1</w:t>
            </w:r>
            <w:r>
              <w:rPr>
                <w:rFonts w:hint="default" w:ascii="Times New Roman" w:hAnsi="Times New Roman" w:eastAsia="宋体" w:cs="Times New Roman"/>
                <w:bCs/>
                <w:snapToGrid w:val="0"/>
                <w:color w:val="auto"/>
                <w:kern w:val="0"/>
                <w:sz w:val="24"/>
                <w:highlight w:val="none"/>
                <w:lang w:val="en-US" w:eastAsia="zh-CN"/>
              </w:rPr>
              <w:t>类标准的限值要求。</w:t>
            </w:r>
            <w:r>
              <w:rPr>
                <w:rFonts w:hint="eastAsia" w:ascii="Times New Roman" w:hAnsi="Times New Roman" w:eastAsia="宋体" w:cs="Times New Roman"/>
                <w:bCs/>
                <w:snapToGrid w:val="0"/>
                <w:color w:val="auto"/>
                <w:kern w:val="0"/>
                <w:sz w:val="24"/>
                <w:highlight w:val="none"/>
                <w:lang w:val="en-US" w:eastAsia="zh-CN"/>
              </w:rPr>
              <w:t>项目周边的</w:t>
            </w:r>
            <w:r>
              <w:rPr>
                <w:rFonts w:hint="eastAsia" w:cs="Times New Roman"/>
                <w:bCs/>
                <w:snapToGrid w:val="0"/>
                <w:color w:val="auto"/>
                <w:kern w:val="0"/>
                <w:sz w:val="24"/>
                <w:highlight w:val="none"/>
                <w:lang w:val="en-US" w:eastAsia="zh-CN"/>
              </w:rPr>
              <w:t>3</w:t>
            </w:r>
            <w:r>
              <w:rPr>
                <w:rFonts w:hint="eastAsia" w:ascii="Times New Roman" w:hAnsi="Times New Roman" w:eastAsia="宋体" w:cs="Times New Roman"/>
                <w:bCs/>
                <w:snapToGrid w:val="0"/>
                <w:color w:val="auto"/>
                <w:kern w:val="0"/>
                <w:sz w:val="24"/>
                <w:highlight w:val="none"/>
                <w:lang w:val="en-US" w:eastAsia="zh-CN"/>
              </w:rPr>
              <w:t>处声环境保护目标噪声值满足《声环境质量标准》（</w:t>
            </w:r>
            <w:r>
              <w:rPr>
                <w:rFonts w:hint="default" w:ascii="Times New Roman" w:hAnsi="Times New Roman" w:eastAsia="宋体" w:cs="Times New Roman"/>
                <w:bCs/>
                <w:snapToGrid w:val="0"/>
                <w:color w:val="auto"/>
                <w:kern w:val="0"/>
                <w:sz w:val="24"/>
                <w:highlight w:val="none"/>
                <w:lang w:val="en-US" w:eastAsia="zh-CN"/>
              </w:rPr>
              <w:t>GB3096-2008</w:t>
            </w:r>
            <w:r>
              <w:rPr>
                <w:rFonts w:hint="eastAsia" w:ascii="Times New Roman" w:hAnsi="Times New Roman" w:eastAsia="宋体" w:cs="Times New Roman"/>
                <w:bCs/>
                <w:snapToGrid w:val="0"/>
                <w:color w:val="auto"/>
                <w:kern w:val="0"/>
                <w:sz w:val="24"/>
                <w:highlight w:val="none"/>
                <w:lang w:val="en-US" w:eastAsia="zh-CN"/>
              </w:rPr>
              <w:t>）中的“</w:t>
            </w:r>
            <w:r>
              <w:rPr>
                <w:rFonts w:hint="default" w:ascii="Times New Roman" w:hAnsi="Times New Roman" w:eastAsia="宋体" w:cs="Times New Roman"/>
                <w:bCs/>
                <w:snapToGrid w:val="0"/>
                <w:color w:val="auto"/>
                <w:kern w:val="0"/>
                <w:sz w:val="24"/>
                <w:highlight w:val="none"/>
                <w:lang w:val="en-US" w:eastAsia="zh-CN"/>
              </w:rPr>
              <w:t>1</w:t>
            </w:r>
            <w:r>
              <w:rPr>
                <w:rFonts w:hint="eastAsia" w:ascii="Times New Roman" w:hAnsi="Times New Roman" w:eastAsia="宋体" w:cs="Times New Roman"/>
                <w:bCs/>
                <w:snapToGrid w:val="0"/>
                <w:color w:val="auto"/>
                <w:kern w:val="0"/>
                <w:sz w:val="24"/>
                <w:highlight w:val="none"/>
                <w:lang w:val="en-US" w:eastAsia="zh-CN"/>
              </w:rPr>
              <w:t>类”标准要求。</w:t>
            </w:r>
          </w:p>
          <w:p w14:paraId="67BDD1D4">
            <w:pPr>
              <w:adjustRightInd w:val="0"/>
              <w:snapToGrid w:val="0"/>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3</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噪声监测计划</w:t>
            </w:r>
          </w:p>
          <w:p w14:paraId="36989B06">
            <w:pPr>
              <w:adjustRightInd w:val="0"/>
              <w:snapToGrid w:val="0"/>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本项目噪声监测计划详见下表。</w:t>
            </w:r>
          </w:p>
          <w:p w14:paraId="6EFE4AE9">
            <w:pPr>
              <w:numPr>
                <w:ilvl w:val="0"/>
                <w:numId w:val="21"/>
              </w:numPr>
              <w:adjustRightInd w:val="0"/>
              <w:spacing w:line="360" w:lineRule="auto"/>
              <w:ind w:left="425" w:leftChars="0" w:hanging="425" w:firstLineChars="0"/>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项目噪声监测计划</w:t>
            </w:r>
          </w:p>
          <w:tbl>
            <w:tblPr>
              <w:tblStyle w:val="23"/>
              <w:tblW w:w="7573" w:type="dxa"/>
              <w:tblInd w:w="5" w:type="dxa"/>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307"/>
              <w:gridCol w:w="1983"/>
              <w:gridCol w:w="1645"/>
              <w:gridCol w:w="1537"/>
            </w:tblGrid>
            <w:tr w14:paraId="51661415">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402" w:hRule="atLeast"/>
              </w:trPr>
              <w:tc>
                <w:tcPr>
                  <w:tcW w:w="726" w:type="pct"/>
                  <w:tcBorders>
                    <w:tl2br w:val="nil"/>
                    <w:tr2bl w:val="nil"/>
                  </w:tcBorders>
                  <w:vAlign w:val="center"/>
                </w:tcPr>
                <w:p w14:paraId="727F2BB9">
                  <w:pPr>
                    <w:adjustRightIn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时段</w:t>
                  </w:r>
                </w:p>
              </w:tc>
              <w:tc>
                <w:tcPr>
                  <w:tcW w:w="862" w:type="pct"/>
                  <w:tcBorders>
                    <w:tl2br w:val="nil"/>
                    <w:tr2bl w:val="nil"/>
                  </w:tcBorders>
                  <w:vAlign w:val="center"/>
                </w:tcPr>
                <w:p w14:paraId="357627AF">
                  <w:pPr>
                    <w:adjustRightIn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监测内容</w:t>
                  </w:r>
                </w:p>
              </w:tc>
              <w:tc>
                <w:tcPr>
                  <w:tcW w:w="1309" w:type="pct"/>
                  <w:tcBorders>
                    <w:tl2br w:val="nil"/>
                    <w:tr2bl w:val="nil"/>
                  </w:tcBorders>
                  <w:vAlign w:val="center"/>
                </w:tcPr>
                <w:p w14:paraId="5711824D">
                  <w:pPr>
                    <w:adjustRightIn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监测指标</w:t>
                  </w:r>
                </w:p>
              </w:tc>
              <w:tc>
                <w:tcPr>
                  <w:tcW w:w="1086" w:type="pct"/>
                  <w:tcBorders>
                    <w:tl2br w:val="nil"/>
                    <w:tr2bl w:val="nil"/>
                  </w:tcBorders>
                  <w:vAlign w:val="center"/>
                </w:tcPr>
                <w:p w14:paraId="3FC3B824">
                  <w:pPr>
                    <w:adjustRightIn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监测点位</w:t>
                  </w:r>
                </w:p>
              </w:tc>
              <w:tc>
                <w:tcPr>
                  <w:tcW w:w="1014" w:type="pct"/>
                  <w:tcBorders>
                    <w:tl2br w:val="nil"/>
                    <w:tr2bl w:val="nil"/>
                  </w:tcBorders>
                  <w:vAlign w:val="center"/>
                </w:tcPr>
                <w:p w14:paraId="593FA6D4">
                  <w:pPr>
                    <w:adjustRightIn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监测频次</w:t>
                  </w:r>
                </w:p>
              </w:tc>
            </w:tr>
            <w:tr w14:paraId="58392396">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726" w:type="pct"/>
                  <w:tcBorders>
                    <w:tl2br w:val="nil"/>
                    <w:tr2bl w:val="nil"/>
                  </w:tcBorders>
                  <w:vAlign w:val="center"/>
                </w:tcPr>
                <w:p w14:paraId="020972A1">
                  <w:pPr>
                    <w:widowControl/>
                    <w:jc w:val="center"/>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运营期</w:t>
                  </w:r>
                </w:p>
                <w:p w14:paraId="2320A077">
                  <w:pPr>
                    <w:widowControl/>
                    <w:jc w:val="center"/>
                    <w:rPr>
                      <w:rFonts w:hint="eastAsia" w:ascii="Times New Roman" w:hAnsi="Times New Roman" w:eastAsia="宋体" w:cs="Times New Roman"/>
                      <w:bCs/>
                      <w:color w:val="auto"/>
                      <w:szCs w:val="21"/>
                      <w:highlight w:val="none"/>
                      <w:lang w:val="en-US" w:eastAsia="zh-CN"/>
                    </w:rPr>
                  </w:pPr>
                  <w:r>
                    <w:rPr>
                      <w:rFonts w:hint="eastAsia" w:cs="Times New Roman"/>
                      <w:bCs/>
                      <w:color w:val="auto"/>
                      <w:szCs w:val="21"/>
                      <w:highlight w:val="none"/>
                      <w:lang w:eastAsia="zh-CN"/>
                    </w:rPr>
                    <w:t>（</w:t>
                  </w:r>
                  <w:r>
                    <w:rPr>
                      <w:rFonts w:hint="eastAsia" w:cs="Times New Roman"/>
                      <w:bCs/>
                      <w:color w:val="auto"/>
                      <w:szCs w:val="21"/>
                      <w:highlight w:val="none"/>
                      <w:lang w:val="en-US" w:eastAsia="zh-CN"/>
                    </w:rPr>
                    <w:t>昼间</w:t>
                  </w:r>
                  <w:r>
                    <w:rPr>
                      <w:rFonts w:hint="eastAsia" w:cs="Times New Roman"/>
                      <w:bCs/>
                      <w:color w:val="auto"/>
                      <w:szCs w:val="21"/>
                      <w:highlight w:val="none"/>
                      <w:lang w:eastAsia="zh-CN"/>
                    </w:rPr>
                    <w:t>）</w:t>
                  </w:r>
                </w:p>
              </w:tc>
              <w:tc>
                <w:tcPr>
                  <w:tcW w:w="862" w:type="pct"/>
                  <w:tcBorders>
                    <w:tl2br w:val="nil"/>
                    <w:tr2bl w:val="nil"/>
                  </w:tcBorders>
                  <w:vAlign w:val="center"/>
                </w:tcPr>
                <w:p w14:paraId="4AB7D5F9">
                  <w:pPr>
                    <w:adjustRightInd w:val="0"/>
                    <w:jc w:val="center"/>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噪声</w:t>
                  </w:r>
                </w:p>
              </w:tc>
              <w:tc>
                <w:tcPr>
                  <w:tcW w:w="1309" w:type="pct"/>
                  <w:tcBorders>
                    <w:tl2br w:val="nil"/>
                    <w:tr2bl w:val="nil"/>
                  </w:tcBorders>
                  <w:vAlign w:val="center"/>
                </w:tcPr>
                <w:p w14:paraId="07D5E5CE">
                  <w:pPr>
                    <w:adjustRightInd w:val="0"/>
                    <w:jc w:val="center"/>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等效连续A声级</w:t>
                  </w:r>
                </w:p>
              </w:tc>
              <w:tc>
                <w:tcPr>
                  <w:tcW w:w="1086" w:type="pct"/>
                  <w:tcBorders>
                    <w:tl2br w:val="nil"/>
                    <w:tr2bl w:val="nil"/>
                  </w:tcBorders>
                  <w:vAlign w:val="center"/>
                </w:tcPr>
                <w:p w14:paraId="23E8717B">
                  <w:pPr>
                    <w:adjustRightInd w:val="0"/>
                    <w:jc w:val="center"/>
                    <w:rPr>
                      <w:rFonts w:hint="default" w:ascii="Times New Roman" w:hAnsi="Times New Roman" w:eastAsia="宋体" w:cs="Times New Roman"/>
                      <w:bCs/>
                      <w:color w:val="auto"/>
                      <w:szCs w:val="21"/>
                      <w:highlight w:val="none"/>
                      <w:lang w:val="en-US"/>
                    </w:rPr>
                  </w:pPr>
                  <w:r>
                    <w:rPr>
                      <w:rFonts w:hint="eastAsia" w:ascii="Times New Roman" w:hAnsi="Times New Roman" w:eastAsia="宋体" w:cs="Times New Roman"/>
                      <w:bCs/>
                      <w:color w:val="auto"/>
                      <w:szCs w:val="21"/>
                      <w:highlight w:val="none"/>
                      <w:lang w:val="en-US" w:eastAsia="zh-CN"/>
                    </w:rPr>
                    <w:t>项目所在建筑四周厂界外</w:t>
                  </w:r>
                  <w:r>
                    <w:rPr>
                      <w:rFonts w:hint="default" w:ascii="Times New Roman" w:hAnsi="Times New Roman" w:eastAsia="宋体" w:cs="Times New Roman"/>
                      <w:bCs/>
                      <w:color w:val="auto"/>
                      <w:szCs w:val="21"/>
                      <w:highlight w:val="none"/>
                      <w:lang w:val="en-US" w:eastAsia="zh-CN"/>
                    </w:rPr>
                    <w:t>1m</w:t>
                  </w:r>
                </w:p>
              </w:tc>
              <w:tc>
                <w:tcPr>
                  <w:tcW w:w="1014" w:type="pct"/>
                  <w:tcBorders>
                    <w:tl2br w:val="nil"/>
                    <w:tr2bl w:val="nil"/>
                  </w:tcBorders>
                  <w:vAlign w:val="center"/>
                </w:tcPr>
                <w:p w14:paraId="3EA4E497">
                  <w:pPr>
                    <w:adjustRightInd w:val="0"/>
                    <w:jc w:val="center"/>
                    <w:rPr>
                      <w:rFonts w:hint="default" w:ascii="Times New Roman" w:hAnsi="Times New Roman" w:eastAsia="宋体" w:cs="Times New Roman"/>
                      <w:bCs/>
                      <w:color w:val="auto"/>
                      <w:szCs w:val="21"/>
                      <w:highlight w:val="none"/>
                    </w:rPr>
                  </w:pPr>
                  <w:r>
                    <w:rPr>
                      <w:rFonts w:hint="default" w:ascii="Times New Roman" w:hAnsi="Times New Roman" w:eastAsia="宋体" w:cs="Times New Roman"/>
                      <w:bCs/>
                      <w:color w:val="auto"/>
                      <w:szCs w:val="21"/>
                      <w:highlight w:val="none"/>
                    </w:rPr>
                    <w:t>每季度1次</w:t>
                  </w:r>
                </w:p>
              </w:tc>
            </w:tr>
          </w:tbl>
          <w:p w14:paraId="1D0BF2E6">
            <w:pPr>
              <w:adjustRightInd w:val="0"/>
              <w:snapToGrid w:val="0"/>
              <w:rPr>
                <w:rFonts w:hint="default" w:ascii="Times New Roman" w:hAnsi="Times New Roman" w:eastAsia="宋体" w:cs="Times New Roman"/>
                <w:bCs/>
                <w:color w:val="auto"/>
                <w:spacing w:val="-10"/>
                <w:szCs w:val="21"/>
                <w:highlight w:val="none"/>
              </w:rPr>
            </w:pPr>
          </w:p>
          <w:p w14:paraId="57BB748F">
            <w:pPr>
              <w:numPr>
                <w:ilvl w:val="0"/>
                <w:numId w:val="19"/>
              </w:numPr>
              <w:adjustRightInd w:val="0"/>
              <w:snapToGrid w:val="0"/>
              <w:spacing w:line="360" w:lineRule="auto"/>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固体废物</w:t>
            </w:r>
            <w:r>
              <w:rPr>
                <w:rFonts w:hint="default" w:ascii="Times New Roman" w:hAnsi="Times New Roman" w:eastAsia="宋体" w:cs="Times New Roman"/>
                <w:b/>
                <w:color w:val="auto"/>
                <w:sz w:val="24"/>
                <w:highlight w:val="none"/>
                <w:lang w:val="en-US" w:eastAsia="zh-CN"/>
              </w:rPr>
              <w:t>环境</w:t>
            </w:r>
            <w:r>
              <w:rPr>
                <w:rFonts w:hint="default" w:ascii="Times New Roman" w:hAnsi="Times New Roman" w:eastAsia="宋体" w:cs="Times New Roman"/>
                <w:b/>
                <w:color w:val="auto"/>
                <w:sz w:val="24"/>
                <w:highlight w:val="none"/>
              </w:rPr>
              <w:t>影响分析</w:t>
            </w:r>
          </w:p>
          <w:p w14:paraId="00470828">
            <w:pPr>
              <w:spacing w:line="360" w:lineRule="auto"/>
              <w:ind w:firstLine="480" w:firstLineChars="200"/>
              <w:rPr>
                <w:rFonts w:hint="default" w:ascii="Times New Roman" w:hAnsi="Times New Roman" w:eastAsia="宋体" w:cs="Times New Roman"/>
                <w:b w:val="0"/>
                <w:bCs w:val="0"/>
                <w:color w:val="auto"/>
                <w:sz w:val="24"/>
                <w:highlight w:val="none"/>
              </w:rPr>
            </w:pPr>
            <w:r>
              <w:rPr>
                <w:rFonts w:hint="default" w:ascii="Times New Roman" w:hAnsi="Times New Roman" w:eastAsia="宋体" w:cs="Times New Roman"/>
                <w:b w:val="0"/>
                <w:bCs w:val="0"/>
                <w:color w:val="auto"/>
                <w:sz w:val="24"/>
                <w:highlight w:val="none"/>
                <w:lang w:val="en-US" w:eastAsia="zh-CN"/>
              </w:rPr>
              <w:t>（1）固体废物源强</w:t>
            </w:r>
          </w:p>
          <w:p w14:paraId="01B9FDAF">
            <w:pPr>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本项目固体废物包括生活垃圾、一般</w:t>
            </w:r>
            <w:r>
              <w:rPr>
                <w:rFonts w:hint="eastAsia" w:cs="Times New Roman"/>
                <w:color w:val="auto"/>
                <w:sz w:val="24"/>
                <w:highlight w:val="none"/>
                <w:lang w:val="en-US" w:eastAsia="zh-CN"/>
              </w:rPr>
              <w:t>工业</w:t>
            </w:r>
            <w:r>
              <w:rPr>
                <w:rFonts w:hint="default" w:ascii="Times New Roman" w:hAnsi="Times New Roman" w:eastAsia="宋体" w:cs="Times New Roman"/>
                <w:color w:val="auto"/>
                <w:sz w:val="24"/>
                <w:highlight w:val="none"/>
                <w:lang w:val="en-US" w:eastAsia="zh-CN"/>
              </w:rPr>
              <w:t>固体废物</w:t>
            </w:r>
            <w:r>
              <w:rPr>
                <w:rFonts w:hint="eastAsia"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危险废物。</w:t>
            </w:r>
          </w:p>
          <w:p w14:paraId="3012E3B7">
            <w:pPr>
              <w:numPr>
                <w:ilvl w:val="0"/>
                <w:numId w:val="23"/>
              </w:numPr>
              <w:adjustRightInd w:val="0"/>
              <w:snapToGrid w:val="0"/>
              <w:spacing w:line="360" w:lineRule="auto"/>
              <w:ind w:left="0" w:leftChars="0" w:firstLine="480" w:firstLineChars="200"/>
              <w:rPr>
                <w:rFonts w:hint="default" w:ascii="Times New Roman" w:hAnsi="Times New Roman" w:eastAsia="宋体" w:cs="Times New Roman"/>
                <w:b w:val="0"/>
                <w:bCs/>
                <w:color w:val="auto"/>
                <w:sz w:val="24"/>
                <w:highlight w:val="none"/>
              </w:rPr>
            </w:pPr>
            <w:r>
              <w:rPr>
                <w:rFonts w:hint="default" w:ascii="Times New Roman" w:hAnsi="Times New Roman" w:eastAsia="宋体" w:cs="Times New Roman"/>
                <w:b w:val="0"/>
                <w:bCs/>
                <w:color w:val="auto"/>
                <w:sz w:val="24"/>
                <w:highlight w:val="none"/>
              </w:rPr>
              <w:t>生活垃圾</w:t>
            </w:r>
          </w:p>
          <w:p w14:paraId="60E2BC00">
            <w:pPr>
              <w:spacing w:line="360" w:lineRule="auto"/>
              <w:ind w:firstLine="480" w:firstLineChars="200"/>
              <w:rPr>
                <w:rFonts w:hint="default" w:ascii="Times New Roman" w:hAnsi="Times New Roman" w:eastAsia="宋体" w:cs="Times New Roman"/>
                <w:color w:val="auto"/>
                <w:sz w:val="24"/>
                <w:highlight w:val="none"/>
              </w:rPr>
            </w:pPr>
            <w:r>
              <w:rPr>
                <w:rFonts w:hint="eastAsia" w:cs="Times New Roman"/>
                <w:color w:val="auto"/>
                <w:sz w:val="24"/>
                <w:highlight w:val="none"/>
                <w:lang w:val="en-US" w:eastAsia="zh-CN"/>
              </w:rPr>
              <w:t>本</w:t>
            </w:r>
            <w:r>
              <w:rPr>
                <w:rFonts w:hint="default" w:ascii="Times New Roman" w:hAnsi="Times New Roman" w:eastAsia="宋体" w:cs="Times New Roman"/>
                <w:color w:val="auto"/>
                <w:sz w:val="24"/>
                <w:highlight w:val="none"/>
              </w:rPr>
              <w:t>项目</w:t>
            </w:r>
            <w:r>
              <w:rPr>
                <w:rFonts w:hint="eastAsia" w:cs="Times New Roman"/>
                <w:color w:val="auto"/>
                <w:sz w:val="24"/>
                <w:highlight w:val="none"/>
                <w:lang w:val="en-US" w:eastAsia="zh-CN"/>
              </w:rPr>
              <w:t>员工9</w:t>
            </w:r>
            <w:r>
              <w:rPr>
                <w:rFonts w:hint="default" w:ascii="Times New Roman" w:hAnsi="Times New Roman" w:eastAsia="宋体" w:cs="Times New Roman"/>
                <w:color w:val="auto"/>
                <w:sz w:val="24"/>
                <w:highlight w:val="none"/>
              </w:rPr>
              <w:t>人，生活垃圾产生量按0.5kg/人•d计，项目年工作</w:t>
            </w:r>
            <w:r>
              <w:rPr>
                <w:rFonts w:hint="eastAsia" w:cs="Times New Roman"/>
                <w:color w:val="auto"/>
                <w:sz w:val="24"/>
                <w:highlight w:val="none"/>
                <w:lang w:val="en-US" w:eastAsia="zh-CN"/>
              </w:rPr>
              <w:t>250</w:t>
            </w:r>
            <w:r>
              <w:rPr>
                <w:rFonts w:hint="default" w:ascii="Times New Roman" w:hAnsi="Times New Roman" w:eastAsia="宋体" w:cs="Times New Roman"/>
                <w:color w:val="auto"/>
                <w:sz w:val="24"/>
                <w:highlight w:val="none"/>
              </w:rPr>
              <w:t>d/a，则生活垃圾产生量为</w:t>
            </w:r>
            <w:r>
              <w:rPr>
                <w:rFonts w:hint="eastAsia" w:cs="Times New Roman"/>
                <w:color w:val="auto"/>
                <w:sz w:val="24"/>
                <w:highlight w:val="none"/>
                <w:lang w:val="en-US" w:eastAsia="zh-CN"/>
              </w:rPr>
              <w:t>1.125</w:t>
            </w:r>
            <w:r>
              <w:rPr>
                <w:rFonts w:hint="default" w:ascii="Times New Roman" w:hAnsi="Times New Roman" w:eastAsia="宋体" w:cs="Times New Roman"/>
                <w:color w:val="auto"/>
                <w:sz w:val="24"/>
                <w:highlight w:val="none"/>
              </w:rPr>
              <w:t>t/a。生活垃圾分类收集后，由当地环卫部门定期清运。</w:t>
            </w:r>
          </w:p>
          <w:p w14:paraId="482A1616">
            <w:pPr>
              <w:numPr>
                <w:ilvl w:val="0"/>
                <w:numId w:val="23"/>
              </w:numPr>
              <w:adjustRightInd w:val="0"/>
              <w:snapToGrid w:val="0"/>
              <w:spacing w:line="360" w:lineRule="auto"/>
              <w:ind w:left="0" w:leftChars="0" w:firstLine="480" w:firstLineChars="200"/>
              <w:rPr>
                <w:rFonts w:hint="default" w:ascii="Times New Roman" w:hAnsi="Times New Roman" w:eastAsia="宋体" w:cs="Times New Roman"/>
                <w:b w:val="0"/>
                <w:bCs/>
                <w:color w:val="auto"/>
                <w:sz w:val="24"/>
                <w:highlight w:val="none"/>
                <w:lang w:eastAsia="zh-CN"/>
              </w:rPr>
            </w:pPr>
            <w:r>
              <w:rPr>
                <w:rFonts w:hint="default" w:ascii="Times New Roman" w:hAnsi="Times New Roman" w:eastAsia="宋体" w:cs="Times New Roman"/>
                <w:b w:val="0"/>
                <w:bCs/>
                <w:color w:val="auto"/>
                <w:sz w:val="24"/>
                <w:highlight w:val="none"/>
                <w:lang w:eastAsia="zh-CN"/>
              </w:rPr>
              <w:t>一般工业固体废物</w:t>
            </w:r>
          </w:p>
          <w:p w14:paraId="0A580B0A">
            <w:pPr>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本项目一般</w:t>
            </w:r>
            <w:r>
              <w:rPr>
                <w:rFonts w:hint="eastAsia" w:cs="Times New Roman"/>
                <w:color w:val="auto"/>
                <w:sz w:val="24"/>
                <w:highlight w:val="none"/>
                <w:lang w:val="en-US" w:eastAsia="zh-CN"/>
              </w:rPr>
              <w:t>工业</w:t>
            </w:r>
            <w:r>
              <w:rPr>
                <w:rFonts w:hint="default" w:ascii="Times New Roman" w:hAnsi="Times New Roman" w:eastAsia="宋体" w:cs="Times New Roman"/>
                <w:color w:val="auto"/>
                <w:sz w:val="24"/>
                <w:highlight w:val="none"/>
                <w:lang w:val="en-US" w:eastAsia="zh-CN"/>
              </w:rPr>
              <w:t>固体废物</w:t>
            </w:r>
            <w:r>
              <w:rPr>
                <w:rFonts w:hint="eastAsia" w:cs="Times New Roman"/>
                <w:color w:val="auto"/>
                <w:sz w:val="24"/>
                <w:highlight w:val="none"/>
                <w:lang w:val="en-US" w:eastAsia="zh-CN"/>
              </w:rPr>
              <w:t>包括</w:t>
            </w:r>
            <w:r>
              <w:rPr>
                <w:rFonts w:hint="default" w:ascii="Times New Roman" w:hAnsi="Times New Roman" w:eastAsia="宋体" w:cs="Times New Roman"/>
                <w:color w:val="auto"/>
                <w:sz w:val="24"/>
                <w:highlight w:val="none"/>
                <w:lang w:val="en-US" w:eastAsia="zh-CN"/>
              </w:rPr>
              <w:t>未沾染化学试剂的废包装物</w:t>
            </w:r>
            <w:r>
              <w:rPr>
                <w:rFonts w:hint="eastAsia" w:cs="Times New Roman"/>
                <w:color w:val="auto"/>
                <w:sz w:val="24"/>
                <w:highlight w:val="none"/>
                <w:lang w:val="en-US" w:eastAsia="zh-CN"/>
              </w:rPr>
              <w:t>、纯水制备废滤芯、废电池</w:t>
            </w:r>
            <w:r>
              <w:rPr>
                <w:rFonts w:hint="default" w:ascii="Times New Roman" w:hAnsi="Times New Roman" w:eastAsia="宋体" w:cs="Times New Roman"/>
                <w:color w:val="auto"/>
                <w:sz w:val="24"/>
                <w:highlight w:val="none"/>
                <w:lang w:val="en-US" w:eastAsia="zh-CN"/>
              </w:rPr>
              <w:t>。未沾染化学试剂的废包装物产生量约</w:t>
            </w:r>
            <w:r>
              <w:rPr>
                <w:rFonts w:hint="eastAsia" w:cs="Times New Roman"/>
                <w:color w:val="auto"/>
                <w:sz w:val="24"/>
                <w:highlight w:val="none"/>
                <w:lang w:val="en-US" w:eastAsia="zh-CN"/>
              </w:rPr>
              <w:t>0.5</w:t>
            </w:r>
            <w:r>
              <w:rPr>
                <w:rFonts w:hint="default" w:ascii="Times New Roman" w:hAnsi="Times New Roman" w:eastAsia="宋体" w:cs="Times New Roman"/>
                <w:color w:val="auto"/>
                <w:sz w:val="24"/>
                <w:highlight w:val="none"/>
                <w:lang w:val="en-US" w:eastAsia="zh-CN"/>
              </w:rPr>
              <w:t>t/a，由</w:t>
            </w:r>
            <w:r>
              <w:rPr>
                <w:rFonts w:hint="eastAsia" w:cs="Times New Roman"/>
                <w:color w:val="auto"/>
                <w:sz w:val="24"/>
                <w:highlight w:val="none"/>
                <w:lang w:val="en-US" w:eastAsia="zh-CN"/>
              </w:rPr>
              <w:t>物资回收单位</w:t>
            </w:r>
            <w:r>
              <w:rPr>
                <w:rFonts w:hint="default" w:ascii="Times New Roman" w:hAnsi="Times New Roman" w:eastAsia="宋体" w:cs="Times New Roman"/>
                <w:color w:val="auto"/>
                <w:sz w:val="24"/>
                <w:highlight w:val="none"/>
                <w:lang w:val="en-US" w:eastAsia="zh-CN"/>
              </w:rPr>
              <w:t>进行回收</w:t>
            </w:r>
            <w:r>
              <w:rPr>
                <w:rFonts w:hint="eastAsia" w:cs="Times New Roman"/>
                <w:color w:val="auto"/>
                <w:sz w:val="24"/>
                <w:highlight w:val="none"/>
                <w:lang w:val="en-US" w:eastAsia="zh-CN"/>
              </w:rPr>
              <w:t>；纯水制备废滤芯</w:t>
            </w:r>
            <w:r>
              <w:rPr>
                <w:rFonts w:hint="default" w:ascii="Times New Roman" w:hAnsi="Times New Roman" w:eastAsia="宋体" w:cs="Times New Roman"/>
                <w:color w:val="auto"/>
                <w:sz w:val="24"/>
                <w:highlight w:val="none"/>
                <w:lang w:val="en-US" w:eastAsia="zh-CN"/>
              </w:rPr>
              <w:t>产生量约</w:t>
            </w:r>
            <w:r>
              <w:rPr>
                <w:rFonts w:hint="eastAsia" w:cs="Times New Roman"/>
                <w:color w:val="auto"/>
                <w:sz w:val="24"/>
                <w:highlight w:val="none"/>
                <w:lang w:val="en-US" w:eastAsia="zh-CN"/>
              </w:rPr>
              <w:t>0.05</w:t>
            </w:r>
            <w:r>
              <w:rPr>
                <w:rFonts w:hint="default" w:ascii="Times New Roman" w:hAnsi="Times New Roman" w:eastAsia="宋体" w:cs="Times New Roman"/>
                <w:color w:val="auto"/>
                <w:sz w:val="24"/>
                <w:highlight w:val="none"/>
                <w:lang w:val="en-US" w:eastAsia="zh-CN"/>
              </w:rPr>
              <w:t>t/a</w:t>
            </w:r>
            <w:r>
              <w:rPr>
                <w:rFonts w:hint="eastAsia"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由</w:t>
            </w:r>
            <w:r>
              <w:rPr>
                <w:rFonts w:hint="eastAsia" w:cs="Times New Roman"/>
                <w:color w:val="auto"/>
                <w:sz w:val="24"/>
                <w:highlight w:val="none"/>
                <w:lang w:val="en-US" w:eastAsia="zh-CN"/>
              </w:rPr>
              <w:t>厂家</w:t>
            </w:r>
            <w:r>
              <w:rPr>
                <w:rFonts w:hint="default" w:ascii="Times New Roman" w:hAnsi="Times New Roman" w:eastAsia="宋体" w:cs="Times New Roman"/>
                <w:color w:val="auto"/>
                <w:sz w:val="24"/>
                <w:highlight w:val="none"/>
                <w:lang w:val="en-US" w:eastAsia="zh-CN"/>
              </w:rPr>
              <w:t>回收</w:t>
            </w:r>
            <w:r>
              <w:rPr>
                <w:rFonts w:hint="eastAsia" w:cs="Times New Roman"/>
                <w:color w:val="auto"/>
                <w:sz w:val="24"/>
                <w:highlight w:val="none"/>
                <w:lang w:val="en-US" w:eastAsia="zh-CN"/>
              </w:rPr>
              <w:t>处置；废电池</w:t>
            </w:r>
            <w:r>
              <w:rPr>
                <w:rFonts w:hint="default" w:ascii="Times New Roman" w:hAnsi="Times New Roman" w:eastAsia="宋体" w:cs="Times New Roman"/>
                <w:color w:val="auto"/>
                <w:sz w:val="24"/>
                <w:highlight w:val="none"/>
                <w:lang w:val="en-US" w:eastAsia="zh-CN"/>
              </w:rPr>
              <w:t>产生量约</w:t>
            </w:r>
            <w:r>
              <w:rPr>
                <w:rFonts w:hint="eastAsia" w:cs="Times New Roman"/>
                <w:color w:val="auto"/>
                <w:sz w:val="24"/>
                <w:highlight w:val="none"/>
                <w:lang w:val="en-US" w:eastAsia="zh-CN"/>
              </w:rPr>
              <w:t>0.01</w:t>
            </w:r>
            <w:r>
              <w:rPr>
                <w:rFonts w:hint="default" w:ascii="Times New Roman" w:hAnsi="Times New Roman" w:eastAsia="宋体" w:cs="Times New Roman"/>
                <w:color w:val="auto"/>
                <w:sz w:val="24"/>
                <w:highlight w:val="none"/>
                <w:lang w:val="en-US" w:eastAsia="zh-CN"/>
              </w:rPr>
              <w:t>t/a</w:t>
            </w:r>
            <w:r>
              <w:rPr>
                <w:rFonts w:hint="eastAsia" w:cs="Times New Roman"/>
                <w:color w:val="auto"/>
                <w:sz w:val="24"/>
                <w:highlight w:val="none"/>
                <w:lang w:val="en-US" w:eastAsia="zh-CN"/>
              </w:rPr>
              <w:t>，由资质单位回收处置。</w:t>
            </w:r>
          </w:p>
          <w:p w14:paraId="2045A875">
            <w:pPr>
              <w:numPr>
                <w:ilvl w:val="0"/>
                <w:numId w:val="23"/>
              </w:numPr>
              <w:adjustRightInd w:val="0"/>
              <w:snapToGrid w:val="0"/>
              <w:spacing w:line="360" w:lineRule="auto"/>
              <w:ind w:left="0" w:leftChars="0" w:firstLine="480" w:firstLineChars="200"/>
              <w:rPr>
                <w:rFonts w:hint="default" w:ascii="Times New Roman" w:hAnsi="Times New Roman" w:eastAsia="宋体" w:cs="Times New Roman"/>
                <w:b w:val="0"/>
                <w:bCs/>
                <w:color w:val="auto"/>
                <w:sz w:val="24"/>
                <w:highlight w:val="none"/>
                <w:lang w:eastAsia="zh-CN"/>
              </w:rPr>
            </w:pPr>
            <w:r>
              <w:rPr>
                <w:rFonts w:hint="default" w:ascii="Times New Roman" w:hAnsi="Times New Roman" w:eastAsia="宋体" w:cs="Times New Roman"/>
                <w:b w:val="0"/>
                <w:bCs/>
                <w:color w:val="auto"/>
                <w:sz w:val="24"/>
                <w:highlight w:val="none"/>
                <w:lang w:eastAsia="zh-CN"/>
              </w:rPr>
              <w:t>危险废物</w:t>
            </w:r>
          </w:p>
          <w:p w14:paraId="0BD0A2C7">
            <w:pPr>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项目产生的危险废物主要为实验过程中产生的</w:t>
            </w:r>
            <w:r>
              <w:rPr>
                <w:rFonts w:hint="eastAsia" w:cs="Times New Roman"/>
                <w:color w:val="auto"/>
                <w:sz w:val="24"/>
                <w:highlight w:val="none"/>
                <w:lang w:val="en-US" w:eastAsia="zh-CN"/>
              </w:rPr>
              <w:t>废试剂瓶</w:t>
            </w:r>
            <w:r>
              <w:rPr>
                <w:rFonts w:hint="default" w:ascii="Times New Roman" w:hAnsi="Times New Roman" w:eastAsia="宋体" w:cs="Times New Roman"/>
                <w:color w:val="auto"/>
                <w:sz w:val="24"/>
                <w:highlight w:val="none"/>
                <w:lang w:val="en-US" w:eastAsia="zh-CN"/>
              </w:rPr>
              <w:t>、废一次性</w:t>
            </w:r>
            <w:r>
              <w:rPr>
                <w:rFonts w:hint="eastAsia" w:cs="Times New Roman"/>
                <w:color w:val="auto"/>
                <w:sz w:val="24"/>
                <w:highlight w:val="none"/>
                <w:lang w:val="en-US" w:eastAsia="zh-CN"/>
              </w:rPr>
              <w:t>实验</w:t>
            </w:r>
            <w:r>
              <w:rPr>
                <w:rFonts w:hint="default" w:ascii="Times New Roman" w:hAnsi="Times New Roman" w:eastAsia="宋体" w:cs="Times New Roman"/>
                <w:color w:val="auto"/>
                <w:sz w:val="24"/>
                <w:highlight w:val="none"/>
                <w:lang w:val="en-US" w:eastAsia="zh-CN"/>
              </w:rPr>
              <w:t>耗材（一次性吸头、一次性乳胶手套、一次性进样管</w:t>
            </w:r>
            <w:r>
              <w:rPr>
                <w:rFonts w:hint="eastAsia" w:ascii="Times New Roman" w:hAnsi="Times New Roman" w:eastAsia="宋体" w:cs="Times New Roman"/>
                <w:color w:val="auto"/>
                <w:sz w:val="24"/>
                <w:highlight w:val="none"/>
                <w:lang w:val="en-US" w:eastAsia="zh-CN"/>
              </w:rPr>
              <w:t>、称量纸等</w:t>
            </w:r>
            <w:r>
              <w:rPr>
                <w:rFonts w:hint="default" w:ascii="Times New Roman" w:hAnsi="Times New Roman" w:eastAsia="宋体" w:cs="Times New Roman"/>
                <w:color w:val="auto"/>
                <w:sz w:val="24"/>
                <w:highlight w:val="none"/>
                <w:lang w:val="en-US" w:eastAsia="zh-CN"/>
              </w:rPr>
              <w:t>）、</w:t>
            </w:r>
            <w:r>
              <w:rPr>
                <w:rFonts w:hint="eastAsia" w:cs="Times New Roman"/>
                <w:color w:val="auto"/>
                <w:sz w:val="24"/>
                <w:highlight w:val="none"/>
                <w:lang w:val="en-US" w:eastAsia="zh-CN"/>
              </w:rPr>
              <w:t>设备容器</w:t>
            </w:r>
            <w:r>
              <w:rPr>
                <w:rFonts w:hint="eastAsia" w:ascii="Times New Roman" w:hAnsi="Times New Roman" w:eastAsia="宋体" w:cs="Times New Roman"/>
                <w:color w:val="auto"/>
                <w:sz w:val="24"/>
                <w:highlight w:val="none"/>
                <w:lang w:val="en-US" w:eastAsia="zh-CN"/>
              </w:rPr>
              <w:t>清洗废液</w:t>
            </w:r>
            <w:r>
              <w:rPr>
                <w:rFonts w:hint="eastAsia" w:cs="Times New Roman"/>
                <w:color w:val="auto"/>
                <w:sz w:val="24"/>
                <w:highlight w:val="none"/>
                <w:lang w:val="en-US" w:eastAsia="zh-CN"/>
              </w:rPr>
              <w:t>、废N-甲基吡咯烷酮、废活性炭、废吸附剂、废润滑油、废油桶</w:t>
            </w:r>
            <w:r>
              <w:rPr>
                <w:rFonts w:hint="default" w:ascii="Times New Roman" w:hAnsi="Times New Roman" w:eastAsia="宋体" w:cs="Times New Roman"/>
                <w:color w:val="auto"/>
                <w:sz w:val="24"/>
                <w:highlight w:val="none"/>
                <w:lang w:val="en-US" w:eastAsia="zh-CN"/>
              </w:rPr>
              <w:t>。</w:t>
            </w:r>
          </w:p>
          <w:p w14:paraId="00D4FE9A">
            <w:pPr>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根据企业提供的</w:t>
            </w:r>
            <w:r>
              <w:rPr>
                <w:rFonts w:hint="eastAsia" w:cs="Times New Roman"/>
                <w:color w:val="auto"/>
                <w:sz w:val="24"/>
                <w:highlight w:val="none"/>
                <w:lang w:val="en-US" w:eastAsia="zh-CN"/>
              </w:rPr>
              <w:t>资料</w:t>
            </w:r>
            <w:r>
              <w:rPr>
                <w:rFonts w:hint="eastAsia" w:eastAsia="宋体" w:cs="Times New Roman"/>
                <w:color w:val="auto"/>
                <w:sz w:val="24"/>
                <w:highlight w:val="none"/>
                <w:lang w:val="en-US" w:eastAsia="zh-CN"/>
              </w:rPr>
              <w:t>、水平衡分析及项目运行情况</w:t>
            </w:r>
            <w:r>
              <w:rPr>
                <w:rFonts w:hint="eastAsia" w:ascii="Times New Roman" w:hAnsi="Times New Roman" w:eastAsia="宋体" w:cs="Times New Roman"/>
                <w:color w:val="auto"/>
                <w:sz w:val="24"/>
                <w:highlight w:val="none"/>
                <w:lang w:val="en-US" w:eastAsia="zh-CN"/>
              </w:rPr>
              <w:t>，</w:t>
            </w:r>
            <w:r>
              <w:rPr>
                <w:rFonts w:hint="eastAsia" w:eastAsia="宋体" w:cs="Times New Roman"/>
                <w:color w:val="auto"/>
                <w:sz w:val="24"/>
                <w:highlight w:val="none"/>
                <w:lang w:val="en-US" w:eastAsia="zh-CN"/>
              </w:rPr>
              <w:t>综合分析</w:t>
            </w:r>
            <w:r>
              <w:rPr>
                <w:rFonts w:hint="eastAsia" w:ascii="Times New Roman" w:hAnsi="Times New Roman" w:eastAsia="宋体" w:cs="Times New Roman"/>
                <w:color w:val="auto"/>
                <w:sz w:val="24"/>
                <w:highlight w:val="none"/>
                <w:lang w:val="en-US" w:eastAsia="zh-CN"/>
              </w:rPr>
              <w:t>核算本项目危险废物产生量：废试剂瓶</w:t>
            </w:r>
            <w:r>
              <w:rPr>
                <w:rFonts w:hint="eastAsia" w:cs="Times New Roman"/>
                <w:color w:val="auto"/>
                <w:sz w:val="24"/>
                <w:highlight w:val="none"/>
                <w:lang w:val="en-US" w:eastAsia="zh-CN"/>
              </w:rPr>
              <w:t>0.1</w:t>
            </w:r>
            <w:r>
              <w:rPr>
                <w:rFonts w:hint="default" w:ascii="Times New Roman" w:hAnsi="Times New Roman" w:eastAsia="宋体" w:cs="Times New Roman"/>
                <w:color w:val="auto"/>
                <w:sz w:val="24"/>
                <w:highlight w:val="none"/>
                <w:lang w:val="en-US" w:eastAsia="zh-CN"/>
              </w:rPr>
              <w:t>t/a、废一次性</w:t>
            </w:r>
            <w:r>
              <w:rPr>
                <w:rFonts w:hint="eastAsia" w:cs="Times New Roman"/>
                <w:color w:val="auto"/>
                <w:sz w:val="24"/>
                <w:highlight w:val="none"/>
                <w:lang w:val="en-US" w:eastAsia="zh-CN"/>
              </w:rPr>
              <w:t>实验</w:t>
            </w:r>
            <w:r>
              <w:rPr>
                <w:rFonts w:hint="default" w:ascii="Times New Roman" w:hAnsi="Times New Roman" w:eastAsia="宋体" w:cs="Times New Roman"/>
                <w:color w:val="auto"/>
                <w:sz w:val="24"/>
                <w:highlight w:val="none"/>
                <w:lang w:val="en-US" w:eastAsia="zh-CN"/>
              </w:rPr>
              <w:t>耗材</w:t>
            </w:r>
            <w:r>
              <w:rPr>
                <w:rFonts w:hint="eastAsia" w:eastAsia="宋体" w:cs="Times New Roman"/>
                <w:color w:val="auto"/>
                <w:sz w:val="24"/>
                <w:highlight w:val="none"/>
                <w:lang w:val="en-US" w:eastAsia="zh-CN"/>
              </w:rPr>
              <w:t>0.05</w:t>
            </w:r>
            <w:r>
              <w:rPr>
                <w:rFonts w:hint="default" w:ascii="Times New Roman" w:hAnsi="Times New Roman" w:eastAsia="宋体" w:cs="Times New Roman"/>
                <w:color w:val="auto"/>
                <w:sz w:val="24"/>
                <w:highlight w:val="none"/>
                <w:lang w:val="en-US" w:eastAsia="zh-CN"/>
              </w:rPr>
              <w:t>t/a、</w:t>
            </w:r>
            <w:r>
              <w:rPr>
                <w:rFonts w:hint="eastAsia" w:cs="Times New Roman"/>
                <w:color w:val="auto"/>
                <w:sz w:val="24"/>
                <w:highlight w:val="none"/>
                <w:lang w:val="en-US" w:eastAsia="zh-CN"/>
              </w:rPr>
              <w:t>设备</w:t>
            </w:r>
            <w:r>
              <w:rPr>
                <w:rFonts w:hint="eastAsia" w:ascii="Times New Roman" w:hAnsi="Times New Roman" w:eastAsia="宋体" w:cs="Times New Roman"/>
                <w:color w:val="auto"/>
                <w:sz w:val="24"/>
                <w:highlight w:val="none"/>
                <w:lang w:val="en-US" w:eastAsia="zh-CN"/>
              </w:rPr>
              <w:t>容器清洗废液</w:t>
            </w:r>
            <w:r>
              <w:rPr>
                <w:rFonts w:hint="eastAsia" w:eastAsia="宋体" w:cs="Times New Roman"/>
                <w:color w:val="auto"/>
                <w:sz w:val="24"/>
                <w:highlight w:val="none"/>
                <w:lang w:val="en-US" w:eastAsia="zh-CN"/>
              </w:rPr>
              <w:t>0.</w:t>
            </w:r>
            <w:r>
              <w:rPr>
                <w:rFonts w:hint="eastAsia" w:cs="Times New Roman"/>
                <w:color w:val="auto"/>
                <w:sz w:val="24"/>
                <w:highlight w:val="none"/>
                <w:lang w:val="en-US" w:eastAsia="zh-CN"/>
              </w:rPr>
              <w:t>54</w:t>
            </w:r>
            <w:r>
              <w:rPr>
                <w:rFonts w:hint="default" w:ascii="Times New Roman" w:hAnsi="Times New Roman" w:eastAsia="宋体" w:cs="Times New Roman"/>
                <w:color w:val="auto"/>
                <w:sz w:val="24"/>
                <w:highlight w:val="none"/>
                <w:lang w:val="en-US" w:eastAsia="zh-CN"/>
              </w:rPr>
              <w:t>t/a</w:t>
            </w:r>
            <w:r>
              <w:rPr>
                <w:rFonts w:hint="eastAsia" w:cs="Times New Roman"/>
                <w:color w:val="auto"/>
                <w:sz w:val="24"/>
                <w:highlight w:val="none"/>
                <w:lang w:val="en-US" w:eastAsia="zh-CN"/>
              </w:rPr>
              <w:t>、废N-甲基吡咯烷酮0.05</w:t>
            </w:r>
            <w:r>
              <w:rPr>
                <w:rFonts w:hint="default" w:ascii="Times New Roman" w:hAnsi="Times New Roman" w:eastAsia="宋体" w:cs="Times New Roman"/>
                <w:color w:val="auto"/>
                <w:sz w:val="24"/>
                <w:highlight w:val="none"/>
                <w:lang w:val="en-US" w:eastAsia="zh-CN"/>
              </w:rPr>
              <w:t>t/a</w:t>
            </w:r>
            <w:r>
              <w:rPr>
                <w:rFonts w:hint="eastAsia" w:cs="Times New Roman"/>
                <w:color w:val="auto"/>
                <w:sz w:val="24"/>
                <w:highlight w:val="none"/>
                <w:lang w:val="en-US" w:eastAsia="zh-CN"/>
              </w:rPr>
              <w:t>（含冷凝的水的质量）、废活性炭0.1</w:t>
            </w:r>
            <w:r>
              <w:rPr>
                <w:rFonts w:hint="default" w:ascii="Times New Roman" w:hAnsi="Times New Roman" w:eastAsia="宋体" w:cs="Times New Roman"/>
                <w:color w:val="auto"/>
                <w:sz w:val="24"/>
                <w:highlight w:val="none"/>
                <w:lang w:val="en-US" w:eastAsia="zh-CN"/>
              </w:rPr>
              <w:t>t/a</w:t>
            </w:r>
            <w:r>
              <w:rPr>
                <w:rFonts w:hint="eastAsia" w:ascii="Times New Roman" w:hAnsi="Times New Roman" w:eastAsia="宋体" w:cs="Times New Roman"/>
                <w:color w:val="auto"/>
                <w:sz w:val="24"/>
                <w:highlight w:val="none"/>
                <w:lang w:val="en-US" w:eastAsia="zh-CN"/>
              </w:rPr>
              <w:t>、</w:t>
            </w:r>
            <w:r>
              <w:rPr>
                <w:rFonts w:hint="eastAsia" w:cs="Times New Roman"/>
                <w:color w:val="auto"/>
                <w:sz w:val="24"/>
                <w:highlight w:val="none"/>
                <w:lang w:val="en-US" w:eastAsia="zh-CN"/>
              </w:rPr>
              <w:t>废吸附剂0.1</w:t>
            </w:r>
            <w:r>
              <w:rPr>
                <w:rFonts w:hint="default" w:ascii="Times New Roman" w:hAnsi="Times New Roman" w:eastAsia="宋体" w:cs="Times New Roman"/>
                <w:color w:val="auto"/>
                <w:sz w:val="24"/>
                <w:highlight w:val="none"/>
                <w:lang w:val="en-US" w:eastAsia="zh-CN"/>
              </w:rPr>
              <w:t>t/a</w:t>
            </w:r>
            <w:r>
              <w:rPr>
                <w:rFonts w:hint="eastAsia" w:cs="Times New Roman"/>
                <w:color w:val="auto"/>
                <w:sz w:val="24"/>
                <w:highlight w:val="none"/>
                <w:lang w:val="en-US" w:eastAsia="zh-CN"/>
              </w:rPr>
              <w:t>、废润滑油0.1</w:t>
            </w:r>
            <w:r>
              <w:rPr>
                <w:rFonts w:hint="default" w:ascii="Times New Roman" w:hAnsi="Times New Roman" w:eastAsia="宋体" w:cs="Times New Roman"/>
                <w:color w:val="auto"/>
                <w:sz w:val="24"/>
                <w:highlight w:val="none"/>
                <w:lang w:val="en-US" w:eastAsia="zh-CN"/>
              </w:rPr>
              <w:t>t/a</w:t>
            </w:r>
            <w:r>
              <w:rPr>
                <w:rFonts w:hint="eastAsia" w:cs="Times New Roman"/>
                <w:color w:val="auto"/>
                <w:sz w:val="24"/>
                <w:highlight w:val="none"/>
                <w:lang w:val="en-US" w:eastAsia="zh-CN"/>
              </w:rPr>
              <w:t>、废油桶0.1</w:t>
            </w:r>
            <w:r>
              <w:rPr>
                <w:rFonts w:hint="default" w:ascii="Times New Roman" w:hAnsi="Times New Roman" w:eastAsia="宋体" w:cs="Times New Roman"/>
                <w:color w:val="auto"/>
                <w:sz w:val="24"/>
                <w:highlight w:val="none"/>
                <w:lang w:val="en-US" w:eastAsia="zh-CN"/>
              </w:rPr>
              <w:t>t/a。</w:t>
            </w:r>
          </w:p>
          <w:p w14:paraId="0E593A83">
            <w:pPr>
              <w:adjustRightInd w:val="0"/>
              <w:snapToGrid w:val="0"/>
              <w:spacing w:line="360" w:lineRule="auto"/>
              <w:ind w:firstLine="480" w:firstLineChars="200"/>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rPr>
              <w:t>本项目产生的</w:t>
            </w:r>
            <w:r>
              <w:rPr>
                <w:rFonts w:hint="default" w:ascii="Times New Roman" w:hAnsi="Times New Roman" w:eastAsia="宋体" w:cs="Times New Roman"/>
                <w:color w:val="auto"/>
                <w:sz w:val="24"/>
                <w:highlight w:val="none"/>
                <w:lang w:val="en-US" w:eastAsia="zh-CN"/>
              </w:rPr>
              <w:t>固体</w:t>
            </w:r>
            <w:r>
              <w:rPr>
                <w:rFonts w:hint="default" w:ascii="Times New Roman" w:hAnsi="Times New Roman" w:eastAsia="宋体" w:cs="Times New Roman"/>
                <w:color w:val="auto"/>
                <w:sz w:val="24"/>
                <w:highlight w:val="none"/>
              </w:rPr>
              <w:t>废物</w:t>
            </w:r>
            <w:r>
              <w:rPr>
                <w:rFonts w:hint="eastAsia" w:cs="Times New Roman"/>
                <w:color w:val="auto"/>
                <w:sz w:val="24"/>
                <w:highlight w:val="none"/>
                <w:lang w:val="en-US" w:eastAsia="zh-CN"/>
              </w:rPr>
              <w:t>具体情况</w:t>
            </w:r>
            <w:r>
              <w:rPr>
                <w:rFonts w:hint="default" w:ascii="Times New Roman" w:hAnsi="Times New Roman" w:eastAsia="宋体" w:cs="Times New Roman"/>
                <w:color w:val="auto"/>
                <w:sz w:val="24"/>
                <w:highlight w:val="none"/>
              </w:rPr>
              <w:t>见下表</w:t>
            </w:r>
            <w:r>
              <w:rPr>
                <w:rFonts w:hint="default" w:ascii="Times New Roman" w:hAnsi="Times New Roman" w:eastAsia="宋体" w:cs="Times New Roman"/>
                <w:color w:val="auto"/>
                <w:sz w:val="24"/>
                <w:highlight w:val="none"/>
                <w:lang w:eastAsia="zh-CN"/>
              </w:rPr>
              <w:t>。</w:t>
            </w:r>
          </w:p>
          <w:p w14:paraId="22B600AF">
            <w:pPr>
              <w:numPr>
                <w:ilvl w:val="0"/>
                <w:numId w:val="21"/>
              </w:numPr>
              <w:adjustRightInd w:val="0"/>
              <w:spacing w:line="360" w:lineRule="auto"/>
              <w:ind w:left="425" w:leftChars="0" w:hanging="425" w:firstLineChars="0"/>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项目</w:t>
            </w:r>
            <w:r>
              <w:rPr>
                <w:rFonts w:hint="default" w:ascii="Times New Roman" w:hAnsi="Times New Roman" w:eastAsia="宋体" w:cs="Times New Roman"/>
                <w:b/>
                <w:color w:val="auto"/>
                <w:sz w:val="24"/>
                <w:highlight w:val="none"/>
                <w:lang w:val="en-US" w:eastAsia="zh-CN"/>
              </w:rPr>
              <w:t>固体</w:t>
            </w:r>
            <w:r>
              <w:rPr>
                <w:rFonts w:hint="eastAsia" w:cs="Times New Roman"/>
                <w:b/>
                <w:color w:val="auto"/>
                <w:sz w:val="24"/>
                <w:highlight w:val="none"/>
                <w:lang w:val="en-US" w:eastAsia="zh-CN"/>
              </w:rPr>
              <w:t>废物</w:t>
            </w:r>
            <w:r>
              <w:rPr>
                <w:rFonts w:hint="default" w:ascii="Times New Roman" w:hAnsi="Times New Roman" w:eastAsia="宋体" w:cs="Times New Roman"/>
                <w:b/>
                <w:color w:val="auto"/>
                <w:sz w:val="24"/>
                <w:highlight w:val="none"/>
              </w:rPr>
              <w:t>产生情况一览表</w:t>
            </w:r>
          </w:p>
          <w:tbl>
            <w:tblPr>
              <w:tblStyle w:val="23"/>
              <w:tblW w:w="4989" w:type="pct"/>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557"/>
              <w:gridCol w:w="867"/>
              <w:gridCol w:w="734"/>
              <w:gridCol w:w="1086"/>
              <w:gridCol w:w="792"/>
              <w:gridCol w:w="840"/>
              <w:gridCol w:w="888"/>
              <w:gridCol w:w="816"/>
              <w:gridCol w:w="972"/>
            </w:tblGrid>
            <w:tr w14:paraId="7991915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20" w:hRule="atLeast"/>
                <w:jc w:val="center"/>
              </w:trPr>
              <w:tc>
                <w:tcPr>
                  <w:tcW w:w="368" w:type="pct"/>
                  <w:tcBorders>
                    <w:tl2br w:val="nil"/>
                    <w:tr2bl w:val="nil"/>
                  </w:tcBorders>
                  <w:vAlign w:val="center"/>
                </w:tcPr>
                <w:p w14:paraId="535EC5CD">
                  <w:pPr>
                    <w:spacing w:line="240" w:lineRule="auto"/>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序号</w:t>
                  </w:r>
                </w:p>
              </w:tc>
              <w:tc>
                <w:tcPr>
                  <w:tcW w:w="574" w:type="pct"/>
                  <w:tcBorders>
                    <w:tl2br w:val="nil"/>
                    <w:tr2bl w:val="nil"/>
                  </w:tcBorders>
                  <w:vAlign w:val="center"/>
                </w:tcPr>
                <w:p w14:paraId="29C9C4FA">
                  <w:pPr>
                    <w:spacing w:line="240" w:lineRule="auto"/>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名称</w:t>
                  </w:r>
                </w:p>
              </w:tc>
              <w:tc>
                <w:tcPr>
                  <w:tcW w:w="485" w:type="pct"/>
                  <w:tcBorders>
                    <w:tl2br w:val="nil"/>
                    <w:tr2bl w:val="nil"/>
                  </w:tcBorders>
                  <w:vAlign w:val="center"/>
                </w:tcPr>
                <w:p w14:paraId="0CA5341D">
                  <w:pPr>
                    <w:spacing w:line="240" w:lineRule="auto"/>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危险废物类别</w:t>
                  </w:r>
                </w:p>
              </w:tc>
              <w:tc>
                <w:tcPr>
                  <w:tcW w:w="719" w:type="pct"/>
                  <w:tcBorders>
                    <w:tl2br w:val="nil"/>
                    <w:tr2bl w:val="nil"/>
                  </w:tcBorders>
                  <w:vAlign w:val="center"/>
                </w:tcPr>
                <w:p w14:paraId="640231EB">
                  <w:pPr>
                    <w:spacing w:line="240" w:lineRule="auto"/>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lang w:val="en-US" w:eastAsia="zh-CN"/>
                    </w:rPr>
                    <w:t>固体</w:t>
                  </w:r>
                  <w:r>
                    <w:rPr>
                      <w:rFonts w:hint="default" w:ascii="Times New Roman" w:hAnsi="Times New Roman" w:eastAsia="宋体" w:cs="Times New Roman"/>
                      <w:b/>
                      <w:color w:val="auto"/>
                      <w:szCs w:val="21"/>
                      <w:highlight w:val="none"/>
                    </w:rPr>
                    <w:t>废物</w:t>
                  </w:r>
                </w:p>
                <w:p w14:paraId="2F9357DB">
                  <w:pPr>
                    <w:spacing w:line="240" w:lineRule="auto"/>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代码</w:t>
                  </w:r>
                </w:p>
              </w:tc>
              <w:tc>
                <w:tcPr>
                  <w:tcW w:w="524" w:type="pct"/>
                  <w:tcBorders>
                    <w:tl2br w:val="nil"/>
                    <w:tr2bl w:val="nil"/>
                  </w:tcBorders>
                  <w:vAlign w:val="center"/>
                </w:tcPr>
                <w:p w14:paraId="48DFF4C9">
                  <w:pPr>
                    <w:spacing w:line="240" w:lineRule="auto"/>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形态</w:t>
                  </w:r>
                </w:p>
              </w:tc>
              <w:tc>
                <w:tcPr>
                  <w:tcW w:w="556" w:type="pct"/>
                  <w:tcBorders>
                    <w:tl2br w:val="nil"/>
                    <w:tr2bl w:val="nil"/>
                  </w:tcBorders>
                  <w:vAlign w:val="center"/>
                </w:tcPr>
                <w:p w14:paraId="4F27DB7C">
                  <w:pPr>
                    <w:spacing w:line="240" w:lineRule="auto"/>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危险</w:t>
                  </w:r>
                </w:p>
                <w:p w14:paraId="624FD84C">
                  <w:pPr>
                    <w:spacing w:line="240" w:lineRule="auto"/>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特性</w:t>
                  </w:r>
                </w:p>
              </w:tc>
              <w:tc>
                <w:tcPr>
                  <w:tcW w:w="587" w:type="pct"/>
                  <w:tcBorders>
                    <w:tl2br w:val="nil"/>
                    <w:tr2bl w:val="nil"/>
                  </w:tcBorders>
                  <w:vAlign w:val="center"/>
                </w:tcPr>
                <w:p w14:paraId="5523F599">
                  <w:pPr>
                    <w:spacing w:line="240" w:lineRule="auto"/>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产生量</w:t>
                  </w:r>
                </w:p>
                <w:p w14:paraId="4619F67E">
                  <w:pPr>
                    <w:spacing w:line="240" w:lineRule="auto"/>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（吨/年）</w:t>
                  </w:r>
                </w:p>
              </w:tc>
              <w:tc>
                <w:tcPr>
                  <w:tcW w:w="540" w:type="pct"/>
                  <w:tcBorders>
                    <w:tl2br w:val="nil"/>
                    <w:tr2bl w:val="nil"/>
                  </w:tcBorders>
                  <w:vAlign w:val="center"/>
                </w:tcPr>
                <w:p w14:paraId="3D60FF9A">
                  <w:pPr>
                    <w:spacing w:line="240" w:lineRule="auto"/>
                    <w:jc w:val="center"/>
                    <w:rPr>
                      <w:rFonts w:hint="default" w:ascii="Times New Roman" w:hAnsi="Times New Roman" w:eastAsia="宋体" w:cs="Times New Roman"/>
                      <w:b/>
                      <w:color w:val="auto"/>
                      <w:szCs w:val="21"/>
                      <w:highlight w:val="none"/>
                      <w:lang w:val="en-US" w:eastAsia="zh-CN"/>
                    </w:rPr>
                  </w:pPr>
                  <w:r>
                    <w:rPr>
                      <w:rFonts w:hint="default" w:ascii="Times New Roman" w:hAnsi="Times New Roman" w:eastAsia="宋体" w:cs="Times New Roman"/>
                      <w:b/>
                      <w:color w:val="auto"/>
                      <w:szCs w:val="21"/>
                      <w:highlight w:val="none"/>
                      <w:lang w:val="en-US" w:eastAsia="zh-CN"/>
                    </w:rPr>
                    <w:t>产废</w:t>
                  </w:r>
                </w:p>
                <w:p w14:paraId="7680B3AF">
                  <w:pPr>
                    <w:spacing w:line="240" w:lineRule="auto"/>
                    <w:jc w:val="center"/>
                    <w:rPr>
                      <w:rFonts w:hint="default" w:ascii="Times New Roman" w:hAnsi="Times New Roman" w:eastAsia="宋体" w:cs="Times New Roman"/>
                      <w:b/>
                      <w:color w:val="auto"/>
                      <w:szCs w:val="21"/>
                      <w:highlight w:val="none"/>
                      <w:lang w:val="en-US" w:eastAsia="zh-CN"/>
                    </w:rPr>
                  </w:pPr>
                  <w:r>
                    <w:rPr>
                      <w:rFonts w:hint="default" w:ascii="Times New Roman" w:hAnsi="Times New Roman" w:eastAsia="宋体" w:cs="Times New Roman"/>
                      <w:b/>
                      <w:color w:val="auto"/>
                      <w:szCs w:val="21"/>
                      <w:highlight w:val="none"/>
                      <w:lang w:val="en-US" w:eastAsia="zh-CN"/>
                    </w:rPr>
                    <w:t>周期</w:t>
                  </w:r>
                </w:p>
              </w:tc>
              <w:tc>
                <w:tcPr>
                  <w:tcW w:w="643" w:type="pct"/>
                  <w:tcBorders>
                    <w:tl2br w:val="nil"/>
                    <w:tr2bl w:val="nil"/>
                  </w:tcBorders>
                  <w:vAlign w:val="center"/>
                </w:tcPr>
                <w:p w14:paraId="556CFF07">
                  <w:pPr>
                    <w:spacing w:line="240" w:lineRule="auto"/>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污染防治</w:t>
                  </w:r>
                </w:p>
                <w:p w14:paraId="60D0AF88">
                  <w:pPr>
                    <w:spacing w:line="240" w:lineRule="auto"/>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措施</w:t>
                  </w:r>
                </w:p>
              </w:tc>
            </w:tr>
            <w:tr w14:paraId="314BE3B6">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3" w:hRule="atLeast"/>
                <w:jc w:val="center"/>
              </w:trPr>
              <w:tc>
                <w:tcPr>
                  <w:tcW w:w="5000" w:type="pct"/>
                  <w:gridSpan w:val="9"/>
                  <w:tcBorders>
                    <w:tl2br w:val="nil"/>
                    <w:tr2bl w:val="nil"/>
                  </w:tcBorders>
                  <w:vAlign w:val="center"/>
                </w:tcPr>
                <w:p w14:paraId="669341F9">
                  <w:pPr>
                    <w:spacing w:line="240" w:lineRule="auto"/>
                    <w:jc w:val="center"/>
                    <w:rPr>
                      <w:rFonts w:hint="eastAsia" w:ascii="Times New Roman" w:hAnsi="Times New Roman" w:eastAsia="宋体" w:cs="Times New Roman"/>
                      <w:b/>
                      <w:color w:val="auto"/>
                      <w:szCs w:val="21"/>
                      <w:highlight w:val="none"/>
                      <w:lang w:val="en-US" w:eastAsia="zh-CN"/>
                    </w:rPr>
                  </w:pPr>
                  <w:r>
                    <w:rPr>
                      <w:rFonts w:hint="eastAsia" w:cs="Times New Roman"/>
                      <w:b w:val="0"/>
                      <w:bCs/>
                      <w:color w:val="auto"/>
                      <w:szCs w:val="21"/>
                      <w:highlight w:val="none"/>
                      <w:lang w:val="en-US" w:eastAsia="zh-CN"/>
                    </w:rPr>
                    <w:t>危险废物</w:t>
                  </w:r>
                </w:p>
              </w:tc>
            </w:tr>
            <w:tr w14:paraId="40B4E054">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3" w:hRule="atLeast"/>
                <w:jc w:val="center"/>
              </w:trPr>
              <w:tc>
                <w:tcPr>
                  <w:tcW w:w="368" w:type="pct"/>
                  <w:tcBorders>
                    <w:tl2br w:val="nil"/>
                    <w:tr2bl w:val="nil"/>
                  </w:tcBorders>
                  <w:vAlign w:val="center"/>
                </w:tcPr>
                <w:p w14:paraId="54859476">
                  <w:pPr>
                    <w:numPr>
                      <w:ilvl w:val="0"/>
                      <w:numId w:val="24"/>
                    </w:numPr>
                    <w:spacing w:line="240" w:lineRule="auto"/>
                    <w:ind w:left="210"/>
                    <w:jc w:val="center"/>
                    <w:rPr>
                      <w:rFonts w:hint="default" w:ascii="Times New Roman" w:hAnsi="Times New Roman" w:eastAsia="宋体" w:cs="Times New Roman"/>
                      <w:color w:val="auto"/>
                      <w:sz w:val="21"/>
                      <w:szCs w:val="21"/>
                      <w:highlight w:val="none"/>
                    </w:rPr>
                  </w:pPr>
                </w:p>
              </w:tc>
              <w:tc>
                <w:tcPr>
                  <w:tcW w:w="574" w:type="pct"/>
                  <w:tcBorders>
                    <w:tl2br w:val="nil"/>
                    <w:tr2bl w:val="nil"/>
                  </w:tcBorders>
                  <w:vAlign w:val="center"/>
                </w:tcPr>
                <w:p w14:paraId="72A3FFBA">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废试剂瓶</w:t>
                  </w:r>
                </w:p>
              </w:tc>
              <w:tc>
                <w:tcPr>
                  <w:tcW w:w="485" w:type="pct"/>
                  <w:tcBorders>
                    <w:tl2br w:val="nil"/>
                    <w:tr2bl w:val="nil"/>
                  </w:tcBorders>
                  <w:vAlign w:val="center"/>
                </w:tcPr>
                <w:p w14:paraId="0C98AB62">
                  <w:pPr>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HW49</w:t>
                  </w:r>
                </w:p>
              </w:tc>
              <w:tc>
                <w:tcPr>
                  <w:tcW w:w="719" w:type="pct"/>
                  <w:tcBorders>
                    <w:tl2br w:val="nil"/>
                    <w:tr2bl w:val="nil"/>
                  </w:tcBorders>
                  <w:vAlign w:val="center"/>
                </w:tcPr>
                <w:p w14:paraId="329B9D94">
                  <w:pPr>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900-04</w:t>
                  </w:r>
                  <w:r>
                    <w:rPr>
                      <w:rFonts w:hint="eastAsia"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lang w:val="en-US" w:eastAsia="zh-CN"/>
                    </w:rPr>
                    <w:t>-49</w:t>
                  </w:r>
                </w:p>
              </w:tc>
              <w:tc>
                <w:tcPr>
                  <w:tcW w:w="524" w:type="pct"/>
                  <w:tcBorders>
                    <w:tl2br w:val="nil"/>
                    <w:tr2bl w:val="nil"/>
                  </w:tcBorders>
                  <w:vAlign w:val="center"/>
                </w:tcPr>
                <w:p w14:paraId="27872E96">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固态</w:t>
                  </w:r>
                </w:p>
              </w:tc>
              <w:tc>
                <w:tcPr>
                  <w:tcW w:w="556" w:type="pct"/>
                  <w:tcBorders>
                    <w:tl2br w:val="nil"/>
                    <w:tr2bl w:val="nil"/>
                  </w:tcBorders>
                  <w:vAlign w:val="center"/>
                </w:tcPr>
                <w:p w14:paraId="1231E8B4">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T</w:t>
                  </w:r>
                </w:p>
              </w:tc>
              <w:tc>
                <w:tcPr>
                  <w:tcW w:w="587" w:type="pct"/>
                  <w:tcBorders>
                    <w:tl2br w:val="nil"/>
                    <w:tr2bl w:val="nil"/>
                  </w:tcBorders>
                  <w:vAlign w:val="center"/>
                </w:tcPr>
                <w:p w14:paraId="74D96488">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0.1</w:t>
                  </w:r>
                </w:p>
              </w:tc>
              <w:tc>
                <w:tcPr>
                  <w:tcW w:w="540" w:type="pct"/>
                  <w:tcBorders>
                    <w:tl2br w:val="nil"/>
                    <w:tr2bl w:val="nil"/>
                  </w:tcBorders>
                  <w:vAlign w:val="center"/>
                </w:tcPr>
                <w:p w14:paraId="687AB691">
                  <w:pPr>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每天</w:t>
                  </w:r>
                </w:p>
              </w:tc>
              <w:tc>
                <w:tcPr>
                  <w:tcW w:w="643" w:type="pct"/>
                  <w:vMerge w:val="restart"/>
                  <w:tcBorders>
                    <w:tl2br w:val="nil"/>
                    <w:tr2bl w:val="nil"/>
                  </w:tcBorders>
                  <w:vAlign w:val="center"/>
                </w:tcPr>
                <w:p w14:paraId="5BABEA8F">
                  <w:pPr>
                    <w:widowControl/>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统一收集后暂存于危险废物暂存间，定期交</w:t>
                  </w:r>
                  <w:r>
                    <w:rPr>
                      <w:rFonts w:hint="eastAsia" w:cs="Times New Roman"/>
                      <w:color w:val="auto"/>
                      <w:kern w:val="0"/>
                      <w:szCs w:val="21"/>
                      <w:highlight w:val="none"/>
                      <w:lang w:val="en-US" w:eastAsia="zh-CN" w:bidi="ar"/>
                    </w:rPr>
                    <w:t>资质单位</w:t>
                  </w:r>
                  <w:r>
                    <w:rPr>
                      <w:rFonts w:hint="default" w:ascii="Times New Roman" w:hAnsi="Times New Roman" w:eastAsia="宋体" w:cs="Times New Roman"/>
                      <w:color w:val="auto"/>
                      <w:sz w:val="21"/>
                      <w:szCs w:val="21"/>
                      <w:highlight w:val="none"/>
                    </w:rPr>
                    <w:t>处置。</w:t>
                  </w:r>
                </w:p>
              </w:tc>
            </w:tr>
            <w:tr w14:paraId="60E99D6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3" w:hRule="atLeast"/>
                <w:jc w:val="center"/>
              </w:trPr>
              <w:tc>
                <w:tcPr>
                  <w:tcW w:w="368" w:type="pct"/>
                  <w:tcBorders>
                    <w:tl2br w:val="nil"/>
                    <w:tr2bl w:val="nil"/>
                  </w:tcBorders>
                  <w:vAlign w:val="center"/>
                </w:tcPr>
                <w:p w14:paraId="117953F4">
                  <w:pPr>
                    <w:numPr>
                      <w:ilvl w:val="0"/>
                      <w:numId w:val="24"/>
                    </w:numPr>
                    <w:spacing w:line="240" w:lineRule="auto"/>
                    <w:ind w:left="210"/>
                    <w:jc w:val="center"/>
                    <w:rPr>
                      <w:rFonts w:hint="default" w:ascii="Times New Roman" w:hAnsi="Times New Roman" w:eastAsia="宋体" w:cs="Times New Roman"/>
                      <w:color w:val="auto"/>
                      <w:sz w:val="21"/>
                      <w:szCs w:val="21"/>
                      <w:highlight w:val="none"/>
                    </w:rPr>
                  </w:pPr>
                </w:p>
              </w:tc>
              <w:tc>
                <w:tcPr>
                  <w:tcW w:w="574" w:type="pct"/>
                  <w:tcBorders>
                    <w:tl2br w:val="nil"/>
                    <w:tr2bl w:val="nil"/>
                  </w:tcBorders>
                  <w:vAlign w:val="center"/>
                </w:tcPr>
                <w:p w14:paraId="44E1504B">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废一次性实验耗材</w:t>
                  </w:r>
                </w:p>
              </w:tc>
              <w:tc>
                <w:tcPr>
                  <w:tcW w:w="485" w:type="pct"/>
                  <w:tcBorders>
                    <w:tl2br w:val="nil"/>
                    <w:tr2bl w:val="nil"/>
                  </w:tcBorders>
                  <w:vAlign w:val="center"/>
                </w:tcPr>
                <w:p w14:paraId="3EB5865A">
                  <w:pPr>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HW49</w:t>
                  </w:r>
                </w:p>
              </w:tc>
              <w:tc>
                <w:tcPr>
                  <w:tcW w:w="719" w:type="pct"/>
                  <w:tcBorders>
                    <w:tl2br w:val="nil"/>
                    <w:tr2bl w:val="nil"/>
                  </w:tcBorders>
                  <w:vAlign w:val="center"/>
                </w:tcPr>
                <w:p w14:paraId="4C3FC48E">
                  <w:pPr>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900-04</w:t>
                  </w:r>
                  <w:r>
                    <w:rPr>
                      <w:rFonts w:hint="eastAsia"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lang w:val="en-US" w:eastAsia="zh-CN"/>
                    </w:rPr>
                    <w:t>-49</w:t>
                  </w:r>
                </w:p>
              </w:tc>
              <w:tc>
                <w:tcPr>
                  <w:tcW w:w="524" w:type="pct"/>
                  <w:tcBorders>
                    <w:tl2br w:val="nil"/>
                    <w:tr2bl w:val="nil"/>
                  </w:tcBorders>
                  <w:vAlign w:val="center"/>
                </w:tcPr>
                <w:p w14:paraId="4EDF78A5">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固</w:t>
                  </w:r>
                  <w:r>
                    <w:rPr>
                      <w:rFonts w:hint="default" w:ascii="Times New Roman" w:hAnsi="Times New Roman" w:eastAsia="宋体" w:cs="Times New Roman"/>
                      <w:color w:val="auto"/>
                      <w:sz w:val="21"/>
                      <w:szCs w:val="21"/>
                      <w:highlight w:val="none"/>
                      <w:lang w:val="en-US" w:eastAsia="zh-CN"/>
                    </w:rPr>
                    <w:t>态</w:t>
                  </w:r>
                </w:p>
              </w:tc>
              <w:tc>
                <w:tcPr>
                  <w:tcW w:w="556" w:type="pct"/>
                  <w:tcBorders>
                    <w:tl2br w:val="nil"/>
                    <w:tr2bl w:val="nil"/>
                  </w:tcBorders>
                  <w:vAlign w:val="center"/>
                </w:tcPr>
                <w:p w14:paraId="7BCE86E2">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T</w:t>
                  </w:r>
                </w:p>
              </w:tc>
              <w:tc>
                <w:tcPr>
                  <w:tcW w:w="587" w:type="pct"/>
                  <w:tcBorders>
                    <w:tl2br w:val="nil"/>
                    <w:tr2bl w:val="nil"/>
                  </w:tcBorders>
                  <w:vAlign w:val="center"/>
                </w:tcPr>
                <w:p w14:paraId="335570EC">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0.05</w:t>
                  </w:r>
                </w:p>
              </w:tc>
              <w:tc>
                <w:tcPr>
                  <w:tcW w:w="540" w:type="pct"/>
                  <w:tcBorders>
                    <w:tl2br w:val="nil"/>
                    <w:tr2bl w:val="nil"/>
                  </w:tcBorders>
                  <w:vAlign w:val="center"/>
                </w:tcPr>
                <w:p w14:paraId="1E45FC35">
                  <w:pPr>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每天</w:t>
                  </w:r>
                </w:p>
              </w:tc>
              <w:tc>
                <w:tcPr>
                  <w:tcW w:w="643" w:type="pct"/>
                  <w:vMerge w:val="continue"/>
                  <w:tcBorders>
                    <w:tl2br w:val="nil"/>
                    <w:tr2bl w:val="nil"/>
                  </w:tcBorders>
                  <w:vAlign w:val="center"/>
                </w:tcPr>
                <w:p w14:paraId="650A1FA8">
                  <w:pPr>
                    <w:widowControl/>
                    <w:spacing w:line="240" w:lineRule="auto"/>
                    <w:jc w:val="center"/>
                    <w:rPr>
                      <w:rFonts w:hint="default" w:ascii="Times New Roman" w:hAnsi="Times New Roman" w:eastAsia="宋体" w:cs="Times New Roman"/>
                      <w:color w:val="auto"/>
                      <w:sz w:val="21"/>
                      <w:szCs w:val="21"/>
                      <w:highlight w:val="none"/>
                    </w:rPr>
                  </w:pPr>
                </w:p>
              </w:tc>
            </w:tr>
            <w:tr w14:paraId="5D8249D9">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00" w:hRule="atLeast"/>
                <w:jc w:val="center"/>
              </w:trPr>
              <w:tc>
                <w:tcPr>
                  <w:tcW w:w="368" w:type="pct"/>
                  <w:tcBorders>
                    <w:tl2br w:val="nil"/>
                    <w:tr2bl w:val="nil"/>
                  </w:tcBorders>
                  <w:vAlign w:val="center"/>
                </w:tcPr>
                <w:p w14:paraId="13BBFCD1">
                  <w:pPr>
                    <w:numPr>
                      <w:ilvl w:val="0"/>
                      <w:numId w:val="24"/>
                    </w:numPr>
                    <w:spacing w:line="240" w:lineRule="auto"/>
                    <w:ind w:left="210"/>
                    <w:jc w:val="center"/>
                    <w:rPr>
                      <w:rFonts w:hint="default" w:ascii="Times New Roman" w:hAnsi="Times New Roman" w:eastAsia="宋体" w:cs="Times New Roman"/>
                      <w:color w:val="auto"/>
                      <w:sz w:val="21"/>
                      <w:szCs w:val="21"/>
                      <w:highlight w:val="none"/>
                    </w:rPr>
                  </w:pPr>
                </w:p>
              </w:tc>
              <w:tc>
                <w:tcPr>
                  <w:tcW w:w="574" w:type="pct"/>
                  <w:tcBorders>
                    <w:tl2br w:val="nil"/>
                    <w:tr2bl w:val="nil"/>
                  </w:tcBorders>
                  <w:vAlign w:val="center"/>
                </w:tcPr>
                <w:p w14:paraId="5874AA0B">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清洗废液</w:t>
                  </w:r>
                </w:p>
              </w:tc>
              <w:tc>
                <w:tcPr>
                  <w:tcW w:w="485" w:type="pct"/>
                  <w:tcBorders>
                    <w:tl2br w:val="nil"/>
                    <w:tr2bl w:val="nil"/>
                  </w:tcBorders>
                  <w:vAlign w:val="center"/>
                </w:tcPr>
                <w:p w14:paraId="0B2BCF19">
                  <w:pPr>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HW49</w:t>
                  </w:r>
                </w:p>
              </w:tc>
              <w:tc>
                <w:tcPr>
                  <w:tcW w:w="719" w:type="pct"/>
                  <w:tcBorders>
                    <w:tl2br w:val="nil"/>
                    <w:tr2bl w:val="nil"/>
                  </w:tcBorders>
                  <w:vAlign w:val="center"/>
                </w:tcPr>
                <w:p w14:paraId="1A8C5BCE">
                  <w:pPr>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900-04</w:t>
                  </w:r>
                  <w:r>
                    <w:rPr>
                      <w:rFonts w:hint="eastAsia" w:cs="Times New Roman"/>
                      <w:color w:val="auto"/>
                      <w:sz w:val="21"/>
                      <w:szCs w:val="21"/>
                      <w:highlight w:val="none"/>
                      <w:lang w:val="en-US" w:eastAsia="zh-CN"/>
                    </w:rPr>
                    <w:t>7</w:t>
                  </w:r>
                  <w:r>
                    <w:rPr>
                      <w:rFonts w:hint="default" w:ascii="Times New Roman" w:hAnsi="Times New Roman" w:eastAsia="宋体" w:cs="Times New Roman"/>
                      <w:color w:val="auto"/>
                      <w:sz w:val="21"/>
                      <w:szCs w:val="21"/>
                      <w:highlight w:val="none"/>
                      <w:lang w:val="en-US" w:eastAsia="zh-CN"/>
                    </w:rPr>
                    <w:t>-49</w:t>
                  </w:r>
                </w:p>
              </w:tc>
              <w:tc>
                <w:tcPr>
                  <w:tcW w:w="524" w:type="pct"/>
                  <w:tcBorders>
                    <w:tl2br w:val="nil"/>
                    <w:tr2bl w:val="nil"/>
                  </w:tcBorders>
                  <w:shd w:val="clear" w:color="auto" w:fill="auto"/>
                  <w:vAlign w:val="center"/>
                </w:tcPr>
                <w:p w14:paraId="654A4D27">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液</w:t>
                  </w:r>
                  <w:r>
                    <w:rPr>
                      <w:rFonts w:hint="default" w:ascii="Times New Roman" w:hAnsi="Times New Roman" w:eastAsia="宋体" w:cs="Times New Roman"/>
                      <w:color w:val="auto"/>
                      <w:sz w:val="21"/>
                      <w:szCs w:val="21"/>
                      <w:highlight w:val="none"/>
                      <w:lang w:val="en-US" w:eastAsia="zh-CN"/>
                    </w:rPr>
                    <w:t>态</w:t>
                  </w:r>
                </w:p>
              </w:tc>
              <w:tc>
                <w:tcPr>
                  <w:tcW w:w="556" w:type="pct"/>
                  <w:tcBorders>
                    <w:tl2br w:val="nil"/>
                    <w:tr2bl w:val="nil"/>
                  </w:tcBorders>
                  <w:vAlign w:val="center"/>
                </w:tcPr>
                <w:p w14:paraId="7F91D9BF">
                  <w:pPr>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T</w:t>
                  </w:r>
                </w:p>
              </w:tc>
              <w:tc>
                <w:tcPr>
                  <w:tcW w:w="587" w:type="pct"/>
                  <w:tcBorders>
                    <w:tl2br w:val="nil"/>
                    <w:tr2bl w:val="nil"/>
                  </w:tcBorders>
                  <w:vAlign w:val="center"/>
                </w:tcPr>
                <w:p w14:paraId="7DAD4F2D">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0.54</w:t>
                  </w:r>
                </w:p>
              </w:tc>
              <w:tc>
                <w:tcPr>
                  <w:tcW w:w="540" w:type="pct"/>
                  <w:tcBorders>
                    <w:tl2br w:val="nil"/>
                    <w:tr2bl w:val="nil"/>
                  </w:tcBorders>
                  <w:vAlign w:val="center"/>
                </w:tcPr>
                <w:p w14:paraId="61BA719E">
                  <w:pPr>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每天</w:t>
                  </w:r>
                </w:p>
              </w:tc>
              <w:tc>
                <w:tcPr>
                  <w:tcW w:w="643" w:type="pct"/>
                  <w:vMerge w:val="continue"/>
                  <w:tcBorders>
                    <w:tl2br w:val="nil"/>
                    <w:tr2bl w:val="nil"/>
                  </w:tcBorders>
                  <w:vAlign w:val="center"/>
                </w:tcPr>
                <w:p w14:paraId="1E383CE8">
                  <w:pPr>
                    <w:widowControl/>
                    <w:spacing w:line="240" w:lineRule="auto"/>
                    <w:jc w:val="center"/>
                    <w:rPr>
                      <w:rFonts w:hint="default" w:ascii="Times New Roman" w:hAnsi="Times New Roman" w:eastAsia="宋体" w:cs="Times New Roman"/>
                      <w:color w:val="auto"/>
                      <w:sz w:val="21"/>
                      <w:szCs w:val="21"/>
                      <w:highlight w:val="none"/>
                    </w:rPr>
                  </w:pPr>
                </w:p>
              </w:tc>
            </w:tr>
            <w:tr w14:paraId="1304BA76">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9" w:hRule="atLeast"/>
                <w:jc w:val="center"/>
              </w:trPr>
              <w:tc>
                <w:tcPr>
                  <w:tcW w:w="368" w:type="pct"/>
                  <w:tcBorders>
                    <w:tl2br w:val="nil"/>
                    <w:tr2bl w:val="nil"/>
                  </w:tcBorders>
                  <w:vAlign w:val="center"/>
                </w:tcPr>
                <w:p w14:paraId="2CE104C7">
                  <w:pPr>
                    <w:numPr>
                      <w:ilvl w:val="0"/>
                      <w:numId w:val="24"/>
                    </w:numPr>
                    <w:spacing w:line="240" w:lineRule="auto"/>
                    <w:ind w:left="210"/>
                    <w:jc w:val="center"/>
                    <w:rPr>
                      <w:rFonts w:hint="default" w:ascii="Times New Roman" w:hAnsi="Times New Roman" w:eastAsia="宋体" w:cs="Times New Roman"/>
                      <w:color w:val="auto"/>
                      <w:sz w:val="21"/>
                      <w:szCs w:val="21"/>
                      <w:highlight w:val="none"/>
                    </w:rPr>
                  </w:pPr>
                </w:p>
              </w:tc>
              <w:tc>
                <w:tcPr>
                  <w:tcW w:w="574" w:type="pct"/>
                  <w:tcBorders>
                    <w:tl2br w:val="nil"/>
                    <w:tr2bl w:val="nil"/>
                  </w:tcBorders>
                  <w:vAlign w:val="center"/>
                </w:tcPr>
                <w:p w14:paraId="11A1E989">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4"/>
                      <w:highlight w:val="none"/>
                      <w:lang w:val="en-US" w:eastAsia="zh-CN"/>
                    </w:rPr>
                    <w:t>废N-甲基吡咯烷酮</w:t>
                  </w:r>
                </w:p>
              </w:tc>
              <w:tc>
                <w:tcPr>
                  <w:tcW w:w="485" w:type="pct"/>
                  <w:tcBorders>
                    <w:tl2br w:val="nil"/>
                    <w:tr2bl w:val="nil"/>
                  </w:tcBorders>
                  <w:vAlign w:val="center"/>
                </w:tcPr>
                <w:p w14:paraId="1A8A74EF">
                  <w:pPr>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HW49</w:t>
                  </w:r>
                </w:p>
              </w:tc>
              <w:tc>
                <w:tcPr>
                  <w:tcW w:w="719" w:type="pct"/>
                  <w:tcBorders>
                    <w:tl2br w:val="nil"/>
                    <w:tr2bl w:val="nil"/>
                  </w:tcBorders>
                  <w:vAlign w:val="center"/>
                </w:tcPr>
                <w:p w14:paraId="5DE5A0C1">
                  <w:pPr>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900-047-49</w:t>
                  </w:r>
                </w:p>
              </w:tc>
              <w:tc>
                <w:tcPr>
                  <w:tcW w:w="524" w:type="pct"/>
                  <w:tcBorders>
                    <w:tl2br w:val="nil"/>
                    <w:tr2bl w:val="nil"/>
                  </w:tcBorders>
                  <w:shd w:val="clear" w:color="auto" w:fill="auto"/>
                  <w:vAlign w:val="center"/>
                </w:tcPr>
                <w:p w14:paraId="42EC17C5">
                  <w:pPr>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液态</w:t>
                  </w:r>
                </w:p>
              </w:tc>
              <w:tc>
                <w:tcPr>
                  <w:tcW w:w="556" w:type="pct"/>
                  <w:tcBorders>
                    <w:tl2br w:val="nil"/>
                    <w:tr2bl w:val="nil"/>
                  </w:tcBorders>
                  <w:vAlign w:val="center"/>
                </w:tcPr>
                <w:p w14:paraId="26790EB0">
                  <w:pPr>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T</w:t>
                  </w:r>
                </w:p>
              </w:tc>
              <w:tc>
                <w:tcPr>
                  <w:tcW w:w="587" w:type="pct"/>
                  <w:tcBorders>
                    <w:tl2br w:val="nil"/>
                    <w:tr2bl w:val="nil"/>
                  </w:tcBorders>
                  <w:vAlign w:val="center"/>
                </w:tcPr>
                <w:p w14:paraId="221C280C">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0.05</w:t>
                  </w:r>
                </w:p>
              </w:tc>
              <w:tc>
                <w:tcPr>
                  <w:tcW w:w="540" w:type="pct"/>
                  <w:tcBorders>
                    <w:tl2br w:val="nil"/>
                    <w:tr2bl w:val="nil"/>
                  </w:tcBorders>
                  <w:vAlign w:val="center"/>
                </w:tcPr>
                <w:p w14:paraId="708E4455">
                  <w:pPr>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每天</w:t>
                  </w:r>
                </w:p>
              </w:tc>
              <w:tc>
                <w:tcPr>
                  <w:tcW w:w="643" w:type="pct"/>
                  <w:vMerge w:val="continue"/>
                  <w:tcBorders>
                    <w:tl2br w:val="nil"/>
                    <w:tr2bl w:val="nil"/>
                  </w:tcBorders>
                  <w:vAlign w:val="center"/>
                </w:tcPr>
                <w:p w14:paraId="31AEB7EF">
                  <w:pPr>
                    <w:widowControl/>
                    <w:spacing w:line="240" w:lineRule="auto"/>
                    <w:jc w:val="center"/>
                    <w:rPr>
                      <w:rFonts w:hint="default" w:ascii="Times New Roman" w:hAnsi="Times New Roman" w:eastAsia="宋体" w:cs="Times New Roman"/>
                      <w:color w:val="auto"/>
                      <w:sz w:val="21"/>
                      <w:szCs w:val="21"/>
                      <w:highlight w:val="none"/>
                    </w:rPr>
                  </w:pPr>
                </w:p>
              </w:tc>
            </w:tr>
            <w:tr w14:paraId="50F6D369">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40" w:hRule="atLeast"/>
                <w:jc w:val="center"/>
              </w:trPr>
              <w:tc>
                <w:tcPr>
                  <w:tcW w:w="368" w:type="pct"/>
                  <w:tcBorders>
                    <w:tl2br w:val="nil"/>
                    <w:tr2bl w:val="nil"/>
                  </w:tcBorders>
                  <w:vAlign w:val="center"/>
                </w:tcPr>
                <w:p w14:paraId="49C5ADE8">
                  <w:pPr>
                    <w:numPr>
                      <w:ilvl w:val="0"/>
                      <w:numId w:val="24"/>
                    </w:numPr>
                    <w:spacing w:line="240" w:lineRule="auto"/>
                    <w:ind w:left="210"/>
                    <w:jc w:val="center"/>
                    <w:rPr>
                      <w:rFonts w:hint="default" w:ascii="Times New Roman" w:hAnsi="Times New Roman" w:eastAsia="宋体" w:cs="Times New Roman"/>
                      <w:color w:val="auto"/>
                      <w:sz w:val="21"/>
                      <w:szCs w:val="21"/>
                      <w:highlight w:val="none"/>
                    </w:rPr>
                  </w:pPr>
                </w:p>
              </w:tc>
              <w:tc>
                <w:tcPr>
                  <w:tcW w:w="574" w:type="pct"/>
                  <w:tcBorders>
                    <w:tl2br w:val="nil"/>
                    <w:tr2bl w:val="nil"/>
                  </w:tcBorders>
                  <w:vAlign w:val="center"/>
                </w:tcPr>
                <w:p w14:paraId="511CB5C8">
                  <w:pPr>
                    <w:spacing w:line="240" w:lineRule="auto"/>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废活性炭</w:t>
                  </w:r>
                </w:p>
              </w:tc>
              <w:tc>
                <w:tcPr>
                  <w:tcW w:w="485" w:type="pct"/>
                  <w:tcBorders>
                    <w:tl2br w:val="nil"/>
                    <w:tr2bl w:val="nil"/>
                  </w:tcBorders>
                  <w:shd w:val="clear" w:color="auto" w:fill="auto"/>
                  <w:vAlign w:val="center"/>
                </w:tcPr>
                <w:p w14:paraId="2923F334">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HW49</w:t>
                  </w:r>
                </w:p>
              </w:tc>
              <w:tc>
                <w:tcPr>
                  <w:tcW w:w="719" w:type="pct"/>
                  <w:tcBorders>
                    <w:tl2br w:val="nil"/>
                    <w:tr2bl w:val="nil"/>
                  </w:tcBorders>
                  <w:shd w:val="clear" w:color="auto" w:fill="auto"/>
                  <w:vAlign w:val="center"/>
                </w:tcPr>
                <w:p w14:paraId="29AF9C2D">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900-0</w:t>
                  </w:r>
                  <w:r>
                    <w:rPr>
                      <w:rFonts w:hint="eastAsia" w:cs="Times New Roman"/>
                      <w:color w:val="auto"/>
                      <w:sz w:val="21"/>
                      <w:szCs w:val="21"/>
                      <w:highlight w:val="none"/>
                      <w:lang w:val="en-US" w:eastAsia="zh-CN"/>
                    </w:rPr>
                    <w:t>39</w:t>
                  </w:r>
                  <w:r>
                    <w:rPr>
                      <w:rFonts w:hint="default" w:ascii="Times New Roman" w:hAnsi="Times New Roman" w:eastAsia="宋体" w:cs="Times New Roman"/>
                      <w:color w:val="auto"/>
                      <w:sz w:val="21"/>
                      <w:szCs w:val="21"/>
                      <w:highlight w:val="none"/>
                      <w:lang w:val="en-US" w:eastAsia="zh-CN"/>
                    </w:rPr>
                    <w:t>49</w:t>
                  </w:r>
                </w:p>
              </w:tc>
              <w:tc>
                <w:tcPr>
                  <w:tcW w:w="524" w:type="pct"/>
                  <w:tcBorders>
                    <w:tl2br w:val="nil"/>
                    <w:tr2bl w:val="nil"/>
                  </w:tcBorders>
                  <w:shd w:val="clear" w:color="auto" w:fill="auto"/>
                  <w:vAlign w:val="center"/>
                </w:tcPr>
                <w:p w14:paraId="557E41BB">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固态</w:t>
                  </w:r>
                </w:p>
              </w:tc>
              <w:tc>
                <w:tcPr>
                  <w:tcW w:w="556" w:type="pct"/>
                  <w:tcBorders>
                    <w:tl2br w:val="nil"/>
                    <w:tr2bl w:val="nil"/>
                  </w:tcBorders>
                  <w:shd w:val="clear" w:color="auto" w:fill="auto"/>
                  <w:vAlign w:val="center"/>
                </w:tcPr>
                <w:p w14:paraId="2DD41B05">
                  <w:pPr>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T</w:t>
                  </w:r>
                </w:p>
              </w:tc>
              <w:tc>
                <w:tcPr>
                  <w:tcW w:w="587" w:type="pct"/>
                  <w:tcBorders>
                    <w:tl2br w:val="nil"/>
                    <w:tr2bl w:val="nil"/>
                  </w:tcBorders>
                  <w:shd w:val="clear" w:color="auto" w:fill="auto"/>
                  <w:vAlign w:val="center"/>
                </w:tcPr>
                <w:p w14:paraId="132B2B6B">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0.1</w:t>
                  </w:r>
                </w:p>
              </w:tc>
              <w:tc>
                <w:tcPr>
                  <w:tcW w:w="540" w:type="pct"/>
                  <w:tcBorders>
                    <w:tl2br w:val="nil"/>
                    <w:tr2bl w:val="nil"/>
                  </w:tcBorders>
                  <w:shd w:val="clear" w:color="auto" w:fill="auto"/>
                  <w:vAlign w:val="center"/>
                </w:tcPr>
                <w:p w14:paraId="75B0A56C">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每</w:t>
                  </w:r>
                  <w:r>
                    <w:rPr>
                      <w:rFonts w:hint="eastAsia" w:cs="Times New Roman"/>
                      <w:color w:val="auto"/>
                      <w:sz w:val="21"/>
                      <w:szCs w:val="21"/>
                      <w:highlight w:val="none"/>
                      <w:lang w:val="en-US" w:eastAsia="zh-CN"/>
                    </w:rPr>
                    <w:t>半年</w:t>
                  </w:r>
                </w:p>
              </w:tc>
              <w:tc>
                <w:tcPr>
                  <w:tcW w:w="643" w:type="pct"/>
                  <w:vMerge w:val="continue"/>
                  <w:tcBorders>
                    <w:tl2br w:val="nil"/>
                    <w:tr2bl w:val="nil"/>
                  </w:tcBorders>
                  <w:vAlign w:val="center"/>
                </w:tcPr>
                <w:p w14:paraId="34127B06">
                  <w:pPr>
                    <w:widowControl/>
                    <w:spacing w:line="240" w:lineRule="auto"/>
                    <w:jc w:val="center"/>
                    <w:rPr>
                      <w:rFonts w:hint="default" w:ascii="Times New Roman" w:hAnsi="Times New Roman" w:eastAsia="宋体" w:cs="Times New Roman"/>
                      <w:color w:val="auto"/>
                      <w:sz w:val="21"/>
                      <w:szCs w:val="21"/>
                      <w:highlight w:val="none"/>
                    </w:rPr>
                  </w:pPr>
                </w:p>
              </w:tc>
            </w:tr>
            <w:tr w14:paraId="422D7ED5">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40" w:hRule="atLeast"/>
                <w:jc w:val="center"/>
              </w:trPr>
              <w:tc>
                <w:tcPr>
                  <w:tcW w:w="368" w:type="pct"/>
                  <w:tcBorders>
                    <w:tl2br w:val="nil"/>
                    <w:tr2bl w:val="nil"/>
                  </w:tcBorders>
                  <w:vAlign w:val="center"/>
                </w:tcPr>
                <w:p w14:paraId="47D922E7">
                  <w:pPr>
                    <w:numPr>
                      <w:ilvl w:val="0"/>
                      <w:numId w:val="24"/>
                    </w:numPr>
                    <w:spacing w:line="240" w:lineRule="auto"/>
                    <w:ind w:left="210"/>
                    <w:jc w:val="center"/>
                    <w:rPr>
                      <w:rFonts w:hint="default" w:ascii="Times New Roman" w:hAnsi="Times New Roman" w:eastAsia="宋体" w:cs="Times New Roman"/>
                      <w:color w:val="auto"/>
                      <w:sz w:val="21"/>
                      <w:szCs w:val="21"/>
                      <w:highlight w:val="none"/>
                    </w:rPr>
                  </w:pPr>
                </w:p>
              </w:tc>
              <w:tc>
                <w:tcPr>
                  <w:tcW w:w="574" w:type="pct"/>
                  <w:tcBorders>
                    <w:tl2br w:val="nil"/>
                    <w:tr2bl w:val="nil"/>
                  </w:tcBorders>
                  <w:vAlign w:val="center"/>
                </w:tcPr>
                <w:p w14:paraId="193DA581">
                  <w:pPr>
                    <w:spacing w:line="240" w:lineRule="auto"/>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废吸附剂</w:t>
                  </w:r>
                </w:p>
              </w:tc>
              <w:tc>
                <w:tcPr>
                  <w:tcW w:w="485" w:type="pct"/>
                  <w:tcBorders>
                    <w:tl2br w:val="nil"/>
                    <w:tr2bl w:val="nil"/>
                  </w:tcBorders>
                  <w:shd w:val="clear" w:color="auto" w:fill="auto"/>
                  <w:vAlign w:val="center"/>
                </w:tcPr>
                <w:p w14:paraId="24EF69AF">
                  <w:pPr>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HW49</w:t>
                  </w:r>
                </w:p>
              </w:tc>
              <w:tc>
                <w:tcPr>
                  <w:tcW w:w="719" w:type="pct"/>
                  <w:tcBorders>
                    <w:tl2br w:val="nil"/>
                    <w:tr2bl w:val="nil"/>
                  </w:tcBorders>
                  <w:shd w:val="clear" w:color="auto" w:fill="auto"/>
                  <w:vAlign w:val="center"/>
                </w:tcPr>
                <w:p w14:paraId="31AB3923">
                  <w:pPr>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900-0</w:t>
                  </w:r>
                  <w:r>
                    <w:rPr>
                      <w:rFonts w:hint="eastAsia" w:cs="Times New Roman"/>
                      <w:color w:val="auto"/>
                      <w:sz w:val="21"/>
                      <w:szCs w:val="21"/>
                      <w:highlight w:val="none"/>
                      <w:lang w:val="en-US" w:eastAsia="zh-CN"/>
                    </w:rPr>
                    <w:t>39</w:t>
                  </w:r>
                  <w:r>
                    <w:rPr>
                      <w:rFonts w:hint="default" w:ascii="Times New Roman" w:hAnsi="Times New Roman" w:eastAsia="宋体" w:cs="Times New Roman"/>
                      <w:color w:val="auto"/>
                      <w:sz w:val="21"/>
                      <w:szCs w:val="21"/>
                      <w:highlight w:val="none"/>
                      <w:lang w:val="en-US" w:eastAsia="zh-CN"/>
                    </w:rPr>
                    <w:t>- 49</w:t>
                  </w:r>
                </w:p>
              </w:tc>
              <w:tc>
                <w:tcPr>
                  <w:tcW w:w="524" w:type="pct"/>
                  <w:tcBorders>
                    <w:tl2br w:val="nil"/>
                    <w:tr2bl w:val="nil"/>
                  </w:tcBorders>
                  <w:shd w:val="clear" w:color="auto" w:fill="auto"/>
                  <w:vAlign w:val="center"/>
                </w:tcPr>
                <w:p w14:paraId="4FA75764">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固</w:t>
                  </w:r>
                  <w:r>
                    <w:rPr>
                      <w:rFonts w:hint="default" w:ascii="Times New Roman" w:hAnsi="Times New Roman" w:eastAsia="宋体" w:cs="Times New Roman"/>
                      <w:color w:val="auto"/>
                      <w:sz w:val="21"/>
                      <w:szCs w:val="21"/>
                      <w:highlight w:val="none"/>
                      <w:lang w:val="en-US" w:eastAsia="zh-CN"/>
                    </w:rPr>
                    <w:t>态</w:t>
                  </w:r>
                </w:p>
              </w:tc>
              <w:tc>
                <w:tcPr>
                  <w:tcW w:w="556" w:type="pct"/>
                  <w:tcBorders>
                    <w:tl2br w:val="nil"/>
                    <w:tr2bl w:val="nil"/>
                  </w:tcBorders>
                  <w:shd w:val="clear" w:color="auto" w:fill="auto"/>
                  <w:vAlign w:val="center"/>
                </w:tcPr>
                <w:p w14:paraId="667A165E">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T</w:t>
                  </w:r>
                </w:p>
              </w:tc>
              <w:tc>
                <w:tcPr>
                  <w:tcW w:w="587" w:type="pct"/>
                  <w:tcBorders>
                    <w:tl2br w:val="nil"/>
                    <w:tr2bl w:val="nil"/>
                  </w:tcBorders>
                  <w:shd w:val="clear" w:color="auto" w:fill="auto"/>
                  <w:vAlign w:val="center"/>
                </w:tcPr>
                <w:p w14:paraId="5C55DFAB">
                  <w:pPr>
                    <w:spacing w:line="240" w:lineRule="auto"/>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0.1</w:t>
                  </w:r>
                </w:p>
              </w:tc>
              <w:tc>
                <w:tcPr>
                  <w:tcW w:w="540" w:type="pct"/>
                  <w:tcBorders>
                    <w:tl2br w:val="nil"/>
                    <w:tr2bl w:val="nil"/>
                  </w:tcBorders>
                  <w:shd w:val="clear" w:color="auto" w:fill="auto"/>
                  <w:vAlign w:val="center"/>
                </w:tcPr>
                <w:p w14:paraId="332A7BB5">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每半年</w:t>
                  </w:r>
                </w:p>
              </w:tc>
              <w:tc>
                <w:tcPr>
                  <w:tcW w:w="643" w:type="pct"/>
                  <w:vMerge w:val="continue"/>
                  <w:tcBorders>
                    <w:tl2br w:val="nil"/>
                    <w:tr2bl w:val="nil"/>
                  </w:tcBorders>
                  <w:vAlign w:val="center"/>
                </w:tcPr>
                <w:p w14:paraId="3EB24393">
                  <w:pPr>
                    <w:widowControl/>
                    <w:spacing w:line="240" w:lineRule="auto"/>
                    <w:jc w:val="center"/>
                    <w:rPr>
                      <w:rFonts w:hint="default" w:ascii="Times New Roman" w:hAnsi="Times New Roman" w:eastAsia="宋体" w:cs="Times New Roman"/>
                      <w:color w:val="auto"/>
                      <w:sz w:val="21"/>
                      <w:szCs w:val="21"/>
                      <w:highlight w:val="none"/>
                    </w:rPr>
                  </w:pPr>
                </w:p>
              </w:tc>
            </w:tr>
            <w:tr w14:paraId="7B9651B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40" w:hRule="atLeast"/>
                <w:jc w:val="center"/>
              </w:trPr>
              <w:tc>
                <w:tcPr>
                  <w:tcW w:w="368" w:type="pct"/>
                  <w:tcBorders>
                    <w:tl2br w:val="nil"/>
                    <w:tr2bl w:val="nil"/>
                  </w:tcBorders>
                  <w:vAlign w:val="center"/>
                </w:tcPr>
                <w:p w14:paraId="1BA33A76">
                  <w:pPr>
                    <w:numPr>
                      <w:ilvl w:val="0"/>
                      <w:numId w:val="24"/>
                    </w:numPr>
                    <w:spacing w:line="240" w:lineRule="auto"/>
                    <w:ind w:left="210"/>
                    <w:jc w:val="center"/>
                    <w:rPr>
                      <w:rFonts w:hint="default" w:ascii="Times New Roman" w:hAnsi="Times New Roman" w:eastAsia="宋体" w:cs="Times New Roman"/>
                      <w:color w:val="auto"/>
                      <w:sz w:val="21"/>
                      <w:szCs w:val="21"/>
                      <w:highlight w:val="none"/>
                    </w:rPr>
                  </w:pPr>
                </w:p>
              </w:tc>
              <w:tc>
                <w:tcPr>
                  <w:tcW w:w="574" w:type="pct"/>
                  <w:tcBorders>
                    <w:tl2br w:val="nil"/>
                    <w:tr2bl w:val="nil"/>
                  </w:tcBorders>
                  <w:vAlign w:val="center"/>
                </w:tcPr>
                <w:p w14:paraId="625C0D56">
                  <w:pPr>
                    <w:spacing w:line="240" w:lineRule="auto"/>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废润滑油</w:t>
                  </w:r>
                </w:p>
              </w:tc>
              <w:tc>
                <w:tcPr>
                  <w:tcW w:w="485" w:type="pct"/>
                  <w:tcBorders>
                    <w:tl2br w:val="nil"/>
                    <w:tr2bl w:val="nil"/>
                  </w:tcBorders>
                  <w:shd w:val="clear" w:color="auto" w:fill="auto"/>
                  <w:vAlign w:val="center"/>
                </w:tcPr>
                <w:p w14:paraId="7BA3966D">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HW08</w:t>
                  </w:r>
                </w:p>
              </w:tc>
              <w:tc>
                <w:tcPr>
                  <w:tcW w:w="719" w:type="pct"/>
                  <w:tcBorders>
                    <w:tl2br w:val="nil"/>
                    <w:tr2bl w:val="nil"/>
                  </w:tcBorders>
                  <w:shd w:val="clear" w:color="auto" w:fill="auto"/>
                  <w:vAlign w:val="center"/>
                </w:tcPr>
                <w:p w14:paraId="78BCB850">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900-214-08</w:t>
                  </w:r>
                </w:p>
              </w:tc>
              <w:tc>
                <w:tcPr>
                  <w:tcW w:w="524" w:type="pct"/>
                  <w:tcBorders>
                    <w:tl2br w:val="nil"/>
                    <w:tr2bl w:val="nil"/>
                  </w:tcBorders>
                  <w:shd w:val="clear" w:color="auto" w:fill="auto"/>
                  <w:vAlign w:val="center"/>
                </w:tcPr>
                <w:p w14:paraId="760D982E">
                  <w:pPr>
                    <w:spacing w:line="240" w:lineRule="auto"/>
                    <w:jc w:val="center"/>
                    <w:rPr>
                      <w:rFonts w:hint="eastAsia"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液态</w:t>
                  </w:r>
                </w:p>
              </w:tc>
              <w:tc>
                <w:tcPr>
                  <w:tcW w:w="556" w:type="pct"/>
                  <w:tcBorders>
                    <w:tl2br w:val="nil"/>
                    <w:tr2bl w:val="nil"/>
                  </w:tcBorders>
                  <w:shd w:val="clear" w:color="auto" w:fill="auto"/>
                  <w:vAlign w:val="center"/>
                </w:tcPr>
                <w:p w14:paraId="684E9833">
                  <w:pPr>
                    <w:spacing w:line="240"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T</w:t>
                  </w:r>
                </w:p>
              </w:tc>
              <w:tc>
                <w:tcPr>
                  <w:tcW w:w="587" w:type="pct"/>
                  <w:tcBorders>
                    <w:tl2br w:val="nil"/>
                    <w:tr2bl w:val="nil"/>
                  </w:tcBorders>
                  <w:shd w:val="clear" w:color="auto" w:fill="auto"/>
                  <w:vAlign w:val="center"/>
                </w:tcPr>
                <w:p w14:paraId="30FFD5CA">
                  <w:pPr>
                    <w:spacing w:line="240" w:lineRule="auto"/>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0.1</w:t>
                  </w:r>
                </w:p>
              </w:tc>
              <w:tc>
                <w:tcPr>
                  <w:tcW w:w="540" w:type="pct"/>
                  <w:tcBorders>
                    <w:tl2br w:val="nil"/>
                    <w:tr2bl w:val="nil"/>
                  </w:tcBorders>
                  <w:shd w:val="clear" w:color="auto" w:fill="auto"/>
                  <w:vAlign w:val="center"/>
                </w:tcPr>
                <w:p w14:paraId="471D7E32">
                  <w:pPr>
                    <w:spacing w:line="240" w:lineRule="auto"/>
                    <w:jc w:val="center"/>
                    <w:rPr>
                      <w:rFonts w:hint="eastAsia"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每天</w:t>
                  </w:r>
                </w:p>
              </w:tc>
              <w:tc>
                <w:tcPr>
                  <w:tcW w:w="643" w:type="pct"/>
                  <w:vMerge w:val="continue"/>
                  <w:tcBorders>
                    <w:tl2br w:val="nil"/>
                    <w:tr2bl w:val="nil"/>
                  </w:tcBorders>
                  <w:vAlign w:val="center"/>
                </w:tcPr>
                <w:p w14:paraId="4084C738">
                  <w:pPr>
                    <w:widowControl/>
                    <w:spacing w:line="240" w:lineRule="auto"/>
                    <w:jc w:val="center"/>
                    <w:rPr>
                      <w:rFonts w:hint="default" w:ascii="Times New Roman" w:hAnsi="Times New Roman" w:eastAsia="宋体" w:cs="Times New Roman"/>
                      <w:color w:val="auto"/>
                      <w:sz w:val="21"/>
                      <w:szCs w:val="21"/>
                      <w:highlight w:val="none"/>
                    </w:rPr>
                  </w:pPr>
                </w:p>
              </w:tc>
            </w:tr>
            <w:tr w14:paraId="06205EC4">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40" w:hRule="atLeast"/>
                <w:jc w:val="center"/>
              </w:trPr>
              <w:tc>
                <w:tcPr>
                  <w:tcW w:w="368" w:type="pct"/>
                  <w:tcBorders>
                    <w:tl2br w:val="nil"/>
                    <w:tr2bl w:val="nil"/>
                  </w:tcBorders>
                  <w:vAlign w:val="center"/>
                </w:tcPr>
                <w:p w14:paraId="1E361A06">
                  <w:pPr>
                    <w:numPr>
                      <w:ilvl w:val="0"/>
                      <w:numId w:val="24"/>
                    </w:numPr>
                    <w:spacing w:line="240" w:lineRule="auto"/>
                    <w:ind w:left="210"/>
                    <w:jc w:val="center"/>
                    <w:rPr>
                      <w:rFonts w:hint="default" w:ascii="Times New Roman" w:hAnsi="Times New Roman" w:eastAsia="宋体" w:cs="Times New Roman"/>
                      <w:color w:val="auto"/>
                      <w:sz w:val="21"/>
                      <w:szCs w:val="21"/>
                      <w:highlight w:val="none"/>
                    </w:rPr>
                  </w:pPr>
                </w:p>
              </w:tc>
              <w:tc>
                <w:tcPr>
                  <w:tcW w:w="574" w:type="pct"/>
                  <w:tcBorders>
                    <w:tl2br w:val="nil"/>
                    <w:tr2bl w:val="nil"/>
                  </w:tcBorders>
                  <w:vAlign w:val="center"/>
                </w:tcPr>
                <w:p w14:paraId="70C85182">
                  <w:pPr>
                    <w:spacing w:line="240" w:lineRule="auto"/>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废油桶</w:t>
                  </w:r>
                </w:p>
              </w:tc>
              <w:tc>
                <w:tcPr>
                  <w:tcW w:w="485" w:type="pct"/>
                  <w:tcBorders>
                    <w:tl2br w:val="nil"/>
                    <w:tr2bl w:val="nil"/>
                  </w:tcBorders>
                  <w:shd w:val="clear" w:color="auto" w:fill="auto"/>
                  <w:vAlign w:val="center"/>
                </w:tcPr>
                <w:p w14:paraId="05250EC8">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HW08</w:t>
                  </w:r>
                </w:p>
              </w:tc>
              <w:tc>
                <w:tcPr>
                  <w:tcW w:w="719" w:type="pct"/>
                  <w:tcBorders>
                    <w:tl2br w:val="nil"/>
                    <w:tr2bl w:val="nil"/>
                  </w:tcBorders>
                  <w:shd w:val="clear" w:color="auto" w:fill="auto"/>
                  <w:vAlign w:val="center"/>
                </w:tcPr>
                <w:p w14:paraId="590283B5">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900-249-08</w:t>
                  </w:r>
                </w:p>
              </w:tc>
              <w:tc>
                <w:tcPr>
                  <w:tcW w:w="524" w:type="pct"/>
                  <w:tcBorders>
                    <w:tl2br w:val="nil"/>
                    <w:tr2bl w:val="nil"/>
                  </w:tcBorders>
                  <w:shd w:val="clear" w:color="auto" w:fill="auto"/>
                  <w:vAlign w:val="center"/>
                </w:tcPr>
                <w:p w14:paraId="3C4D336F">
                  <w:pPr>
                    <w:spacing w:line="240" w:lineRule="auto"/>
                    <w:jc w:val="center"/>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固</w:t>
                  </w:r>
                  <w:r>
                    <w:rPr>
                      <w:rFonts w:hint="default" w:ascii="Times New Roman" w:hAnsi="Times New Roman" w:eastAsia="宋体" w:cs="Times New Roman"/>
                      <w:color w:val="auto"/>
                      <w:sz w:val="21"/>
                      <w:szCs w:val="21"/>
                      <w:highlight w:val="none"/>
                      <w:lang w:val="en-US" w:eastAsia="zh-CN"/>
                    </w:rPr>
                    <w:t>态</w:t>
                  </w:r>
                </w:p>
              </w:tc>
              <w:tc>
                <w:tcPr>
                  <w:tcW w:w="556" w:type="pct"/>
                  <w:tcBorders>
                    <w:tl2br w:val="nil"/>
                    <w:tr2bl w:val="nil"/>
                  </w:tcBorders>
                  <w:shd w:val="clear" w:color="auto" w:fill="auto"/>
                  <w:vAlign w:val="center"/>
                </w:tcPr>
                <w:p w14:paraId="088E1444">
                  <w:pPr>
                    <w:spacing w:line="240"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T</w:t>
                  </w:r>
                </w:p>
              </w:tc>
              <w:tc>
                <w:tcPr>
                  <w:tcW w:w="587" w:type="pct"/>
                  <w:tcBorders>
                    <w:tl2br w:val="nil"/>
                    <w:tr2bl w:val="nil"/>
                  </w:tcBorders>
                  <w:shd w:val="clear" w:color="auto" w:fill="auto"/>
                  <w:vAlign w:val="center"/>
                </w:tcPr>
                <w:p w14:paraId="0BD07722">
                  <w:pPr>
                    <w:spacing w:line="240" w:lineRule="auto"/>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0.1</w:t>
                  </w:r>
                </w:p>
              </w:tc>
              <w:tc>
                <w:tcPr>
                  <w:tcW w:w="540" w:type="pct"/>
                  <w:tcBorders>
                    <w:tl2br w:val="nil"/>
                    <w:tr2bl w:val="nil"/>
                  </w:tcBorders>
                  <w:shd w:val="clear" w:color="auto" w:fill="auto"/>
                  <w:vAlign w:val="center"/>
                </w:tcPr>
                <w:p w14:paraId="499CAA7B">
                  <w:pPr>
                    <w:spacing w:line="240" w:lineRule="auto"/>
                    <w:jc w:val="center"/>
                    <w:rPr>
                      <w:rFonts w:hint="eastAsia"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每天</w:t>
                  </w:r>
                </w:p>
              </w:tc>
              <w:tc>
                <w:tcPr>
                  <w:tcW w:w="643" w:type="pct"/>
                  <w:vMerge w:val="continue"/>
                  <w:tcBorders>
                    <w:tl2br w:val="nil"/>
                    <w:tr2bl w:val="nil"/>
                  </w:tcBorders>
                  <w:vAlign w:val="center"/>
                </w:tcPr>
                <w:p w14:paraId="0BF70207">
                  <w:pPr>
                    <w:widowControl/>
                    <w:spacing w:line="240" w:lineRule="auto"/>
                    <w:jc w:val="center"/>
                    <w:rPr>
                      <w:rFonts w:hint="default" w:ascii="Times New Roman" w:hAnsi="Times New Roman" w:eastAsia="宋体" w:cs="Times New Roman"/>
                      <w:color w:val="auto"/>
                      <w:sz w:val="21"/>
                      <w:szCs w:val="21"/>
                      <w:highlight w:val="none"/>
                    </w:rPr>
                  </w:pPr>
                </w:p>
              </w:tc>
            </w:tr>
            <w:tr w14:paraId="06D7DA45">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40" w:hRule="atLeast"/>
                <w:jc w:val="center"/>
              </w:trPr>
              <w:tc>
                <w:tcPr>
                  <w:tcW w:w="368" w:type="pct"/>
                  <w:tcBorders>
                    <w:tl2br w:val="nil"/>
                    <w:tr2bl w:val="nil"/>
                  </w:tcBorders>
                  <w:vAlign w:val="center"/>
                </w:tcPr>
                <w:p w14:paraId="12F29FAD">
                  <w:pPr>
                    <w:numPr>
                      <w:ilvl w:val="0"/>
                      <w:numId w:val="0"/>
                    </w:numPr>
                    <w:spacing w:line="240" w:lineRule="auto"/>
                    <w:ind w:left="210" w:leftChars="0"/>
                    <w:jc w:val="both"/>
                    <w:rPr>
                      <w:rFonts w:hint="default" w:ascii="Times New Roman" w:hAnsi="Times New Roman" w:eastAsia="宋体" w:cs="Times New Roman"/>
                      <w:color w:val="auto"/>
                      <w:sz w:val="21"/>
                      <w:szCs w:val="21"/>
                      <w:highlight w:val="none"/>
                    </w:rPr>
                  </w:pPr>
                </w:p>
              </w:tc>
              <w:tc>
                <w:tcPr>
                  <w:tcW w:w="574" w:type="pct"/>
                  <w:tcBorders>
                    <w:tl2br w:val="nil"/>
                    <w:tr2bl w:val="nil"/>
                  </w:tcBorders>
                  <w:vAlign w:val="center"/>
                </w:tcPr>
                <w:p w14:paraId="1AB8E195">
                  <w:pPr>
                    <w:spacing w:line="240" w:lineRule="auto"/>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小计</w:t>
                  </w:r>
                </w:p>
              </w:tc>
              <w:tc>
                <w:tcPr>
                  <w:tcW w:w="485" w:type="pct"/>
                  <w:tcBorders>
                    <w:tl2br w:val="nil"/>
                    <w:tr2bl w:val="nil"/>
                  </w:tcBorders>
                  <w:shd w:val="clear" w:color="auto" w:fill="auto"/>
                  <w:vAlign w:val="center"/>
                </w:tcPr>
                <w:p w14:paraId="1AE46296">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719" w:type="pct"/>
                  <w:tcBorders>
                    <w:tl2br w:val="nil"/>
                    <w:tr2bl w:val="nil"/>
                  </w:tcBorders>
                  <w:shd w:val="clear" w:color="auto" w:fill="auto"/>
                  <w:vAlign w:val="center"/>
                </w:tcPr>
                <w:p w14:paraId="1B6FCB44">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524" w:type="pct"/>
                  <w:tcBorders>
                    <w:tl2br w:val="nil"/>
                    <w:tr2bl w:val="nil"/>
                  </w:tcBorders>
                  <w:shd w:val="clear" w:color="auto" w:fill="auto"/>
                  <w:vAlign w:val="center"/>
                </w:tcPr>
                <w:p w14:paraId="1BBCF12A">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c>
                <w:tcPr>
                  <w:tcW w:w="556" w:type="pct"/>
                  <w:tcBorders>
                    <w:tl2br w:val="nil"/>
                    <w:tr2bl w:val="nil"/>
                  </w:tcBorders>
                  <w:shd w:val="clear" w:color="auto" w:fill="auto"/>
                  <w:vAlign w:val="center"/>
                </w:tcPr>
                <w:p w14:paraId="354FA4AF">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c>
                <w:tcPr>
                  <w:tcW w:w="587" w:type="pct"/>
                  <w:tcBorders>
                    <w:tl2br w:val="nil"/>
                    <w:tr2bl w:val="nil"/>
                  </w:tcBorders>
                  <w:shd w:val="clear" w:color="auto" w:fill="auto"/>
                  <w:vAlign w:val="center"/>
                </w:tcPr>
                <w:p w14:paraId="4C59BBE2">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1.14</w:t>
                  </w:r>
                </w:p>
              </w:tc>
              <w:tc>
                <w:tcPr>
                  <w:tcW w:w="540" w:type="pct"/>
                  <w:tcBorders>
                    <w:tl2br w:val="nil"/>
                    <w:tr2bl w:val="nil"/>
                  </w:tcBorders>
                  <w:shd w:val="clear" w:color="auto" w:fill="auto"/>
                  <w:vAlign w:val="center"/>
                </w:tcPr>
                <w:p w14:paraId="6565F77D">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c>
                <w:tcPr>
                  <w:tcW w:w="643" w:type="pct"/>
                  <w:tcBorders>
                    <w:tl2br w:val="nil"/>
                    <w:tr2bl w:val="nil"/>
                  </w:tcBorders>
                  <w:vAlign w:val="center"/>
                </w:tcPr>
                <w:p w14:paraId="52C341A8">
                  <w:pPr>
                    <w:spacing w:line="240" w:lineRule="auto"/>
                    <w:jc w:val="center"/>
                    <w:rPr>
                      <w:rFonts w:hint="default" w:ascii="Times New Roman" w:hAnsi="Times New Roman" w:eastAsia="宋体" w:cs="Times New Roman"/>
                      <w:color w:val="auto"/>
                      <w:sz w:val="21"/>
                      <w:szCs w:val="21"/>
                      <w:highlight w:val="none"/>
                      <w:lang w:val="en-US" w:eastAsia="zh-CN"/>
                    </w:rPr>
                  </w:pPr>
                </w:p>
              </w:tc>
            </w:tr>
            <w:tr w14:paraId="67E4C92D">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9" w:hRule="atLeast"/>
                <w:jc w:val="center"/>
              </w:trPr>
              <w:tc>
                <w:tcPr>
                  <w:tcW w:w="5000" w:type="pct"/>
                  <w:gridSpan w:val="9"/>
                  <w:tcBorders>
                    <w:tl2br w:val="nil"/>
                    <w:tr2bl w:val="nil"/>
                  </w:tcBorders>
                  <w:vAlign w:val="center"/>
                </w:tcPr>
                <w:p w14:paraId="31D707D4">
                  <w:pPr>
                    <w:widowControl/>
                    <w:spacing w:line="240" w:lineRule="auto"/>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一般固废</w:t>
                  </w:r>
                </w:p>
              </w:tc>
            </w:tr>
            <w:tr w14:paraId="4CB132AA">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67" w:hRule="atLeast"/>
                <w:jc w:val="center"/>
              </w:trPr>
              <w:tc>
                <w:tcPr>
                  <w:tcW w:w="368" w:type="pct"/>
                  <w:tcBorders>
                    <w:tl2br w:val="nil"/>
                    <w:tr2bl w:val="nil"/>
                  </w:tcBorders>
                  <w:vAlign w:val="center"/>
                </w:tcPr>
                <w:p w14:paraId="26AA904F">
                  <w:pPr>
                    <w:numPr>
                      <w:ilvl w:val="0"/>
                      <w:numId w:val="24"/>
                    </w:numPr>
                    <w:spacing w:line="240" w:lineRule="auto"/>
                    <w:ind w:left="210"/>
                    <w:jc w:val="center"/>
                    <w:rPr>
                      <w:rFonts w:hint="default" w:ascii="Times New Roman" w:hAnsi="Times New Roman" w:eastAsia="宋体" w:cs="Times New Roman"/>
                      <w:color w:val="auto"/>
                      <w:sz w:val="21"/>
                      <w:szCs w:val="21"/>
                      <w:highlight w:val="none"/>
                      <w:lang w:val="en-US" w:eastAsia="zh-CN"/>
                    </w:rPr>
                  </w:pPr>
                </w:p>
              </w:tc>
              <w:tc>
                <w:tcPr>
                  <w:tcW w:w="574" w:type="pct"/>
                  <w:tcBorders>
                    <w:tl2br w:val="nil"/>
                    <w:tr2bl w:val="nil"/>
                  </w:tcBorders>
                  <w:shd w:val="clear" w:color="auto" w:fill="auto"/>
                  <w:vAlign w:val="center"/>
                </w:tcPr>
                <w:p w14:paraId="3D1430AC">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未沾染化学试剂的废包装物</w:t>
                  </w:r>
                </w:p>
              </w:tc>
              <w:tc>
                <w:tcPr>
                  <w:tcW w:w="485" w:type="pct"/>
                  <w:tcBorders>
                    <w:tl2br w:val="nil"/>
                    <w:tr2bl w:val="nil"/>
                  </w:tcBorders>
                  <w:shd w:val="clear" w:color="auto" w:fill="auto"/>
                  <w:vAlign w:val="center"/>
                </w:tcPr>
                <w:p w14:paraId="1A379744">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c>
                <w:tcPr>
                  <w:tcW w:w="719" w:type="pct"/>
                  <w:tcBorders>
                    <w:tl2br w:val="nil"/>
                    <w:tr2bl w:val="nil"/>
                  </w:tcBorders>
                  <w:shd w:val="clear" w:color="auto" w:fill="auto"/>
                  <w:vAlign w:val="center"/>
                </w:tcPr>
                <w:p w14:paraId="6BE18184">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w:t>
                  </w:r>
                </w:p>
              </w:tc>
              <w:tc>
                <w:tcPr>
                  <w:tcW w:w="524" w:type="pct"/>
                  <w:tcBorders>
                    <w:tl2br w:val="nil"/>
                    <w:tr2bl w:val="nil"/>
                  </w:tcBorders>
                  <w:shd w:val="clear" w:color="auto" w:fill="auto"/>
                  <w:vAlign w:val="center"/>
                </w:tcPr>
                <w:p w14:paraId="3A6A5D90">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固态</w:t>
                  </w:r>
                </w:p>
              </w:tc>
              <w:tc>
                <w:tcPr>
                  <w:tcW w:w="556" w:type="pct"/>
                  <w:tcBorders>
                    <w:tl2br w:val="nil"/>
                    <w:tr2bl w:val="nil"/>
                  </w:tcBorders>
                  <w:shd w:val="clear" w:color="auto" w:fill="auto"/>
                  <w:vAlign w:val="center"/>
                </w:tcPr>
                <w:p w14:paraId="3E9ADE1D">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c>
                <w:tcPr>
                  <w:tcW w:w="587" w:type="pct"/>
                  <w:tcBorders>
                    <w:tl2br w:val="nil"/>
                    <w:tr2bl w:val="nil"/>
                  </w:tcBorders>
                  <w:shd w:val="clear" w:color="auto" w:fill="auto"/>
                  <w:vAlign w:val="center"/>
                </w:tcPr>
                <w:p w14:paraId="6320BE61">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0.5</w:t>
                  </w:r>
                </w:p>
              </w:tc>
              <w:tc>
                <w:tcPr>
                  <w:tcW w:w="540" w:type="pct"/>
                  <w:tcBorders>
                    <w:tl2br w:val="nil"/>
                    <w:tr2bl w:val="nil"/>
                  </w:tcBorders>
                  <w:shd w:val="clear" w:color="auto" w:fill="auto"/>
                  <w:vAlign w:val="center"/>
                </w:tcPr>
                <w:p w14:paraId="2E8B5CFB">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每天</w:t>
                  </w:r>
                </w:p>
              </w:tc>
              <w:tc>
                <w:tcPr>
                  <w:tcW w:w="643" w:type="pct"/>
                  <w:tcBorders>
                    <w:tl2br w:val="nil"/>
                    <w:tr2bl w:val="nil"/>
                  </w:tcBorders>
                  <w:vAlign w:val="center"/>
                </w:tcPr>
                <w:p w14:paraId="0A222ED7">
                  <w:pPr>
                    <w:widowControl/>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物资回收</w:t>
                  </w:r>
                  <w:r>
                    <w:rPr>
                      <w:rFonts w:hint="eastAsia" w:cs="Times New Roman"/>
                      <w:color w:val="auto"/>
                      <w:sz w:val="21"/>
                      <w:szCs w:val="21"/>
                      <w:highlight w:val="none"/>
                      <w:lang w:val="en-US" w:eastAsia="zh-CN"/>
                    </w:rPr>
                    <w:t>单位</w:t>
                  </w:r>
                  <w:r>
                    <w:rPr>
                      <w:rFonts w:hint="default" w:ascii="Times New Roman" w:hAnsi="Times New Roman" w:eastAsia="宋体" w:cs="Times New Roman"/>
                      <w:color w:val="auto"/>
                      <w:sz w:val="21"/>
                      <w:szCs w:val="21"/>
                      <w:highlight w:val="none"/>
                      <w:lang w:val="en-US" w:eastAsia="zh-CN"/>
                    </w:rPr>
                    <w:t>回收</w:t>
                  </w:r>
                </w:p>
              </w:tc>
            </w:tr>
            <w:tr w14:paraId="1C6B7E48">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67" w:hRule="atLeast"/>
                <w:jc w:val="center"/>
              </w:trPr>
              <w:tc>
                <w:tcPr>
                  <w:tcW w:w="368" w:type="pct"/>
                  <w:tcBorders>
                    <w:tl2br w:val="nil"/>
                    <w:tr2bl w:val="nil"/>
                  </w:tcBorders>
                  <w:vAlign w:val="center"/>
                </w:tcPr>
                <w:p w14:paraId="12E7EF9E">
                  <w:pPr>
                    <w:numPr>
                      <w:ilvl w:val="0"/>
                      <w:numId w:val="24"/>
                    </w:numPr>
                    <w:spacing w:line="240" w:lineRule="auto"/>
                    <w:ind w:left="210"/>
                    <w:jc w:val="center"/>
                    <w:rPr>
                      <w:rFonts w:hint="default" w:ascii="Times New Roman" w:hAnsi="Times New Roman" w:eastAsia="宋体" w:cs="Times New Roman"/>
                      <w:color w:val="auto"/>
                      <w:sz w:val="21"/>
                      <w:szCs w:val="21"/>
                      <w:highlight w:val="none"/>
                      <w:lang w:val="en-US" w:eastAsia="zh-CN"/>
                    </w:rPr>
                  </w:pPr>
                </w:p>
              </w:tc>
              <w:tc>
                <w:tcPr>
                  <w:tcW w:w="574" w:type="pct"/>
                  <w:tcBorders>
                    <w:tl2br w:val="nil"/>
                    <w:tr2bl w:val="nil"/>
                  </w:tcBorders>
                  <w:shd w:val="clear" w:color="auto" w:fill="auto"/>
                  <w:vAlign w:val="center"/>
                </w:tcPr>
                <w:p w14:paraId="79983F89">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纯水制备废滤芯</w:t>
                  </w:r>
                </w:p>
              </w:tc>
              <w:tc>
                <w:tcPr>
                  <w:tcW w:w="485" w:type="pct"/>
                  <w:tcBorders>
                    <w:tl2br w:val="nil"/>
                    <w:tr2bl w:val="nil"/>
                  </w:tcBorders>
                  <w:shd w:val="clear" w:color="auto" w:fill="auto"/>
                  <w:vAlign w:val="center"/>
                </w:tcPr>
                <w:p w14:paraId="002E469F">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c>
                <w:tcPr>
                  <w:tcW w:w="719" w:type="pct"/>
                  <w:tcBorders>
                    <w:tl2br w:val="nil"/>
                    <w:tr2bl w:val="nil"/>
                  </w:tcBorders>
                  <w:shd w:val="clear" w:color="auto" w:fill="auto"/>
                  <w:vAlign w:val="center"/>
                </w:tcPr>
                <w:p w14:paraId="7BBF24E6">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w:t>
                  </w:r>
                </w:p>
              </w:tc>
              <w:tc>
                <w:tcPr>
                  <w:tcW w:w="524" w:type="pct"/>
                  <w:tcBorders>
                    <w:tl2br w:val="nil"/>
                    <w:tr2bl w:val="nil"/>
                  </w:tcBorders>
                  <w:shd w:val="clear" w:color="auto" w:fill="auto"/>
                  <w:vAlign w:val="center"/>
                </w:tcPr>
                <w:p w14:paraId="474A69EA">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固态</w:t>
                  </w:r>
                </w:p>
              </w:tc>
              <w:tc>
                <w:tcPr>
                  <w:tcW w:w="556" w:type="pct"/>
                  <w:tcBorders>
                    <w:tl2br w:val="nil"/>
                    <w:tr2bl w:val="nil"/>
                  </w:tcBorders>
                  <w:shd w:val="clear" w:color="auto" w:fill="auto"/>
                  <w:vAlign w:val="center"/>
                </w:tcPr>
                <w:p w14:paraId="27090060">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c>
                <w:tcPr>
                  <w:tcW w:w="587" w:type="pct"/>
                  <w:tcBorders>
                    <w:tl2br w:val="nil"/>
                    <w:tr2bl w:val="nil"/>
                  </w:tcBorders>
                  <w:shd w:val="clear" w:color="auto" w:fill="auto"/>
                  <w:vAlign w:val="center"/>
                </w:tcPr>
                <w:p w14:paraId="6FF905D7">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0.05</w:t>
                  </w:r>
                </w:p>
              </w:tc>
              <w:tc>
                <w:tcPr>
                  <w:tcW w:w="540" w:type="pct"/>
                  <w:tcBorders>
                    <w:tl2br w:val="nil"/>
                    <w:tr2bl w:val="nil"/>
                  </w:tcBorders>
                  <w:shd w:val="clear" w:color="auto" w:fill="auto"/>
                  <w:vAlign w:val="center"/>
                </w:tcPr>
                <w:p w14:paraId="1C2D7901">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更换时</w:t>
                  </w:r>
                </w:p>
              </w:tc>
              <w:tc>
                <w:tcPr>
                  <w:tcW w:w="643" w:type="pct"/>
                  <w:tcBorders>
                    <w:tl2br w:val="nil"/>
                    <w:tr2bl w:val="nil"/>
                  </w:tcBorders>
                  <w:shd w:val="clear" w:color="auto" w:fill="auto"/>
                  <w:vAlign w:val="center"/>
                </w:tcPr>
                <w:p w14:paraId="55C7C007">
                  <w:pPr>
                    <w:widowControl/>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厂家回收</w:t>
                  </w:r>
                </w:p>
              </w:tc>
            </w:tr>
            <w:tr w14:paraId="04ED11E1">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67" w:hRule="atLeast"/>
                <w:jc w:val="center"/>
              </w:trPr>
              <w:tc>
                <w:tcPr>
                  <w:tcW w:w="368" w:type="pct"/>
                  <w:tcBorders>
                    <w:tl2br w:val="nil"/>
                    <w:tr2bl w:val="nil"/>
                  </w:tcBorders>
                  <w:vAlign w:val="center"/>
                </w:tcPr>
                <w:p w14:paraId="6E35D694">
                  <w:pPr>
                    <w:numPr>
                      <w:ilvl w:val="0"/>
                      <w:numId w:val="24"/>
                    </w:numPr>
                    <w:spacing w:line="240" w:lineRule="auto"/>
                    <w:ind w:left="210"/>
                    <w:jc w:val="center"/>
                    <w:rPr>
                      <w:rFonts w:hint="default" w:ascii="Times New Roman" w:hAnsi="Times New Roman" w:eastAsia="宋体" w:cs="Times New Roman"/>
                      <w:color w:val="auto"/>
                      <w:sz w:val="21"/>
                      <w:szCs w:val="21"/>
                      <w:highlight w:val="none"/>
                      <w:lang w:val="en-US" w:eastAsia="zh-CN"/>
                    </w:rPr>
                  </w:pPr>
                </w:p>
              </w:tc>
              <w:tc>
                <w:tcPr>
                  <w:tcW w:w="574" w:type="pct"/>
                  <w:tcBorders>
                    <w:tl2br w:val="nil"/>
                    <w:tr2bl w:val="nil"/>
                  </w:tcBorders>
                  <w:shd w:val="clear" w:color="auto" w:fill="auto"/>
                  <w:vAlign w:val="center"/>
                </w:tcPr>
                <w:p w14:paraId="059AB96A">
                  <w:pPr>
                    <w:spacing w:line="240" w:lineRule="auto"/>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废电池</w:t>
                  </w:r>
                </w:p>
              </w:tc>
              <w:tc>
                <w:tcPr>
                  <w:tcW w:w="485" w:type="pct"/>
                  <w:tcBorders>
                    <w:tl2br w:val="nil"/>
                    <w:tr2bl w:val="nil"/>
                  </w:tcBorders>
                  <w:shd w:val="clear" w:color="auto" w:fill="auto"/>
                  <w:vAlign w:val="center"/>
                </w:tcPr>
                <w:p w14:paraId="6F1EA966">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719" w:type="pct"/>
                  <w:tcBorders>
                    <w:tl2br w:val="nil"/>
                    <w:tr2bl w:val="nil"/>
                  </w:tcBorders>
                  <w:shd w:val="clear" w:color="auto" w:fill="auto"/>
                  <w:vAlign w:val="center"/>
                </w:tcPr>
                <w:p w14:paraId="232138D0">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524" w:type="pct"/>
                  <w:tcBorders>
                    <w:tl2br w:val="nil"/>
                    <w:tr2bl w:val="nil"/>
                  </w:tcBorders>
                  <w:shd w:val="clear" w:color="auto" w:fill="auto"/>
                  <w:vAlign w:val="center"/>
                </w:tcPr>
                <w:p w14:paraId="583F8ED8">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固态</w:t>
                  </w:r>
                </w:p>
              </w:tc>
              <w:tc>
                <w:tcPr>
                  <w:tcW w:w="556" w:type="pct"/>
                  <w:tcBorders>
                    <w:tl2br w:val="nil"/>
                    <w:tr2bl w:val="nil"/>
                  </w:tcBorders>
                  <w:shd w:val="clear" w:color="auto" w:fill="auto"/>
                  <w:vAlign w:val="center"/>
                </w:tcPr>
                <w:p w14:paraId="038502D5">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587" w:type="pct"/>
                  <w:tcBorders>
                    <w:tl2br w:val="nil"/>
                    <w:tr2bl w:val="nil"/>
                  </w:tcBorders>
                  <w:shd w:val="clear" w:color="auto" w:fill="auto"/>
                  <w:vAlign w:val="center"/>
                </w:tcPr>
                <w:p w14:paraId="61B98086">
                  <w:pPr>
                    <w:spacing w:line="240" w:lineRule="auto"/>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0.01</w:t>
                  </w:r>
                </w:p>
              </w:tc>
              <w:tc>
                <w:tcPr>
                  <w:tcW w:w="540" w:type="pct"/>
                  <w:tcBorders>
                    <w:tl2br w:val="nil"/>
                    <w:tr2bl w:val="nil"/>
                  </w:tcBorders>
                  <w:shd w:val="clear" w:color="auto" w:fill="auto"/>
                  <w:vAlign w:val="center"/>
                </w:tcPr>
                <w:p w14:paraId="459B2106">
                  <w:pPr>
                    <w:spacing w:line="240" w:lineRule="auto"/>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每天</w:t>
                  </w:r>
                </w:p>
              </w:tc>
              <w:tc>
                <w:tcPr>
                  <w:tcW w:w="643" w:type="pct"/>
                  <w:tcBorders>
                    <w:tl2br w:val="nil"/>
                    <w:tr2bl w:val="nil"/>
                  </w:tcBorders>
                  <w:shd w:val="clear" w:color="auto" w:fill="auto"/>
                  <w:vAlign w:val="center"/>
                </w:tcPr>
                <w:p w14:paraId="040FE1BE">
                  <w:pPr>
                    <w:widowControl/>
                    <w:spacing w:line="240" w:lineRule="auto"/>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资质单位回收</w:t>
                  </w:r>
                </w:p>
              </w:tc>
            </w:tr>
            <w:tr w14:paraId="66E6129B">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67" w:hRule="atLeast"/>
                <w:jc w:val="center"/>
              </w:trPr>
              <w:tc>
                <w:tcPr>
                  <w:tcW w:w="368" w:type="pct"/>
                  <w:tcBorders>
                    <w:tl2br w:val="nil"/>
                    <w:tr2bl w:val="nil"/>
                  </w:tcBorders>
                  <w:vAlign w:val="center"/>
                </w:tcPr>
                <w:p w14:paraId="56212BEA">
                  <w:pPr>
                    <w:numPr>
                      <w:ilvl w:val="0"/>
                      <w:numId w:val="0"/>
                    </w:numPr>
                    <w:spacing w:line="240" w:lineRule="auto"/>
                    <w:ind w:left="210" w:leftChars="0"/>
                    <w:jc w:val="both"/>
                    <w:rPr>
                      <w:rFonts w:hint="default" w:ascii="Times New Roman" w:hAnsi="Times New Roman" w:eastAsia="宋体" w:cs="Times New Roman"/>
                      <w:color w:val="auto"/>
                      <w:sz w:val="21"/>
                      <w:szCs w:val="21"/>
                      <w:highlight w:val="none"/>
                      <w:lang w:val="en-US" w:eastAsia="zh-CN"/>
                    </w:rPr>
                  </w:pPr>
                </w:p>
              </w:tc>
              <w:tc>
                <w:tcPr>
                  <w:tcW w:w="574" w:type="pct"/>
                  <w:tcBorders>
                    <w:tl2br w:val="nil"/>
                    <w:tr2bl w:val="nil"/>
                  </w:tcBorders>
                  <w:shd w:val="clear" w:color="auto" w:fill="auto"/>
                  <w:vAlign w:val="center"/>
                </w:tcPr>
                <w:p w14:paraId="39AB03C6">
                  <w:pPr>
                    <w:spacing w:line="240" w:lineRule="auto"/>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小计</w:t>
                  </w:r>
                </w:p>
              </w:tc>
              <w:tc>
                <w:tcPr>
                  <w:tcW w:w="485" w:type="pct"/>
                  <w:tcBorders>
                    <w:tl2br w:val="nil"/>
                    <w:tr2bl w:val="nil"/>
                  </w:tcBorders>
                  <w:shd w:val="clear" w:color="auto" w:fill="auto"/>
                  <w:vAlign w:val="center"/>
                </w:tcPr>
                <w:p w14:paraId="6ABD0B05">
                  <w:pPr>
                    <w:spacing w:line="240" w:lineRule="auto"/>
                    <w:jc w:val="center"/>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719" w:type="pct"/>
                  <w:tcBorders>
                    <w:tl2br w:val="nil"/>
                    <w:tr2bl w:val="nil"/>
                  </w:tcBorders>
                  <w:shd w:val="clear" w:color="auto" w:fill="auto"/>
                  <w:vAlign w:val="center"/>
                </w:tcPr>
                <w:p w14:paraId="149DEBD3">
                  <w:pPr>
                    <w:spacing w:line="240" w:lineRule="auto"/>
                    <w:jc w:val="center"/>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524" w:type="pct"/>
                  <w:tcBorders>
                    <w:tl2br w:val="nil"/>
                    <w:tr2bl w:val="nil"/>
                  </w:tcBorders>
                  <w:shd w:val="clear" w:color="auto" w:fill="auto"/>
                  <w:vAlign w:val="center"/>
                </w:tcPr>
                <w:p w14:paraId="53CF7BC5">
                  <w:pPr>
                    <w:spacing w:line="240" w:lineRule="auto"/>
                    <w:jc w:val="center"/>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556" w:type="pct"/>
                  <w:tcBorders>
                    <w:tl2br w:val="nil"/>
                    <w:tr2bl w:val="nil"/>
                  </w:tcBorders>
                  <w:shd w:val="clear" w:color="auto" w:fill="auto"/>
                  <w:vAlign w:val="center"/>
                </w:tcPr>
                <w:p w14:paraId="57A05520">
                  <w:pPr>
                    <w:spacing w:line="240" w:lineRule="auto"/>
                    <w:jc w:val="center"/>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587" w:type="pct"/>
                  <w:tcBorders>
                    <w:tl2br w:val="nil"/>
                    <w:tr2bl w:val="nil"/>
                  </w:tcBorders>
                  <w:shd w:val="clear" w:color="auto" w:fill="auto"/>
                  <w:vAlign w:val="center"/>
                </w:tcPr>
                <w:p w14:paraId="30FFAEC7">
                  <w:pPr>
                    <w:spacing w:line="240" w:lineRule="auto"/>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0.56</w:t>
                  </w:r>
                </w:p>
              </w:tc>
              <w:tc>
                <w:tcPr>
                  <w:tcW w:w="540" w:type="pct"/>
                  <w:tcBorders>
                    <w:tl2br w:val="nil"/>
                    <w:tr2bl w:val="nil"/>
                  </w:tcBorders>
                  <w:shd w:val="clear" w:color="auto" w:fill="auto"/>
                  <w:vAlign w:val="center"/>
                </w:tcPr>
                <w:p w14:paraId="71143389">
                  <w:pPr>
                    <w:spacing w:line="240" w:lineRule="auto"/>
                    <w:jc w:val="center"/>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643" w:type="pct"/>
                  <w:tcBorders>
                    <w:tl2br w:val="nil"/>
                    <w:tr2bl w:val="nil"/>
                  </w:tcBorders>
                  <w:shd w:val="clear" w:color="auto" w:fill="auto"/>
                  <w:vAlign w:val="center"/>
                </w:tcPr>
                <w:p w14:paraId="47ED939A">
                  <w:pPr>
                    <w:widowControl/>
                    <w:spacing w:line="240" w:lineRule="auto"/>
                    <w:jc w:val="center"/>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w:t>
                  </w:r>
                </w:p>
              </w:tc>
            </w:tr>
            <w:tr w14:paraId="0C6812D9">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67" w:hRule="atLeast"/>
                <w:jc w:val="center"/>
              </w:trPr>
              <w:tc>
                <w:tcPr>
                  <w:tcW w:w="5000" w:type="pct"/>
                  <w:gridSpan w:val="9"/>
                  <w:tcBorders>
                    <w:tl2br w:val="nil"/>
                    <w:tr2bl w:val="nil"/>
                  </w:tcBorders>
                  <w:vAlign w:val="center"/>
                </w:tcPr>
                <w:p w14:paraId="6463AF87">
                  <w:pPr>
                    <w:widowControl/>
                    <w:spacing w:line="240" w:lineRule="auto"/>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生活垃圾</w:t>
                  </w:r>
                </w:p>
              </w:tc>
            </w:tr>
            <w:tr w14:paraId="28EBAD4B">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67" w:hRule="atLeast"/>
                <w:jc w:val="center"/>
              </w:trPr>
              <w:tc>
                <w:tcPr>
                  <w:tcW w:w="368" w:type="pct"/>
                  <w:tcBorders>
                    <w:tl2br w:val="nil"/>
                    <w:tr2bl w:val="nil"/>
                  </w:tcBorders>
                  <w:vAlign w:val="center"/>
                </w:tcPr>
                <w:p w14:paraId="340BA100">
                  <w:pPr>
                    <w:numPr>
                      <w:ilvl w:val="0"/>
                      <w:numId w:val="24"/>
                    </w:numPr>
                    <w:spacing w:line="240" w:lineRule="auto"/>
                    <w:ind w:left="210"/>
                    <w:jc w:val="center"/>
                    <w:rPr>
                      <w:rFonts w:hint="default" w:ascii="Times New Roman" w:hAnsi="Times New Roman" w:eastAsia="宋体" w:cs="Times New Roman"/>
                      <w:color w:val="auto"/>
                      <w:sz w:val="21"/>
                      <w:szCs w:val="21"/>
                      <w:highlight w:val="none"/>
                      <w:lang w:val="en-US" w:eastAsia="zh-CN"/>
                    </w:rPr>
                  </w:pPr>
                </w:p>
              </w:tc>
              <w:tc>
                <w:tcPr>
                  <w:tcW w:w="574" w:type="pct"/>
                  <w:tcBorders>
                    <w:tl2br w:val="nil"/>
                    <w:tr2bl w:val="nil"/>
                  </w:tcBorders>
                  <w:shd w:val="clear" w:color="auto" w:fill="auto"/>
                  <w:vAlign w:val="center"/>
                </w:tcPr>
                <w:p w14:paraId="024BAA8B">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生活垃圾</w:t>
                  </w:r>
                </w:p>
              </w:tc>
              <w:tc>
                <w:tcPr>
                  <w:tcW w:w="485" w:type="pct"/>
                  <w:tcBorders>
                    <w:tl2br w:val="nil"/>
                    <w:tr2bl w:val="nil"/>
                  </w:tcBorders>
                  <w:shd w:val="clear" w:color="auto" w:fill="auto"/>
                  <w:vAlign w:val="center"/>
                </w:tcPr>
                <w:p w14:paraId="30E7956A">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c>
                <w:tcPr>
                  <w:tcW w:w="719" w:type="pct"/>
                  <w:tcBorders>
                    <w:tl2br w:val="nil"/>
                    <w:tr2bl w:val="nil"/>
                  </w:tcBorders>
                  <w:shd w:val="clear" w:color="auto" w:fill="auto"/>
                  <w:vAlign w:val="center"/>
                </w:tcPr>
                <w:p w14:paraId="67EABFCD">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900-999-99</w:t>
                  </w:r>
                </w:p>
              </w:tc>
              <w:tc>
                <w:tcPr>
                  <w:tcW w:w="524" w:type="pct"/>
                  <w:tcBorders>
                    <w:tl2br w:val="nil"/>
                    <w:tr2bl w:val="nil"/>
                  </w:tcBorders>
                  <w:shd w:val="clear" w:color="auto" w:fill="auto"/>
                  <w:vAlign w:val="center"/>
                </w:tcPr>
                <w:p w14:paraId="0CD73813">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固态</w:t>
                  </w:r>
                </w:p>
              </w:tc>
              <w:tc>
                <w:tcPr>
                  <w:tcW w:w="556" w:type="pct"/>
                  <w:tcBorders>
                    <w:tl2br w:val="nil"/>
                    <w:tr2bl w:val="nil"/>
                  </w:tcBorders>
                  <w:shd w:val="clear" w:color="auto" w:fill="auto"/>
                  <w:vAlign w:val="center"/>
                </w:tcPr>
                <w:p w14:paraId="39EB7AF8">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c>
                <w:tcPr>
                  <w:tcW w:w="587" w:type="pct"/>
                  <w:tcBorders>
                    <w:tl2br w:val="nil"/>
                    <w:tr2bl w:val="nil"/>
                  </w:tcBorders>
                  <w:shd w:val="clear" w:color="auto" w:fill="auto"/>
                  <w:vAlign w:val="center"/>
                </w:tcPr>
                <w:p w14:paraId="65732965">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1.25</w:t>
                  </w:r>
                </w:p>
              </w:tc>
              <w:tc>
                <w:tcPr>
                  <w:tcW w:w="540" w:type="pct"/>
                  <w:tcBorders>
                    <w:tl2br w:val="nil"/>
                    <w:tr2bl w:val="nil"/>
                  </w:tcBorders>
                  <w:shd w:val="clear" w:color="auto" w:fill="auto"/>
                  <w:vAlign w:val="center"/>
                </w:tcPr>
                <w:p w14:paraId="3849B119">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每天</w:t>
                  </w:r>
                </w:p>
              </w:tc>
              <w:tc>
                <w:tcPr>
                  <w:tcW w:w="643" w:type="pct"/>
                  <w:tcBorders>
                    <w:tl2br w:val="nil"/>
                    <w:tr2bl w:val="nil"/>
                  </w:tcBorders>
                  <w:shd w:val="clear" w:color="auto" w:fill="auto"/>
                  <w:vAlign w:val="center"/>
                </w:tcPr>
                <w:p w14:paraId="0836C9C9">
                  <w:pPr>
                    <w:widowControl/>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环卫清运</w:t>
                  </w:r>
                </w:p>
              </w:tc>
            </w:tr>
          </w:tbl>
          <w:p w14:paraId="5F027FBC">
            <w:pPr>
              <w:adjustRightInd w:val="0"/>
              <w:spacing w:line="360" w:lineRule="auto"/>
              <w:ind w:firstLine="480" w:firstLineChars="200"/>
              <w:rPr>
                <w:rFonts w:hint="default" w:ascii="Times New Roman" w:hAnsi="Times New Roman" w:eastAsia="宋体" w:cs="Times New Roman"/>
                <w:color w:val="auto"/>
                <w:sz w:val="24"/>
                <w:highlight w:val="none"/>
                <w:vertAlign w:val="baseline"/>
                <w:lang w:val="en-US" w:eastAsia="zh-CN"/>
              </w:rPr>
            </w:pPr>
            <w:r>
              <w:rPr>
                <w:rFonts w:hint="eastAsia" w:cs="Times New Roman"/>
                <w:color w:val="auto"/>
                <w:sz w:val="24"/>
                <w:highlight w:val="none"/>
                <w:lang w:val="en-US" w:eastAsia="zh-CN"/>
              </w:rPr>
              <w:t>本</w:t>
            </w:r>
            <w:r>
              <w:rPr>
                <w:rFonts w:hint="default" w:ascii="Times New Roman" w:hAnsi="Times New Roman" w:eastAsia="宋体" w:cs="Times New Roman"/>
                <w:color w:val="auto"/>
                <w:sz w:val="24"/>
                <w:highlight w:val="none"/>
                <w:lang w:val="en-US" w:eastAsia="zh-CN"/>
              </w:rPr>
              <w:t>项目建设</w:t>
            </w:r>
            <w:r>
              <w:rPr>
                <w:rFonts w:hint="eastAsia" w:cs="Times New Roman"/>
                <w:color w:val="auto"/>
                <w:sz w:val="24"/>
                <w:highlight w:val="none"/>
                <w:lang w:val="en-US" w:eastAsia="zh-CN"/>
              </w:rPr>
              <w:t>一</w:t>
            </w:r>
            <w:r>
              <w:rPr>
                <w:rFonts w:hint="default" w:ascii="Times New Roman" w:hAnsi="Times New Roman" w:eastAsia="宋体" w:cs="Times New Roman"/>
                <w:color w:val="auto"/>
                <w:sz w:val="24"/>
                <w:highlight w:val="none"/>
                <w:lang w:val="en-US" w:eastAsia="zh-CN"/>
              </w:rPr>
              <w:t>间</w:t>
            </w:r>
            <w:r>
              <w:rPr>
                <w:rFonts w:hint="eastAsia" w:cs="Times New Roman"/>
                <w:color w:val="auto"/>
                <w:sz w:val="24"/>
                <w:highlight w:val="none"/>
                <w:lang w:val="en-US" w:eastAsia="zh-CN"/>
              </w:rPr>
              <w:t>6.0</w:t>
            </w:r>
            <w:r>
              <w:rPr>
                <w:rFonts w:hint="default" w:ascii="Times New Roman" w:hAnsi="Times New Roman" w:eastAsia="宋体" w:cs="Times New Roman"/>
                <w:color w:val="auto"/>
                <w:sz w:val="24"/>
                <w:highlight w:val="none"/>
              </w:rPr>
              <w:t>m</w:t>
            </w:r>
            <w:r>
              <w:rPr>
                <w:rFonts w:hint="default" w:ascii="Times New Roman" w:hAnsi="Times New Roman" w:eastAsia="宋体" w:cs="Times New Roman"/>
                <w:color w:val="auto"/>
                <w:sz w:val="24"/>
                <w:highlight w:val="none"/>
                <w:vertAlign w:val="superscript"/>
              </w:rPr>
              <w:t>2</w:t>
            </w:r>
            <w:r>
              <w:rPr>
                <w:rFonts w:hint="default" w:ascii="Times New Roman" w:hAnsi="Times New Roman" w:eastAsia="宋体" w:cs="Times New Roman"/>
                <w:color w:val="auto"/>
                <w:sz w:val="24"/>
                <w:highlight w:val="none"/>
                <w:lang w:val="en-US" w:eastAsia="zh-CN"/>
              </w:rPr>
              <w:t>的</w:t>
            </w:r>
            <w:r>
              <w:rPr>
                <w:rFonts w:hint="default" w:ascii="Times New Roman" w:hAnsi="Times New Roman" w:eastAsia="宋体" w:cs="Times New Roman"/>
                <w:color w:val="auto"/>
                <w:sz w:val="24"/>
                <w:highlight w:val="none"/>
                <w:vertAlign w:val="baseline"/>
                <w:lang w:val="en-US" w:eastAsia="zh-CN"/>
              </w:rPr>
              <w:t>一般</w:t>
            </w:r>
            <w:r>
              <w:rPr>
                <w:rFonts w:hint="eastAsia" w:cs="Times New Roman"/>
                <w:color w:val="auto"/>
                <w:sz w:val="24"/>
                <w:highlight w:val="none"/>
                <w:vertAlign w:val="baseline"/>
                <w:lang w:val="en-US" w:eastAsia="zh-CN"/>
              </w:rPr>
              <w:t>工业固体废物</w:t>
            </w:r>
            <w:r>
              <w:rPr>
                <w:rFonts w:hint="default" w:ascii="Times New Roman" w:hAnsi="Times New Roman" w:eastAsia="宋体" w:cs="Times New Roman"/>
                <w:color w:val="auto"/>
                <w:sz w:val="24"/>
                <w:highlight w:val="none"/>
                <w:vertAlign w:val="baseline"/>
                <w:lang w:val="en-US" w:eastAsia="zh-CN"/>
              </w:rPr>
              <w:t>暂存间，</w:t>
            </w:r>
            <w:r>
              <w:rPr>
                <w:rFonts w:hint="eastAsia" w:cs="Times New Roman"/>
                <w:color w:val="auto"/>
                <w:sz w:val="24"/>
                <w:highlight w:val="none"/>
                <w:lang w:val="en-US" w:eastAsia="zh-CN"/>
              </w:rPr>
              <w:t>一般工业固体废物的</w:t>
            </w:r>
            <w:r>
              <w:rPr>
                <w:rFonts w:hint="default" w:ascii="Times New Roman" w:hAnsi="Times New Roman" w:eastAsia="宋体" w:cs="Times New Roman"/>
                <w:color w:val="auto"/>
                <w:sz w:val="24"/>
                <w:highlight w:val="none"/>
                <w:lang w:val="en-US" w:eastAsia="zh-CN"/>
              </w:rPr>
              <w:t>产生量约</w:t>
            </w:r>
            <w:r>
              <w:rPr>
                <w:rFonts w:hint="eastAsia" w:cs="Times New Roman"/>
                <w:color w:val="auto"/>
                <w:sz w:val="24"/>
                <w:highlight w:val="none"/>
                <w:lang w:val="en-US" w:eastAsia="zh-CN"/>
              </w:rPr>
              <w:t>0.56</w:t>
            </w:r>
            <w:r>
              <w:rPr>
                <w:rFonts w:hint="default" w:ascii="Times New Roman" w:hAnsi="Times New Roman" w:eastAsia="宋体" w:cs="Times New Roman"/>
                <w:color w:val="auto"/>
                <w:sz w:val="24"/>
                <w:highlight w:val="none"/>
                <w:lang w:val="en-US" w:eastAsia="zh-CN"/>
              </w:rPr>
              <w:t>t/a</w:t>
            </w:r>
            <w:r>
              <w:rPr>
                <w:rFonts w:hint="eastAsia"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废包装物</w:t>
            </w:r>
            <w:r>
              <w:rPr>
                <w:rFonts w:hint="eastAsia" w:cs="Times New Roman"/>
                <w:color w:val="auto"/>
                <w:sz w:val="24"/>
                <w:highlight w:val="none"/>
                <w:lang w:val="en-US" w:eastAsia="zh-CN"/>
              </w:rPr>
              <w:t>每周处理一次，</w:t>
            </w:r>
            <w:r>
              <w:rPr>
                <w:rFonts w:hint="default" w:ascii="Times New Roman" w:hAnsi="Times New Roman" w:eastAsia="宋体" w:cs="Times New Roman"/>
                <w:color w:val="auto"/>
                <w:sz w:val="24"/>
                <w:highlight w:val="none"/>
                <w:vertAlign w:val="baseline"/>
                <w:lang w:val="en-US" w:eastAsia="zh-CN"/>
              </w:rPr>
              <w:t>一般</w:t>
            </w:r>
            <w:r>
              <w:rPr>
                <w:rFonts w:hint="eastAsia" w:cs="Times New Roman"/>
                <w:color w:val="auto"/>
                <w:sz w:val="24"/>
                <w:highlight w:val="none"/>
                <w:vertAlign w:val="baseline"/>
                <w:lang w:val="en-US" w:eastAsia="zh-CN"/>
              </w:rPr>
              <w:t>工业固体废物</w:t>
            </w:r>
            <w:r>
              <w:rPr>
                <w:rFonts w:hint="default" w:ascii="Times New Roman" w:hAnsi="Times New Roman" w:eastAsia="宋体" w:cs="Times New Roman"/>
                <w:color w:val="auto"/>
                <w:sz w:val="24"/>
                <w:highlight w:val="none"/>
                <w:vertAlign w:val="baseline"/>
                <w:lang w:val="en-US" w:eastAsia="zh-CN"/>
              </w:rPr>
              <w:t>暂存间能满足本项目的贮存要求。</w:t>
            </w:r>
          </w:p>
          <w:p w14:paraId="314384B7">
            <w:pPr>
              <w:adjustRightInd w:val="0"/>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eastAsia" w:cs="Times New Roman"/>
                <w:color w:val="auto"/>
                <w:sz w:val="24"/>
                <w:highlight w:val="none"/>
                <w:lang w:val="en-US" w:eastAsia="zh-CN"/>
              </w:rPr>
              <w:t>本项目</w:t>
            </w:r>
            <w:r>
              <w:rPr>
                <w:rFonts w:hint="default" w:ascii="Times New Roman" w:hAnsi="Times New Roman" w:eastAsia="宋体" w:cs="Times New Roman"/>
                <w:color w:val="auto"/>
                <w:sz w:val="24"/>
                <w:highlight w:val="none"/>
              </w:rPr>
              <w:t>按照《危险废物贮存污染控制标准》（GB18597-2023）要求</w:t>
            </w:r>
            <w:r>
              <w:rPr>
                <w:rFonts w:hint="default" w:ascii="Times New Roman" w:hAnsi="Times New Roman" w:eastAsia="宋体" w:cs="Times New Roman"/>
                <w:color w:val="auto"/>
                <w:sz w:val="24"/>
                <w:highlight w:val="none"/>
                <w:lang w:val="en-US" w:eastAsia="zh-CN"/>
              </w:rPr>
              <w:t>建设</w:t>
            </w:r>
            <w:r>
              <w:rPr>
                <w:rFonts w:hint="eastAsia" w:cs="Times New Roman"/>
                <w:color w:val="auto"/>
                <w:sz w:val="24"/>
                <w:highlight w:val="none"/>
                <w:lang w:val="en-US" w:eastAsia="zh-CN"/>
              </w:rPr>
              <w:t>1间6.0</w:t>
            </w:r>
            <w:r>
              <w:rPr>
                <w:rFonts w:hint="default" w:ascii="Times New Roman" w:hAnsi="Times New Roman" w:eastAsia="宋体" w:cs="Times New Roman"/>
                <w:color w:val="auto"/>
                <w:sz w:val="24"/>
                <w:highlight w:val="none"/>
              </w:rPr>
              <w:t>m</w:t>
            </w:r>
            <w:r>
              <w:rPr>
                <w:rFonts w:hint="default" w:ascii="Times New Roman" w:hAnsi="Times New Roman" w:eastAsia="宋体" w:cs="Times New Roman"/>
                <w:color w:val="auto"/>
                <w:sz w:val="24"/>
                <w:highlight w:val="none"/>
                <w:vertAlign w:val="superscript"/>
              </w:rPr>
              <w:t>2</w:t>
            </w:r>
            <w:r>
              <w:rPr>
                <w:rFonts w:hint="default" w:ascii="Times New Roman" w:hAnsi="Times New Roman" w:eastAsia="宋体" w:cs="Times New Roman"/>
                <w:color w:val="auto"/>
                <w:sz w:val="24"/>
                <w:highlight w:val="none"/>
                <w:lang w:val="en-US" w:eastAsia="zh-CN"/>
              </w:rPr>
              <w:t>的危险废物暂存间，危险废物暂存间</w:t>
            </w:r>
            <w:r>
              <w:rPr>
                <w:rFonts w:hint="eastAsia" w:cs="Times New Roman"/>
                <w:color w:val="auto"/>
                <w:sz w:val="24"/>
                <w:highlight w:val="none"/>
                <w:lang w:val="en-US" w:eastAsia="zh-CN"/>
              </w:rPr>
              <w:t>及其贮存</w:t>
            </w:r>
            <w:r>
              <w:rPr>
                <w:rFonts w:hint="default" w:ascii="Times New Roman" w:hAnsi="Times New Roman" w:eastAsia="宋体" w:cs="Times New Roman"/>
                <w:color w:val="auto"/>
                <w:sz w:val="24"/>
                <w:highlight w:val="none"/>
                <w:lang w:val="en-US" w:eastAsia="zh-CN"/>
              </w:rPr>
              <w:t>情况见下表。</w:t>
            </w:r>
          </w:p>
          <w:p w14:paraId="446E9471">
            <w:pPr>
              <w:numPr>
                <w:ilvl w:val="0"/>
                <w:numId w:val="21"/>
              </w:numPr>
              <w:adjustRightInd w:val="0"/>
              <w:spacing w:line="360" w:lineRule="auto"/>
              <w:ind w:left="425" w:leftChars="0" w:hanging="425" w:firstLineChars="0"/>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项目</w:t>
            </w:r>
            <w:r>
              <w:rPr>
                <w:rFonts w:hint="default" w:ascii="Times New Roman" w:hAnsi="Times New Roman" w:eastAsia="宋体" w:cs="Times New Roman"/>
                <w:b/>
                <w:color w:val="auto"/>
                <w:sz w:val="24"/>
                <w:highlight w:val="none"/>
                <w:lang w:val="en-US" w:eastAsia="zh-CN"/>
              </w:rPr>
              <w:t>危险废物暂存间</w:t>
            </w:r>
            <w:r>
              <w:rPr>
                <w:rFonts w:hint="default" w:ascii="Times New Roman" w:hAnsi="Times New Roman" w:eastAsia="宋体" w:cs="Times New Roman"/>
                <w:b/>
                <w:color w:val="auto"/>
                <w:sz w:val="24"/>
                <w:highlight w:val="none"/>
              </w:rPr>
              <w:t>情况一览表</w:t>
            </w:r>
          </w:p>
          <w:tbl>
            <w:tblPr>
              <w:tblStyle w:val="24"/>
              <w:tblW w:w="7459" w:type="dxa"/>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63"/>
              <w:gridCol w:w="1484"/>
              <w:gridCol w:w="1321"/>
              <w:gridCol w:w="999"/>
              <w:gridCol w:w="732"/>
              <w:gridCol w:w="768"/>
              <w:gridCol w:w="768"/>
              <w:gridCol w:w="924"/>
            </w:tblGrid>
            <w:tr w14:paraId="2F2E564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463" w:type="dxa"/>
                  <w:tcBorders>
                    <w:tl2br w:val="nil"/>
                    <w:tr2bl w:val="nil"/>
                  </w:tcBorders>
                  <w:vAlign w:val="center"/>
                </w:tcPr>
                <w:p w14:paraId="5D839C6B">
                  <w:pPr>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序号</w:t>
                  </w:r>
                </w:p>
              </w:tc>
              <w:tc>
                <w:tcPr>
                  <w:tcW w:w="1484" w:type="dxa"/>
                  <w:tcBorders>
                    <w:tl2br w:val="nil"/>
                    <w:tr2bl w:val="nil"/>
                  </w:tcBorders>
                  <w:vAlign w:val="center"/>
                </w:tcPr>
                <w:p w14:paraId="3E7ED30A">
                  <w:pPr>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危险废物名称</w:t>
                  </w:r>
                </w:p>
              </w:tc>
              <w:tc>
                <w:tcPr>
                  <w:tcW w:w="1321" w:type="dxa"/>
                  <w:tcBorders>
                    <w:tl2br w:val="nil"/>
                    <w:tr2bl w:val="nil"/>
                  </w:tcBorders>
                  <w:vAlign w:val="center"/>
                </w:tcPr>
                <w:p w14:paraId="2C123496">
                  <w:pPr>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危险废物代码</w:t>
                  </w:r>
                </w:p>
              </w:tc>
              <w:tc>
                <w:tcPr>
                  <w:tcW w:w="999" w:type="dxa"/>
                  <w:tcBorders>
                    <w:tl2br w:val="nil"/>
                    <w:tr2bl w:val="nil"/>
                  </w:tcBorders>
                  <w:vAlign w:val="center"/>
                </w:tcPr>
                <w:p w14:paraId="27993DBB">
                  <w:pPr>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贮存方式</w:t>
                  </w:r>
                </w:p>
              </w:tc>
              <w:tc>
                <w:tcPr>
                  <w:tcW w:w="732" w:type="dxa"/>
                  <w:tcBorders>
                    <w:tl2br w:val="nil"/>
                    <w:tr2bl w:val="nil"/>
                  </w:tcBorders>
                  <w:vAlign w:val="center"/>
                </w:tcPr>
                <w:p w14:paraId="4589BC40">
                  <w:pPr>
                    <w:jc w:val="center"/>
                    <w:rPr>
                      <w:rFonts w:hint="default" w:ascii="Times New Roman" w:hAnsi="Times New Roman" w:eastAsia="宋体" w:cs="Times New Roman"/>
                      <w:b/>
                      <w:bCs/>
                      <w:color w:val="auto"/>
                      <w:sz w:val="21"/>
                      <w:szCs w:val="21"/>
                      <w:highlight w:val="none"/>
                      <w:lang w:val="en-US" w:eastAsia="zh-CN"/>
                    </w:rPr>
                  </w:pPr>
                  <w:r>
                    <w:rPr>
                      <w:rFonts w:hint="eastAsia" w:cs="Times New Roman"/>
                      <w:b/>
                      <w:bCs/>
                      <w:color w:val="auto"/>
                      <w:sz w:val="21"/>
                      <w:szCs w:val="21"/>
                      <w:highlight w:val="none"/>
                      <w:lang w:val="en-US" w:eastAsia="zh-CN"/>
                    </w:rPr>
                    <w:t>年产生量</w:t>
                  </w:r>
                </w:p>
              </w:tc>
              <w:tc>
                <w:tcPr>
                  <w:tcW w:w="768" w:type="dxa"/>
                  <w:tcBorders>
                    <w:tl2br w:val="nil"/>
                    <w:tr2bl w:val="nil"/>
                  </w:tcBorders>
                  <w:vAlign w:val="center"/>
                </w:tcPr>
                <w:p w14:paraId="079598C1">
                  <w:pPr>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面积</w:t>
                  </w:r>
                </w:p>
                <w:p w14:paraId="1DE59271">
                  <w:pPr>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m</w:t>
                  </w:r>
                  <w:r>
                    <w:rPr>
                      <w:rFonts w:hint="default" w:ascii="Times New Roman" w:hAnsi="Times New Roman" w:eastAsia="宋体" w:cs="Times New Roman"/>
                      <w:b/>
                      <w:bCs/>
                      <w:color w:val="auto"/>
                      <w:sz w:val="21"/>
                      <w:szCs w:val="21"/>
                      <w:highlight w:val="none"/>
                      <w:vertAlign w:val="superscript"/>
                      <w:lang w:val="en-US" w:eastAsia="zh-CN"/>
                    </w:rPr>
                    <w:t>2</w:t>
                  </w:r>
                </w:p>
              </w:tc>
              <w:tc>
                <w:tcPr>
                  <w:tcW w:w="768" w:type="dxa"/>
                  <w:tcBorders>
                    <w:tl2br w:val="nil"/>
                    <w:tr2bl w:val="nil"/>
                  </w:tcBorders>
                  <w:vAlign w:val="center"/>
                </w:tcPr>
                <w:p w14:paraId="3CA36F29">
                  <w:pPr>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贮存能力</w:t>
                  </w:r>
                </w:p>
              </w:tc>
              <w:tc>
                <w:tcPr>
                  <w:tcW w:w="924" w:type="dxa"/>
                  <w:tcBorders>
                    <w:tl2br w:val="nil"/>
                    <w:tr2bl w:val="nil"/>
                  </w:tcBorders>
                  <w:vAlign w:val="center"/>
                </w:tcPr>
                <w:p w14:paraId="43BCAC61">
                  <w:pPr>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贮存周期</w:t>
                  </w:r>
                </w:p>
              </w:tc>
            </w:tr>
            <w:tr w14:paraId="6D87B85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63" w:type="dxa"/>
                  <w:tcBorders>
                    <w:tl2br w:val="nil"/>
                    <w:tr2bl w:val="nil"/>
                  </w:tcBorders>
                  <w:vAlign w:val="center"/>
                </w:tcPr>
                <w:p w14:paraId="6C594E38">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c>
                <w:tcPr>
                  <w:tcW w:w="1484" w:type="dxa"/>
                  <w:tcBorders>
                    <w:tl2br w:val="nil"/>
                    <w:tr2bl w:val="nil"/>
                  </w:tcBorders>
                  <w:shd w:val="clear" w:color="auto" w:fill="auto"/>
                  <w:vAlign w:val="center"/>
                </w:tcPr>
                <w:p w14:paraId="53E1D0A1">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废试剂瓶</w:t>
                  </w:r>
                </w:p>
              </w:tc>
              <w:tc>
                <w:tcPr>
                  <w:tcW w:w="1321" w:type="dxa"/>
                  <w:tcBorders>
                    <w:tl2br w:val="nil"/>
                    <w:tr2bl w:val="nil"/>
                  </w:tcBorders>
                  <w:shd w:val="clear" w:color="auto" w:fill="auto"/>
                  <w:vAlign w:val="center"/>
                </w:tcPr>
                <w:p w14:paraId="763C811D">
                  <w:pPr>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900-04</w:t>
                  </w:r>
                  <w:r>
                    <w:rPr>
                      <w:rFonts w:hint="eastAsia"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lang w:val="en-US" w:eastAsia="zh-CN"/>
                    </w:rPr>
                    <w:t>-49</w:t>
                  </w:r>
                </w:p>
              </w:tc>
              <w:tc>
                <w:tcPr>
                  <w:tcW w:w="999" w:type="dxa"/>
                  <w:tcBorders>
                    <w:tl2br w:val="nil"/>
                    <w:tr2bl w:val="nil"/>
                  </w:tcBorders>
                  <w:vAlign w:val="center"/>
                </w:tcPr>
                <w:p w14:paraId="5C641B4C">
                  <w:pPr>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箱</w:t>
                  </w:r>
                  <w:r>
                    <w:rPr>
                      <w:rFonts w:hint="default" w:ascii="Times New Roman" w:hAnsi="Times New Roman" w:eastAsia="宋体" w:cs="Times New Roman"/>
                      <w:color w:val="auto"/>
                      <w:sz w:val="21"/>
                      <w:szCs w:val="21"/>
                      <w:highlight w:val="none"/>
                      <w:lang w:val="en-US" w:eastAsia="zh-CN"/>
                    </w:rPr>
                    <w:t>装</w:t>
                  </w:r>
                </w:p>
              </w:tc>
              <w:tc>
                <w:tcPr>
                  <w:tcW w:w="732" w:type="dxa"/>
                  <w:vMerge w:val="restart"/>
                  <w:tcBorders>
                    <w:tl2br w:val="nil"/>
                    <w:tr2bl w:val="nil"/>
                  </w:tcBorders>
                  <w:vAlign w:val="center"/>
                </w:tcPr>
                <w:p w14:paraId="0B47570B">
                  <w:pPr>
                    <w:jc w:val="center"/>
                    <w:rPr>
                      <w:rFonts w:hint="default" w:cs="Times New Roman"/>
                      <w:color w:val="auto"/>
                      <w:sz w:val="21"/>
                      <w:szCs w:val="21"/>
                      <w:highlight w:val="none"/>
                      <w:lang w:val="en-US" w:eastAsia="zh-CN"/>
                    </w:rPr>
                  </w:pPr>
                  <w:r>
                    <w:rPr>
                      <w:rFonts w:hint="eastAsia" w:cs="Times New Roman"/>
                      <w:color w:val="auto"/>
                      <w:sz w:val="21"/>
                      <w:szCs w:val="21"/>
                      <w:highlight w:val="none"/>
                      <w:vertAlign w:val="baseline"/>
                      <w:lang w:val="en-US" w:eastAsia="zh-CN"/>
                    </w:rPr>
                    <w:t>1.14</w:t>
                  </w:r>
                  <w:r>
                    <w:rPr>
                      <w:rFonts w:hint="eastAsia" w:cs="Times New Roman"/>
                      <w:color w:val="auto"/>
                      <w:sz w:val="21"/>
                      <w:szCs w:val="21"/>
                      <w:highlight w:val="none"/>
                      <w:lang w:val="en-US" w:eastAsia="zh-CN"/>
                    </w:rPr>
                    <w:t>吨</w:t>
                  </w:r>
                </w:p>
              </w:tc>
              <w:tc>
                <w:tcPr>
                  <w:tcW w:w="768" w:type="dxa"/>
                  <w:vMerge w:val="restart"/>
                  <w:tcBorders>
                    <w:tl2br w:val="nil"/>
                    <w:tr2bl w:val="nil"/>
                  </w:tcBorders>
                  <w:vAlign w:val="center"/>
                </w:tcPr>
                <w:p w14:paraId="11BAB6E1">
                  <w:pPr>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6.0</w:t>
                  </w:r>
                </w:p>
              </w:tc>
              <w:tc>
                <w:tcPr>
                  <w:tcW w:w="768" w:type="dxa"/>
                  <w:vMerge w:val="restart"/>
                  <w:tcBorders>
                    <w:tl2br w:val="nil"/>
                    <w:tr2bl w:val="nil"/>
                  </w:tcBorders>
                  <w:vAlign w:val="center"/>
                </w:tcPr>
                <w:p w14:paraId="40281055">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2吨</w:t>
                  </w:r>
                </w:p>
              </w:tc>
              <w:tc>
                <w:tcPr>
                  <w:tcW w:w="924" w:type="dxa"/>
                  <w:vMerge w:val="restart"/>
                  <w:tcBorders>
                    <w:tl2br w:val="nil"/>
                    <w:tr2bl w:val="nil"/>
                  </w:tcBorders>
                  <w:vAlign w:val="center"/>
                </w:tcPr>
                <w:p w14:paraId="233ABAC6">
                  <w:pPr>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6</w:t>
                  </w:r>
                  <w:r>
                    <w:rPr>
                      <w:rFonts w:hint="default" w:ascii="Times New Roman" w:hAnsi="Times New Roman" w:eastAsia="宋体" w:cs="Times New Roman"/>
                      <w:color w:val="auto"/>
                      <w:sz w:val="21"/>
                      <w:szCs w:val="21"/>
                      <w:highlight w:val="none"/>
                      <w:lang w:val="en-US" w:eastAsia="zh-CN"/>
                    </w:rPr>
                    <w:t>个月</w:t>
                  </w:r>
                </w:p>
              </w:tc>
            </w:tr>
            <w:tr w14:paraId="5987D90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63" w:type="dxa"/>
                  <w:tcBorders>
                    <w:tl2br w:val="nil"/>
                    <w:tr2bl w:val="nil"/>
                  </w:tcBorders>
                  <w:vAlign w:val="center"/>
                </w:tcPr>
                <w:p w14:paraId="32B32C73">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p>
              </w:tc>
              <w:tc>
                <w:tcPr>
                  <w:tcW w:w="1484" w:type="dxa"/>
                  <w:tcBorders>
                    <w:tl2br w:val="nil"/>
                    <w:tr2bl w:val="nil"/>
                  </w:tcBorders>
                  <w:shd w:val="clear" w:color="auto" w:fill="auto"/>
                  <w:vAlign w:val="center"/>
                </w:tcPr>
                <w:p w14:paraId="4E116741">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废一次性实验耗材</w:t>
                  </w:r>
                </w:p>
              </w:tc>
              <w:tc>
                <w:tcPr>
                  <w:tcW w:w="1321" w:type="dxa"/>
                  <w:tcBorders>
                    <w:tl2br w:val="nil"/>
                    <w:tr2bl w:val="nil"/>
                  </w:tcBorders>
                  <w:shd w:val="clear" w:color="auto" w:fill="auto"/>
                  <w:vAlign w:val="center"/>
                </w:tcPr>
                <w:p w14:paraId="022F884C">
                  <w:pPr>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900-04</w:t>
                  </w:r>
                  <w:r>
                    <w:rPr>
                      <w:rFonts w:hint="eastAsia"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lang w:val="en-US" w:eastAsia="zh-CN"/>
                    </w:rPr>
                    <w:t>-49</w:t>
                  </w:r>
                </w:p>
              </w:tc>
              <w:tc>
                <w:tcPr>
                  <w:tcW w:w="999" w:type="dxa"/>
                  <w:tcBorders>
                    <w:tl2br w:val="nil"/>
                    <w:tr2bl w:val="nil"/>
                  </w:tcBorders>
                  <w:vAlign w:val="center"/>
                </w:tcPr>
                <w:p w14:paraId="50FC90DE">
                  <w:pPr>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袋装</w:t>
                  </w:r>
                </w:p>
              </w:tc>
              <w:tc>
                <w:tcPr>
                  <w:tcW w:w="732" w:type="dxa"/>
                  <w:vMerge w:val="continue"/>
                  <w:tcBorders>
                    <w:tl2br w:val="nil"/>
                    <w:tr2bl w:val="nil"/>
                  </w:tcBorders>
                  <w:vAlign w:val="center"/>
                </w:tcPr>
                <w:p w14:paraId="20A47BFB">
                  <w:pPr>
                    <w:jc w:val="center"/>
                    <w:rPr>
                      <w:rFonts w:hint="default" w:ascii="Times New Roman" w:hAnsi="Times New Roman" w:eastAsia="宋体" w:cs="Times New Roman"/>
                      <w:color w:val="auto"/>
                      <w:sz w:val="21"/>
                      <w:szCs w:val="21"/>
                      <w:highlight w:val="none"/>
                      <w:lang w:val="en-US" w:eastAsia="zh-CN"/>
                    </w:rPr>
                  </w:pPr>
                </w:p>
              </w:tc>
              <w:tc>
                <w:tcPr>
                  <w:tcW w:w="768" w:type="dxa"/>
                  <w:vMerge w:val="continue"/>
                  <w:tcBorders>
                    <w:tl2br w:val="nil"/>
                    <w:tr2bl w:val="nil"/>
                  </w:tcBorders>
                  <w:vAlign w:val="center"/>
                </w:tcPr>
                <w:p w14:paraId="7572F13E">
                  <w:pPr>
                    <w:jc w:val="center"/>
                    <w:rPr>
                      <w:rFonts w:hint="default" w:ascii="Times New Roman" w:hAnsi="Times New Roman" w:eastAsia="宋体" w:cs="Times New Roman"/>
                      <w:color w:val="auto"/>
                      <w:sz w:val="21"/>
                      <w:szCs w:val="21"/>
                      <w:highlight w:val="none"/>
                      <w:lang w:val="en-US" w:eastAsia="zh-CN"/>
                    </w:rPr>
                  </w:pPr>
                </w:p>
              </w:tc>
              <w:tc>
                <w:tcPr>
                  <w:tcW w:w="768" w:type="dxa"/>
                  <w:vMerge w:val="continue"/>
                  <w:tcBorders>
                    <w:tl2br w:val="nil"/>
                    <w:tr2bl w:val="nil"/>
                  </w:tcBorders>
                  <w:vAlign w:val="center"/>
                </w:tcPr>
                <w:p w14:paraId="6EDF7A86">
                  <w:pPr>
                    <w:jc w:val="center"/>
                    <w:rPr>
                      <w:rFonts w:hint="default" w:ascii="Times New Roman" w:hAnsi="Times New Roman" w:eastAsia="宋体" w:cs="Times New Roman"/>
                      <w:color w:val="auto"/>
                      <w:sz w:val="21"/>
                      <w:szCs w:val="21"/>
                      <w:highlight w:val="none"/>
                      <w:lang w:val="en-US" w:eastAsia="zh-CN"/>
                    </w:rPr>
                  </w:pPr>
                </w:p>
              </w:tc>
              <w:tc>
                <w:tcPr>
                  <w:tcW w:w="924" w:type="dxa"/>
                  <w:vMerge w:val="continue"/>
                  <w:tcBorders>
                    <w:tl2br w:val="nil"/>
                    <w:tr2bl w:val="nil"/>
                  </w:tcBorders>
                  <w:vAlign w:val="center"/>
                </w:tcPr>
                <w:p w14:paraId="0FA44BBB">
                  <w:pPr>
                    <w:jc w:val="center"/>
                    <w:rPr>
                      <w:rFonts w:hint="default" w:ascii="Times New Roman" w:hAnsi="Times New Roman" w:eastAsia="宋体" w:cs="Times New Roman"/>
                      <w:color w:val="auto"/>
                      <w:sz w:val="21"/>
                      <w:szCs w:val="21"/>
                      <w:highlight w:val="none"/>
                      <w:lang w:val="en-US" w:eastAsia="zh-CN"/>
                    </w:rPr>
                  </w:pPr>
                </w:p>
              </w:tc>
            </w:tr>
            <w:tr w14:paraId="4D8D753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63" w:type="dxa"/>
                  <w:tcBorders>
                    <w:tl2br w:val="nil"/>
                    <w:tr2bl w:val="nil"/>
                  </w:tcBorders>
                  <w:vAlign w:val="center"/>
                </w:tcPr>
                <w:p w14:paraId="307677A2">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3</w:t>
                  </w:r>
                </w:p>
              </w:tc>
              <w:tc>
                <w:tcPr>
                  <w:tcW w:w="1484" w:type="dxa"/>
                  <w:tcBorders>
                    <w:tl2br w:val="nil"/>
                    <w:tr2bl w:val="nil"/>
                  </w:tcBorders>
                  <w:shd w:val="clear" w:color="auto" w:fill="auto"/>
                  <w:vAlign w:val="center"/>
                </w:tcPr>
                <w:p w14:paraId="660F2E5C">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清洗废液</w:t>
                  </w:r>
                </w:p>
              </w:tc>
              <w:tc>
                <w:tcPr>
                  <w:tcW w:w="1321" w:type="dxa"/>
                  <w:tcBorders>
                    <w:tl2br w:val="nil"/>
                    <w:tr2bl w:val="nil"/>
                  </w:tcBorders>
                  <w:shd w:val="clear" w:color="auto" w:fill="auto"/>
                  <w:vAlign w:val="center"/>
                </w:tcPr>
                <w:p w14:paraId="753D3AEE">
                  <w:pPr>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900-04</w:t>
                  </w:r>
                  <w:r>
                    <w:rPr>
                      <w:rFonts w:hint="eastAsia" w:cs="Times New Roman"/>
                      <w:color w:val="auto"/>
                      <w:sz w:val="21"/>
                      <w:szCs w:val="21"/>
                      <w:highlight w:val="none"/>
                      <w:lang w:val="en-US" w:eastAsia="zh-CN"/>
                    </w:rPr>
                    <w:t>7</w:t>
                  </w:r>
                  <w:r>
                    <w:rPr>
                      <w:rFonts w:hint="default" w:ascii="Times New Roman" w:hAnsi="Times New Roman" w:eastAsia="宋体" w:cs="Times New Roman"/>
                      <w:color w:val="auto"/>
                      <w:sz w:val="21"/>
                      <w:szCs w:val="21"/>
                      <w:highlight w:val="none"/>
                      <w:lang w:val="en-US" w:eastAsia="zh-CN"/>
                    </w:rPr>
                    <w:t>-49</w:t>
                  </w:r>
                </w:p>
              </w:tc>
              <w:tc>
                <w:tcPr>
                  <w:tcW w:w="999" w:type="dxa"/>
                  <w:tcBorders>
                    <w:tl2br w:val="nil"/>
                    <w:tr2bl w:val="nil"/>
                  </w:tcBorders>
                  <w:vAlign w:val="center"/>
                </w:tcPr>
                <w:p w14:paraId="0AA00EC0">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桶装</w:t>
                  </w:r>
                </w:p>
              </w:tc>
              <w:tc>
                <w:tcPr>
                  <w:tcW w:w="732" w:type="dxa"/>
                  <w:vMerge w:val="continue"/>
                  <w:tcBorders>
                    <w:tl2br w:val="nil"/>
                    <w:tr2bl w:val="nil"/>
                  </w:tcBorders>
                  <w:vAlign w:val="center"/>
                </w:tcPr>
                <w:p w14:paraId="73724145">
                  <w:pPr>
                    <w:jc w:val="center"/>
                    <w:rPr>
                      <w:rFonts w:hint="default" w:ascii="Times New Roman" w:hAnsi="Times New Roman" w:eastAsia="宋体" w:cs="Times New Roman"/>
                      <w:color w:val="auto"/>
                      <w:sz w:val="21"/>
                      <w:szCs w:val="21"/>
                      <w:highlight w:val="none"/>
                      <w:lang w:val="en-US" w:eastAsia="zh-CN"/>
                    </w:rPr>
                  </w:pPr>
                </w:p>
              </w:tc>
              <w:tc>
                <w:tcPr>
                  <w:tcW w:w="768" w:type="dxa"/>
                  <w:vMerge w:val="continue"/>
                  <w:tcBorders>
                    <w:tl2br w:val="nil"/>
                    <w:tr2bl w:val="nil"/>
                  </w:tcBorders>
                  <w:vAlign w:val="center"/>
                </w:tcPr>
                <w:p w14:paraId="79C85DEC">
                  <w:pPr>
                    <w:jc w:val="center"/>
                    <w:rPr>
                      <w:rFonts w:hint="default" w:ascii="Times New Roman" w:hAnsi="Times New Roman" w:eastAsia="宋体" w:cs="Times New Roman"/>
                      <w:color w:val="auto"/>
                      <w:sz w:val="21"/>
                      <w:szCs w:val="21"/>
                      <w:highlight w:val="none"/>
                      <w:lang w:val="en-US" w:eastAsia="zh-CN"/>
                    </w:rPr>
                  </w:pPr>
                </w:p>
              </w:tc>
              <w:tc>
                <w:tcPr>
                  <w:tcW w:w="768" w:type="dxa"/>
                  <w:vMerge w:val="continue"/>
                  <w:tcBorders>
                    <w:tl2br w:val="nil"/>
                    <w:tr2bl w:val="nil"/>
                  </w:tcBorders>
                  <w:vAlign w:val="center"/>
                </w:tcPr>
                <w:p w14:paraId="00D14378">
                  <w:pPr>
                    <w:jc w:val="center"/>
                    <w:rPr>
                      <w:rFonts w:hint="default" w:ascii="Times New Roman" w:hAnsi="Times New Roman" w:eastAsia="宋体" w:cs="Times New Roman"/>
                      <w:color w:val="auto"/>
                      <w:sz w:val="21"/>
                      <w:szCs w:val="21"/>
                      <w:highlight w:val="none"/>
                      <w:lang w:val="en-US" w:eastAsia="zh-CN"/>
                    </w:rPr>
                  </w:pPr>
                </w:p>
              </w:tc>
              <w:tc>
                <w:tcPr>
                  <w:tcW w:w="924" w:type="dxa"/>
                  <w:vMerge w:val="continue"/>
                  <w:tcBorders>
                    <w:tl2br w:val="nil"/>
                    <w:tr2bl w:val="nil"/>
                  </w:tcBorders>
                  <w:vAlign w:val="center"/>
                </w:tcPr>
                <w:p w14:paraId="53BBD3B0">
                  <w:pPr>
                    <w:jc w:val="center"/>
                    <w:rPr>
                      <w:rFonts w:hint="default" w:ascii="Times New Roman" w:hAnsi="Times New Roman" w:eastAsia="宋体" w:cs="Times New Roman"/>
                      <w:color w:val="auto"/>
                      <w:sz w:val="21"/>
                      <w:szCs w:val="21"/>
                      <w:highlight w:val="none"/>
                      <w:lang w:val="en-US" w:eastAsia="zh-CN"/>
                    </w:rPr>
                  </w:pPr>
                </w:p>
              </w:tc>
            </w:tr>
            <w:tr w14:paraId="4628FF8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63" w:type="dxa"/>
                  <w:tcBorders>
                    <w:tl2br w:val="nil"/>
                    <w:tr2bl w:val="nil"/>
                  </w:tcBorders>
                  <w:vAlign w:val="center"/>
                </w:tcPr>
                <w:p w14:paraId="0478F994">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w:t>
                  </w:r>
                </w:p>
              </w:tc>
              <w:tc>
                <w:tcPr>
                  <w:tcW w:w="1484" w:type="dxa"/>
                  <w:tcBorders>
                    <w:tl2br w:val="nil"/>
                    <w:tr2bl w:val="nil"/>
                  </w:tcBorders>
                  <w:shd w:val="clear" w:color="auto" w:fill="auto"/>
                  <w:vAlign w:val="center"/>
                </w:tcPr>
                <w:p w14:paraId="27336996">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4"/>
                      <w:highlight w:val="none"/>
                      <w:lang w:val="en-US" w:eastAsia="zh-CN"/>
                    </w:rPr>
                    <w:t>废N-甲基吡咯烷酮</w:t>
                  </w:r>
                </w:p>
              </w:tc>
              <w:tc>
                <w:tcPr>
                  <w:tcW w:w="1321" w:type="dxa"/>
                  <w:tcBorders>
                    <w:tl2br w:val="nil"/>
                    <w:tr2bl w:val="nil"/>
                  </w:tcBorders>
                  <w:shd w:val="clear" w:color="auto" w:fill="auto"/>
                  <w:vAlign w:val="center"/>
                </w:tcPr>
                <w:p w14:paraId="15AC82CE">
                  <w:pPr>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900-047-49</w:t>
                  </w:r>
                </w:p>
              </w:tc>
              <w:tc>
                <w:tcPr>
                  <w:tcW w:w="999" w:type="dxa"/>
                  <w:tcBorders>
                    <w:tl2br w:val="nil"/>
                    <w:tr2bl w:val="nil"/>
                  </w:tcBorders>
                  <w:vAlign w:val="center"/>
                </w:tcPr>
                <w:p w14:paraId="5C922703">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桶装</w:t>
                  </w:r>
                </w:p>
              </w:tc>
              <w:tc>
                <w:tcPr>
                  <w:tcW w:w="732" w:type="dxa"/>
                  <w:vMerge w:val="continue"/>
                  <w:tcBorders>
                    <w:tl2br w:val="nil"/>
                    <w:tr2bl w:val="nil"/>
                  </w:tcBorders>
                  <w:vAlign w:val="center"/>
                </w:tcPr>
                <w:p w14:paraId="40584036">
                  <w:pPr>
                    <w:jc w:val="center"/>
                    <w:rPr>
                      <w:rFonts w:hint="default" w:ascii="Times New Roman" w:hAnsi="Times New Roman" w:eastAsia="宋体" w:cs="Times New Roman"/>
                      <w:color w:val="auto"/>
                      <w:sz w:val="21"/>
                      <w:szCs w:val="21"/>
                      <w:highlight w:val="none"/>
                      <w:lang w:val="en-US" w:eastAsia="zh-CN"/>
                    </w:rPr>
                  </w:pPr>
                </w:p>
              </w:tc>
              <w:tc>
                <w:tcPr>
                  <w:tcW w:w="768" w:type="dxa"/>
                  <w:vMerge w:val="continue"/>
                  <w:tcBorders>
                    <w:tl2br w:val="nil"/>
                    <w:tr2bl w:val="nil"/>
                  </w:tcBorders>
                  <w:vAlign w:val="center"/>
                </w:tcPr>
                <w:p w14:paraId="5455F812">
                  <w:pPr>
                    <w:jc w:val="center"/>
                    <w:rPr>
                      <w:rFonts w:hint="default" w:ascii="Times New Roman" w:hAnsi="Times New Roman" w:eastAsia="宋体" w:cs="Times New Roman"/>
                      <w:color w:val="auto"/>
                      <w:sz w:val="21"/>
                      <w:szCs w:val="21"/>
                      <w:highlight w:val="none"/>
                      <w:lang w:val="en-US" w:eastAsia="zh-CN"/>
                    </w:rPr>
                  </w:pPr>
                </w:p>
              </w:tc>
              <w:tc>
                <w:tcPr>
                  <w:tcW w:w="768" w:type="dxa"/>
                  <w:vMerge w:val="continue"/>
                  <w:tcBorders>
                    <w:tl2br w:val="nil"/>
                    <w:tr2bl w:val="nil"/>
                  </w:tcBorders>
                  <w:vAlign w:val="center"/>
                </w:tcPr>
                <w:p w14:paraId="41C63DC9">
                  <w:pPr>
                    <w:jc w:val="center"/>
                    <w:rPr>
                      <w:rFonts w:hint="default" w:ascii="Times New Roman" w:hAnsi="Times New Roman" w:eastAsia="宋体" w:cs="Times New Roman"/>
                      <w:color w:val="auto"/>
                      <w:sz w:val="21"/>
                      <w:szCs w:val="21"/>
                      <w:highlight w:val="none"/>
                      <w:lang w:val="en-US" w:eastAsia="zh-CN"/>
                    </w:rPr>
                  </w:pPr>
                </w:p>
              </w:tc>
              <w:tc>
                <w:tcPr>
                  <w:tcW w:w="924" w:type="dxa"/>
                  <w:vMerge w:val="continue"/>
                  <w:tcBorders>
                    <w:tl2br w:val="nil"/>
                    <w:tr2bl w:val="nil"/>
                  </w:tcBorders>
                  <w:vAlign w:val="center"/>
                </w:tcPr>
                <w:p w14:paraId="2D5AB1F7">
                  <w:pPr>
                    <w:jc w:val="center"/>
                    <w:rPr>
                      <w:rFonts w:hint="default" w:ascii="Times New Roman" w:hAnsi="Times New Roman" w:eastAsia="宋体" w:cs="Times New Roman"/>
                      <w:color w:val="auto"/>
                      <w:sz w:val="21"/>
                      <w:szCs w:val="21"/>
                      <w:highlight w:val="none"/>
                      <w:lang w:val="en-US" w:eastAsia="zh-CN"/>
                    </w:rPr>
                  </w:pPr>
                </w:p>
              </w:tc>
            </w:tr>
            <w:tr w14:paraId="26D0C45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63" w:type="dxa"/>
                  <w:tcBorders>
                    <w:tl2br w:val="nil"/>
                    <w:tr2bl w:val="nil"/>
                  </w:tcBorders>
                  <w:vAlign w:val="center"/>
                </w:tcPr>
                <w:p w14:paraId="63ACB830">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w:t>
                  </w:r>
                </w:p>
              </w:tc>
              <w:tc>
                <w:tcPr>
                  <w:tcW w:w="1484" w:type="dxa"/>
                  <w:tcBorders>
                    <w:tl2br w:val="nil"/>
                    <w:tr2bl w:val="nil"/>
                  </w:tcBorders>
                  <w:shd w:val="clear" w:color="auto" w:fill="auto"/>
                  <w:vAlign w:val="center"/>
                </w:tcPr>
                <w:p w14:paraId="2FDDBC53">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废活性炭</w:t>
                  </w:r>
                </w:p>
              </w:tc>
              <w:tc>
                <w:tcPr>
                  <w:tcW w:w="1321" w:type="dxa"/>
                  <w:tcBorders>
                    <w:tl2br w:val="nil"/>
                    <w:tr2bl w:val="nil"/>
                  </w:tcBorders>
                  <w:shd w:val="clear" w:color="auto" w:fill="auto"/>
                  <w:vAlign w:val="center"/>
                </w:tcPr>
                <w:p w14:paraId="0F8144EE">
                  <w:pPr>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900-0</w:t>
                  </w:r>
                  <w:r>
                    <w:rPr>
                      <w:rFonts w:hint="eastAsia" w:cs="Times New Roman"/>
                      <w:color w:val="auto"/>
                      <w:sz w:val="21"/>
                      <w:szCs w:val="21"/>
                      <w:highlight w:val="none"/>
                      <w:lang w:val="en-US" w:eastAsia="zh-CN"/>
                    </w:rPr>
                    <w:t>39</w:t>
                  </w:r>
                  <w:r>
                    <w:rPr>
                      <w:rFonts w:hint="default" w:ascii="Times New Roman" w:hAnsi="Times New Roman" w:eastAsia="宋体" w:cs="Times New Roman"/>
                      <w:color w:val="auto"/>
                      <w:sz w:val="21"/>
                      <w:szCs w:val="21"/>
                      <w:highlight w:val="none"/>
                      <w:lang w:val="en-US" w:eastAsia="zh-CN"/>
                    </w:rPr>
                    <w:t>49</w:t>
                  </w:r>
                </w:p>
              </w:tc>
              <w:tc>
                <w:tcPr>
                  <w:tcW w:w="999" w:type="dxa"/>
                  <w:tcBorders>
                    <w:tl2br w:val="nil"/>
                    <w:tr2bl w:val="nil"/>
                  </w:tcBorders>
                  <w:vAlign w:val="center"/>
                </w:tcPr>
                <w:p w14:paraId="4496C890">
                  <w:pPr>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袋装</w:t>
                  </w:r>
                </w:p>
              </w:tc>
              <w:tc>
                <w:tcPr>
                  <w:tcW w:w="732" w:type="dxa"/>
                  <w:vMerge w:val="continue"/>
                  <w:tcBorders>
                    <w:tl2br w:val="nil"/>
                    <w:tr2bl w:val="nil"/>
                  </w:tcBorders>
                  <w:vAlign w:val="center"/>
                </w:tcPr>
                <w:p w14:paraId="78063627">
                  <w:pPr>
                    <w:jc w:val="center"/>
                    <w:rPr>
                      <w:rFonts w:hint="default" w:ascii="Times New Roman" w:hAnsi="Times New Roman" w:eastAsia="宋体" w:cs="Times New Roman"/>
                      <w:color w:val="auto"/>
                      <w:sz w:val="21"/>
                      <w:szCs w:val="21"/>
                      <w:highlight w:val="none"/>
                      <w:lang w:val="en-US" w:eastAsia="zh-CN"/>
                    </w:rPr>
                  </w:pPr>
                </w:p>
              </w:tc>
              <w:tc>
                <w:tcPr>
                  <w:tcW w:w="768" w:type="dxa"/>
                  <w:vMerge w:val="continue"/>
                  <w:tcBorders>
                    <w:tl2br w:val="nil"/>
                    <w:tr2bl w:val="nil"/>
                  </w:tcBorders>
                  <w:vAlign w:val="center"/>
                </w:tcPr>
                <w:p w14:paraId="0C8C32DC">
                  <w:pPr>
                    <w:jc w:val="center"/>
                    <w:rPr>
                      <w:rFonts w:hint="default" w:ascii="Times New Roman" w:hAnsi="Times New Roman" w:eastAsia="宋体" w:cs="Times New Roman"/>
                      <w:color w:val="auto"/>
                      <w:sz w:val="21"/>
                      <w:szCs w:val="21"/>
                      <w:highlight w:val="none"/>
                      <w:lang w:val="en-US" w:eastAsia="zh-CN"/>
                    </w:rPr>
                  </w:pPr>
                </w:p>
              </w:tc>
              <w:tc>
                <w:tcPr>
                  <w:tcW w:w="768" w:type="dxa"/>
                  <w:vMerge w:val="continue"/>
                  <w:tcBorders>
                    <w:tl2br w:val="nil"/>
                    <w:tr2bl w:val="nil"/>
                  </w:tcBorders>
                  <w:vAlign w:val="center"/>
                </w:tcPr>
                <w:p w14:paraId="2D5A0E64">
                  <w:pPr>
                    <w:jc w:val="center"/>
                    <w:rPr>
                      <w:rFonts w:hint="default" w:ascii="Times New Roman" w:hAnsi="Times New Roman" w:eastAsia="宋体" w:cs="Times New Roman"/>
                      <w:color w:val="auto"/>
                      <w:sz w:val="21"/>
                      <w:szCs w:val="21"/>
                      <w:highlight w:val="none"/>
                      <w:lang w:val="en-US" w:eastAsia="zh-CN"/>
                    </w:rPr>
                  </w:pPr>
                </w:p>
              </w:tc>
              <w:tc>
                <w:tcPr>
                  <w:tcW w:w="924" w:type="dxa"/>
                  <w:vMerge w:val="continue"/>
                  <w:tcBorders>
                    <w:tl2br w:val="nil"/>
                    <w:tr2bl w:val="nil"/>
                  </w:tcBorders>
                  <w:vAlign w:val="center"/>
                </w:tcPr>
                <w:p w14:paraId="7BCBB342">
                  <w:pPr>
                    <w:jc w:val="center"/>
                    <w:rPr>
                      <w:rFonts w:hint="default" w:ascii="Times New Roman" w:hAnsi="Times New Roman" w:eastAsia="宋体" w:cs="Times New Roman"/>
                      <w:color w:val="auto"/>
                      <w:sz w:val="21"/>
                      <w:szCs w:val="21"/>
                      <w:highlight w:val="none"/>
                      <w:lang w:val="en-US" w:eastAsia="zh-CN"/>
                    </w:rPr>
                  </w:pPr>
                </w:p>
              </w:tc>
            </w:tr>
            <w:tr w14:paraId="6304A59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63" w:type="dxa"/>
                  <w:tcBorders>
                    <w:tl2br w:val="nil"/>
                    <w:tr2bl w:val="nil"/>
                  </w:tcBorders>
                  <w:vAlign w:val="center"/>
                </w:tcPr>
                <w:p w14:paraId="1FEE5602">
                  <w:pPr>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6</w:t>
                  </w:r>
                </w:p>
              </w:tc>
              <w:tc>
                <w:tcPr>
                  <w:tcW w:w="1484" w:type="dxa"/>
                  <w:tcBorders>
                    <w:tl2br w:val="nil"/>
                    <w:tr2bl w:val="nil"/>
                  </w:tcBorders>
                  <w:shd w:val="clear" w:color="auto" w:fill="auto"/>
                  <w:vAlign w:val="center"/>
                </w:tcPr>
                <w:p w14:paraId="3341862D">
                  <w:pPr>
                    <w:spacing w:line="240" w:lineRule="auto"/>
                    <w:jc w:val="center"/>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废吸附剂</w:t>
                  </w:r>
                </w:p>
              </w:tc>
              <w:tc>
                <w:tcPr>
                  <w:tcW w:w="1321" w:type="dxa"/>
                  <w:tcBorders>
                    <w:tl2br w:val="nil"/>
                    <w:tr2bl w:val="nil"/>
                  </w:tcBorders>
                  <w:shd w:val="clear" w:color="auto" w:fill="auto"/>
                  <w:vAlign w:val="center"/>
                </w:tcPr>
                <w:p w14:paraId="43A5E1FA">
                  <w:pPr>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900-0</w:t>
                  </w:r>
                  <w:r>
                    <w:rPr>
                      <w:rFonts w:hint="eastAsia" w:cs="Times New Roman"/>
                      <w:color w:val="auto"/>
                      <w:sz w:val="21"/>
                      <w:szCs w:val="21"/>
                      <w:highlight w:val="none"/>
                      <w:lang w:val="en-US" w:eastAsia="zh-CN"/>
                    </w:rPr>
                    <w:t>39</w:t>
                  </w:r>
                  <w:r>
                    <w:rPr>
                      <w:rFonts w:hint="default" w:ascii="Times New Roman" w:hAnsi="Times New Roman" w:eastAsia="宋体" w:cs="Times New Roman"/>
                      <w:color w:val="auto"/>
                      <w:sz w:val="21"/>
                      <w:szCs w:val="21"/>
                      <w:highlight w:val="none"/>
                      <w:lang w:val="en-US" w:eastAsia="zh-CN"/>
                    </w:rPr>
                    <w:t>- 49</w:t>
                  </w:r>
                </w:p>
              </w:tc>
              <w:tc>
                <w:tcPr>
                  <w:tcW w:w="999" w:type="dxa"/>
                  <w:tcBorders>
                    <w:tl2br w:val="nil"/>
                    <w:tr2bl w:val="nil"/>
                  </w:tcBorders>
                  <w:vAlign w:val="center"/>
                </w:tcPr>
                <w:p w14:paraId="3C90F981">
                  <w:pPr>
                    <w:jc w:val="center"/>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袋装</w:t>
                  </w:r>
                </w:p>
              </w:tc>
              <w:tc>
                <w:tcPr>
                  <w:tcW w:w="732" w:type="dxa"/>
                  <w:vMerge w:val="continue"/>
                  <w:tcBorders>
                    <w:tl2br w:val="nil"/>
                    <w:tr2bl w:val="nil"/>
                  </w:tcBorders>
                  <w:vAlign w:val="center"/>
                </w:tcPr>
                <w:p w14:paraId="313D8364">
                  <w:pPr>
                    <w:jc w:val="center"/>
                    <w:rPr>
                      <w:rFonts w:hint="default" w:ascii="Times New Roman" w:hAnsi="Times New Roman" w:eastAsia="宋体" w:cs="Times New Roman"/>
                      <w:color w:val="auto"/>
                      <w:sz w:val="21"/>
                      <w:szCs w:val="21"/>
                      <w:highlight w:val="none"/>
                      <w:lang w:val="en-US" w:eastAsia="zh-CN"/>
                    </w:rPr>
                  </w:pPr>
                </w:p>
              </w:tc>
              <w:tc>
                <w:tcPr>
                  <w:tcW w:w="768" w:type="dxa"/>
                  <w:vMerge w:val="continue"/>
                  <w:tcBorders>
                    <w:tl2br w:val="nil"/>
                    <w:tr2bl w:val="nil"/>
                  </w:tcBorders>
                  <w:vAlign w:val="center"/>
                </w:tcPr>
                <w:p w14:paraId="364F2538">
                  <w:pPr>
                    <w:jc w:val="center"/>
                    <w:rPr>
                      <w:rFonts w:hint="default" w:ascii="Times New Roman" w:hAnsi="Times New Roman" w:eastAsia="宋体" w:cs="Times New Roman"/>
                      <w:color w:val="auto"/>
                      <w:sz w:val="21"/>
                      <w:szCs w:val="21"/>
                      <w:highlight w:val="none"/>
                      <w:lang w:val="en-US" w:eastAsia="zh-CN"/>
                    </w:rPr>
                  </w:pPr>
                </w:p>
              </w:tc>
              <w:tc>
                <w:tcPr>
                  <w:tcW w:w="768" w:type="dxa"/>
                  <w:vMerge w:val="continue"/>
                  <w:tcBorders>
                    <w:tl2br w:val="nil"/>
                    <w:tr2bl w:val="nil"/>
                  </w:tcBorders>
                  <w:vAlign w:val="center"/>
                </w:tcPr>
                <w:p w14:paraId="484A65AF">
                  <w:pPr>
                    <w:jc w:val="center"/>
                    <w:rPr>
                      <w:rFonts w:hint="default" w:ascii="Times New Roman" w:hAnsi="Times New Roman" w:eastAsia="宋体" w:cs="Times New Roman"/>
                      <w:color w:val="auto"/>
                      <w:sz w:val="21"/>
                      <w:szCs w:val="21"/>
                      <w:highlight w:val="none"/>
                      <w:lang w:val="en-US" w:eastAsia="zh-CN"/>
                    </w:rPr>
                  </w:pPr>
                </w:p>
              </w:tc>
              <w:tc>
                <w:tcPr>
                  <w:tcW w:w="924" w:type="dxa"/>
                  <w:vMerge w:val="continue"/>
                  <w:tcBorders>
                    <w:tl2br w:val="nil"/>
                    <w:tr2bl w:val="nil"/>
                  </w:tcBorders>
                  <w:vAlign w:val="center"/>
                </w:tcPr>
                <w:p w14:paraId="576684AE">
                  <w:pPr>
                    <w:jc w:val="center"/>
                    <w:rPr>
                      <w:rFonts w:hint="default" w:ascii="Times New Roman" w:hAnsi="Times New Roman" w:eastAsia="宋体" w:cs="Times New Roman"/>
                      <w:color w:val="auto"/>
                      <w:sz w:val="21"/>
                      <w:szCs w:val="21"/>
                      <w:highlight w:val="none"/>
                      <w:lang w:val="en-US" w:eastAsia="zh-CN"/>
                    </w:rPr>
                  </w:pPr>
                </w:p>
              </w:tc>
            </w:tr>
            <w:tr w14:paraId="2DA55B4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63" w:type="dxa"/>
                  <w:tcBorders>
                    <w:tl2br w:val="nil"/>
                    <w:tr2bl w:val="nil"/>
                  </w:tcBorders>
                  <w:vAlign w:val="center"/>
                </w:tcPr>
                <w:p w14:paraId="7C720D47">
                  <w:pPr>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7</w:t>
                  </w:r>
                </w:p>
              </w:tc>
              <w:tc>
                <w:tcPr>
                  <w:tcW w:w="1484" w:type="dxa"/>
                  <w:tcBorders>
                    <w:tl2br w:val="nil"/>
                    <w:tr2bl w:val="nil"/>
                  </w:tcBorders>
                  <w:shd w:val="clear" w:color="auto" w:fill="auto"/>
                  <w:vAlign w:val="center"/>
                </w:tcPr>
                <w:p w14:paraId="1FCBEA2F">
                  <w:pPr>
                    <w:spacing w:line="240" w:lineRule="auto"/>
                    <w:jc w:val="center"/>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废润滑油</w:t>
                  </w:r>
                </w:p>
              </w:tc>
              <w:tc>
                <w:tcPr>
                  <w:tcW w:w="1321" w:type="dxa"/>
                  <w:tcBorders>
                    <w:tl2br w:val="nil"/>
                    <w:tr2bl w:val="nil"/>
                  </w:tcBorders>
                  <w:shd w:val="clear" w:color="auto" w:fill="auto"/>
                  <w:vAlign w:val="center"/>
                </w:tcPr>
                <w:p w14:paraId="2DC118FE">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900-214-08</w:t>
                  </w:r>
                </w:p>
              </w:tc>
              <w:tc>
                <w:tcPr>
                  <w:tcW w:w="999" w:type="dxa"/>
                  <w:tcBorders>
                    <w:tl2br w:val="nil"/>
                    <w:tr2bl w:val="nil"/>
                  </w:tcBorders>
                  <w:vAlign w:val="center"/>
                </w:tcPr>
                <w:p w14:paraId="77654B1B">
                  <w:pPr>
                    <w:jc w:val="center"/>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桶</w:t>
                  </w:r>
                  <w:r>
                    <w:rPr>
                      <w:rFonts w:hint="default" w:ascii="Times New Roman" w:hAnsi="Times New Roman" w:eastAsia="宋体" w:cs="Times New Roman"/>
                      <w:color w:val="auto"/>
                      <w:sz w:val="21"/>
                      <w:szCs w:val="21"/>
                      <w:highlight w:val="none"/>
                      <w:lang w:val="en-US" w:eastAsia="zh-CN"/>
                    </w:rPr>
                    <w:t>装</w:t>
                  </w:r>
                </w:p>
              </w:tc>
              <w:tc>
                <w:tcPr>
                  <w:tcW w:w="732" w:type="dxa"/>
                  <w:vMerge w:val="continue"/>
                  <w:tcBorders>
                    <w:tl2br w:val="nil"/>
                    <w:tr2bl w:val="nil"/>
                  </w:tcBorders>
                  <w:vAlign w:val="center"/>
                </w:tcPr>
                <w:p w14:paraId="1C5DC38F">
                  <w:pPr>
                    <w:jc w:val="center"/>
                    <w:rPr>
                      <w:rFonts w:hint="default" w:ascii="Times New Roman" w:hAnsi="Times New Roman" w:eastAsia="宋体" w:cs="Times New Roman"/>
                      <w:color w:val="auto"/>
                      <w:sz w:val="21"/>
                      <w:szCs w:val="21"/>
                      <w:highlight w:val="none"/>
                      <w:lang w:val="en-US" w:eastAsia="zh-CN"/>
                    </w:rPr>
                  </w:pPr>
                </w:p>
              </w:tc>
              <w:tc>
                <w:tcPr>
                  <w:tcW w:w="768" w:type="dxa"/>
                  <w:vMerge w:val="continue"/>
                  <w:tcBorders>
                    <w:tl2br w:val="nil"/>
                    <w:tr2bl w:val="nil"/>
                  </w:tcBorders>
                  <w:vAlign w:val="center"/>
                </w:tcPr>
                <w:p w14:paraId="64E3B98C">
                  <w:pPr>
                    <w:jc w:val="center"/>
                    <w:rPr>
                      <w:rFonts w:hint="default" w:ascii="Times New Roman" w:hAnsi="Times New Roman" w:eastAsia="宋体" w:cs="Times New Roman"/>
                      <w:color w:val="auto"/>
                      <w:sz w:val="21"/>
                      <w:szCs w:val="21"/>
                      <w:highlight w:val="none"/>
                      <w:lang w:val="en-US" w:eastAsia="zh-CN"/>
                    </w:rPr>
                  </w:pPr>
                </w:p>
              </w:tc>
              <w:tc>
                <w:tcPr>
                  <w:tcW w:w="768" w:type="dxa"/>
                  <w:vMerge w:val="continue"/>
                  <w:tcBorders>
                    <w:tl2br w:val="nil"/>
                    <w:tr2bl w:val="nil"/>
                  </w:tcBorders>
                  <w:vAlign w:val="center"/>
                </w:tcPr>
                <w:p w14:paraId="7B4B0707">
                  <w:pPr>
                    <w:jc w:val="center"/>
                    <w:rPr>
                      <w:rFonts w:hint="default" w:ascii="Times New Roman" w:hAnsi="Times New Roman" w:eastAsia="宋体" w:cs="Times New Roman"/>
                      <w:color w:val="auto"/>
                      <w:sz w:val="21"/>
                      <w:szCs w:val="21"/>
                      <w:highlight w:val="none"/>
                      <w:lang w:val="en-US" w:eastAsia="zh-CN"/>
                    </w:rPr>
                  </w:pPr>
                </w:p>
              </w:tc>
              <w:tc>
                <w:tcPr>
                  <w:tcW w:w="924" w:type="dxa"/>
                  <w:vMerge w:val="continue"/>
                  <w:tcBorders>
                    <w:tl2br w:val="nil"/>
                    <w:tr2bl w:val="nil"/>
                  </w:tcBorders>
                  <w:vAlign w:val="center"/>
                </w:tcPr>
                <w:p w14:paraId="17C72440">
                  <w:pPr>
                    <w:jc w:val="center"/>
                    <w:rPr>
                      <w:rFonts w:hint="default" w:ascii="Times New Roman" w:hAnsi="Times New Roman" w:eastAsia="宋体" w:cs="Times New Roman"/>
                      <w:color w:val="auto"/>
                      <w:sz w:val="21"/>
                      <w:szCs w:val="21"/>
                      <w:highlight w:val="none"/>
                      <w:lang w:val="en-US" w:eastAsia="zh-CN"/>
                    </w:rPr>
                  </w:pPr>
                </w:p>
              </w:tc>
            </w:tr>
            <w:tr w14:paraId="4E8750C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63" w:type="dxa"/>
                  <w:tcBorders>
                    <w:tl2br w:val="nil"/>
                    <w:tr2bl w:val="nil"/>
                  </w:tcBorders>
                  <w:vAlign w:val="center"/>
                </w:tcPr>
                <w:p w14:paraId="67BEEDDF">
                  <w:pPr>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8</w:t>
                  </w:r>
                </w:p>
              </w:tc>
              <w:tc>
                <w:tcPr>
                  <w:tcW w:w="1484" w:type="dxa"/>
                  <w:tcBorders>
                    <w:tl2br w:val="nil"/>
                    <w:tr2bl w:val="nil"/>
                  </w:tcBorders>
                  <w:shd w:val="clear" w:color="auto" w:fill="auto"/>
                  <w:vAlign w:val="center"/>
                </w:tcPr>
                <w:p w14:paraId="1EFC2787">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废油桶</w:t>
                  </w:r>
                </w:p>
              </w:tc>
              <w:tc>
                <w:tcPr>
                  <w:tcW w:w="1321" w:type="dxa"/>
                  <w:tcBorders>
                    <w:tl2br w:val="nil"/>
                    <w:tr2bl w:val="nil"/>
                  </w:tcBorders>
                  <w:shd w:val="clear" w:color="auto" w:fill="auto"/>
                  <w:vAlign w:val="center"/>
                </w:tcPr>
                <w:p w14:paraId="2E93DD62">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900-249-08</w:t>
                  </w:r>
                </w:p>
              </w:tc>
              <w:tc>
                <w:tcPr>
                  <w:tcW w:w="999" w:type="dxa"/>
                  <w:tcBorders>
                    <w:tl2br w:val="nil"/>
                    <w:tr2bl w:val="nil"/>
                  </w:tcBorders>
                  <w:vAlign w:val="center"/>
                </w:tcPr>
                <w:p w14:paraId="7F480639">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桶装</w:t>
                  </w:r>
                </w:p>
              </w:tc>
              <w:tc>
                <w:tcPr>
                  <w:tcW w:w="732" w:type="dxa"/>
                  <w:vMerge w:val="continue"/>
                  <w:tcBorders>
                    <w:tl2br w:val="nil"/>
                    <w:tr2bl w:val="nil"/>
                  </w:tcBorders>
                  <w:vAlign w:val="center"/>
                </w:tcPr>
                <w:p w14:paraId="398A35BD">
                  <w:pPr>
                    <w:jc w:val="center"/>
                    <w:rPr>
                      <w:rFonts w:hint="default" w:ascii="Times New Roman" w:hAnsi="Times New Roman" w:eastAsia="宋体" w:cs="Times New Roman"/>
                      <w:color w:val="auto"/>
                      <w:sz w:val="21"/>
                      <w:szCs w:val="21"/>
                      <w:highlight w:val="none"/>
                      <w:lang w:val="en-US" w:eastAsia="zh-CN"/>
                    </w:rPr>
                  </w:pPr>
                </w:p>
              </w:tc>
              <w:tc>
                <w:tcPr>
                  <w:tcW w:w="768" w:type="dxa"/>
                  <w:vMerge w:val="continue"/>
                  <w:tcBorders>
                    <w:tl2br w:val="nil"/>
                    <w:tr2bl w:val="nil"/>
                  </w:tcBorders>
                  <w:vAlign w:val="center"/>
                </w:tcPr>
                <w:p w14:paraId="74DE2401">
                  <w:pPr>
                    <w:jc w:val="center"/>
                    <w:rPr>
                      <w:rFonts w:hint="default" w:ascii="Times New Roman" w:hAnsi="Times New Roman" w:eastAsia="宋体" w:cs="Times New Roman"/>
                      <w:color w:val="auto"/>
                      <w:sz w:val="21"/>
                      <w:szCs w:val="21"/>
                      <w:highlight w:val="none"/>
                      <w:lang w:val="en-US" w:eastAsia="zh-CN"/>
                    </w:rPr>
                  </w:pPr>
                </w:p>
              </w:tc>
              <w:tc>
                <w:tcPr>
                  <w:tcW w:w="768" w:type="dxa"/>
                  <w:vMerge w:val="continue"/>
                  <w:tcBorders>
                    <w:tl2br w:val="nil"/>
                    <w:tr2bl w:val="nil"/>
                  </w:tcBorders>
                  <w:vAlign w:val="center"/>
                </w:tcPr>
                <w:p w14:paraId="5CB858AE">
                  <w:pPr>
                    <w:jc w:val="center"/>
                    <w:rPr>
                      <w:rFonts w:hint="default" w:ascii="Times New Roman" w:hAnsi="Times New Roman" w:eastAsia="宋体" w:cs="Times New Roman"/>
                      <w:color w:val="auto"/>
                      <w:sz w:val="21"/>
                      <w:szCs w:val="21"/>
                      <w:highlight w:val="none"/>
                      <w:lang w:val="en-US" w:eastAsia="zh-CN"/>
                    </w:rPr>
                  </w:pPr>
                </w:p>
              </w:tc>
              <w:tc>
                <w:tcPr>
                  <w:tcW w:w="924" w:type="dxa"/>
                  <w:vMerge w:val="continue"/>
                  <w:tcBorders>
                    <w:tl2br w:val="nil"/>
                    <w:tr2bl w:val="nil"/>
                  </w:tcBorders>
                  <w:vAlign w:val="center"/>
                </w:tcPr>
                <w:p w14:paraId="68E6CAB0">
                  <w:pPr>
                    <w:jc w:val="center"/>
                    <w:rPr>
                      <w:rFonts w:hint="default" w:ascii="Times New Roman" w:hAnsi="Times New Roman" w:eastAsia="宋体" w:cs="Times New Roman"/>
                      <w:color w:val="auto"/>
                      <w:sz w:val="21"/>
                      <w:szCs w:val="21"/>
                      <w:highlight w:val="none"/>
                      <w:lang w:val="en-US" w:eastAsia="zh-CN"/>
                    </w:rPr>
                  </w:pPr>
                </w:p>
              </w:tc>
            </w:tr>
          </w:tbl>
          <w:p w14:paraId="4E3B48BB">
            <w:pPr>
              <w:adjustRightInd w:val="0"/>
              <w:spacing w:line="360" w:lineRule="auto"/>
              <w:ind w:firstLine="480" w:firstLineChars="200"/>
              <w:rPr>
                <w:rFonts w:hint="default" w:ascii="Times New Roman" w:hAnsi="Times New Roman" w:eastAsia="宋体" w:cs="Times New Roman"/>
                <w:color w:val="auto"/>
                <w:sz w:val="24"/>
                <w:highlight w:val="none"/>
              </w:rPr>
            </w:pPr>
            <w:r>
              <w:rPr>
                <w:rFonts w:hint="eastAsia" w:cs="Times New Roman"/>
                <w:color w:val="auto"/>
                <w:sz w:val="24"/>
                <w:highlight w:val="none"/>
                <w:lang w:val="en-US" w:eastAsia="zh-CN"/>
              </w:rPr>
              <w:t>本</w:t>
            </w:r>
            <w:r>
              <w:rPr>
                <w:rFonts w:hint="eastAsia" w:ascii="Times New Roman" w:hAnsi="Times New Roman" w:eastAsia="宋体" w:cs="Times New Roman"/>
                <w:color w:val="auto"/>
                <w:sz w:val="24"/>
                <w:highlight w:val="none"/>
                <w:lang w:val="en-US" w:eastAsia="zh-CN"/>
              </w:rPr>
              <w:t>项目危险废物的</w:t>
            </w:r>
            <w:r>
              <w:rPr>
                <w:rFonts w:hint="default" w:ascii="Times New Roman" w:hAnsi="Times New Roman" w:eastAsia="宋体" w:cs="Times New Roman"/>
                <w:color w:val="auto"/>
                <w:sz w:val="24"/>
                <w:highlight w:val="none"/>
                <w:lang w:val="en-US" w:eastAsia="zh-CN"/>
              </w:rPr>
              <w:t>产生量</w:t>
            </w:r>
            <w:r>
              <w:rPr>
                <w:rFonts w:hint="eastAsia" w:cs="Times New Roman"/>
                <w:color w:val="auto"/>
                <w:sz w:val="24"/>
                <w:highlight w:val="none"/>
                <w:lang w:val="en-US" w:eastAsia="zh-CN"/>
              </w:rPr>
              <w:t>1.14</w:t>
            </w:r>
            <w:r>
              <w:rPr>
                <w:rFonts w:hint="default" w:ascii="Times New Roman" w:hAnsi="Times New Roman" w:eastAsia="宋体" w:cs="Times New Roman"/>
                <w:color w:val="auto"/>
                <w:sz w:val="24"/>
                <w:highlight w:val="none"/>
                <w:lang w:val="en-US" w:eastAsia="zh-CN"/>
              </w:rPr>
              <w:t>t/a，危险废物暂存间面积为</w:t>
            </w:r>
            <w:r>
              <w:rPr>
                <w:rFonts w:hint="eastAsia" w:cs="Times New Roman"/>
                <w:color w:val="auto"/>
                <w:sz w:val="24"/>
                <w:highlight w:val="none"/>
                <w:lang w:val="en-US" w:eastAsia="zh-CN"/>
              </w:rPr>
              <w:t>6.0</w:t>
            </w:r>
            <w:r>
              <w:rPr>
                <w:rFonts w:hint="default" w:ascii="Times New Roman" w:hAnsi="Times New Roman" w:eastAsia="宋体" w:cs="Times New Roman"/>
                <w:color w:val="auto"/>
                <w:sz w:val="24"/>
                <w:highlight w:val="none"/>
                <w:lang w:val="en-US" w:eastAsia="zh-CN"/>
              </w:rPr>
              <w:t>m</w:t>
            </w:r>
            <w:r>
              <w:rPr>
                <w:rFonts w:hint="default" w:ascii="Times New Roman" w:hAnsi="Times New Roman" w:eastAsia="宋体" w:cs="Times New Roman"/>
                <w:color w:val="auto"/>
                <w:sz w:val="24"/>
                <w:highlight w:val="none"/>
                <w:vertAlign w:val="superscript"/>
                <w:lang w:val="en-US" w:eastAsia="zh-CN"/>
              </w:rPr>
              <w:t>2</w:t>
            </w:r>
            <w:r>
              <w:rPr>
                <w:rFonts w:hint="default" w:ascii="Times New Roman" w:hAnsi="Times New Roman" w:eastAsia="宋体" w:cs="Times New Roman"/>
                <w:color w:val="auto"/>
                <w:sz w:val="24"/>
                <w:highlight w:val="none"/>
                <w:lang w:val="en-US" w:eastAsia="zh-CN"/>
              </w:rPr>
              <w:t>，贮存周期</w:t>
            </w:r>
            <w:r>
              <w:rPr>
                <w:rFonts w:hint="default" w:ascii="Times New Roman" w:hAnsi="Times New Roman" w:cs="Times New Roman"/>
                <w:color w:val="auto"/>
                <w:sz w:val="24"/>
                <w:highlight w:val="none"/>
                <w:lang w:val="en-US" w:eastAsia="zh-CN"/>
              </w:rPr>
              <w:t>6</w:t>
            </w:r>
            <w:r>
              <w:rPr>
                <w:rFonts w:hint="default" w:ascii="Times New Roman" w:hAnsi="Times New Roman" w:eastAsia="宋体" w:cs="Times New Roman"/>
                <w:color w:val="auto"/>
                <w:sz w:val="24"/>
                <w:highlight w:val="none"/>
                <w:lang w:val="en-US" w:eastAsia="zh-CN"/>
              </w:rPr>
              <w:t>个月，贮存量</w:t>
            </w:r>
            <w:r>
              <w:rPr>
                <w:rFonts w:hint="eastAsia" w:cs="Times New Roman"/>
                <w:color w:val="auto"/>
                <w:sz w:val="24"/>
                <w:highlight w:val="none"/>
                <w:lang w:val="en-US" w:eastAsia="zh-CN"/>
              </w:rPr>
              <w:t>0.57</w:t>
            </w:r>
            <w:r>
              <w:rPr>
                <w:rFonts w:hint="default" w:ascii="Times New Roman" w:hAnsi="Times New Roman" w:eastAsia="宋体" w:cs="Times New Roman"/>
                <w:color w:val="auto"/>
                <w:sz w:val="24"/>
                <w:highlight w:val="none"/>
                <w:lang w:val="en-US" w:eastAsia="zh-CN"/>
              </w:rPr>
              <w:t>t，</w:t>
            </w:r>
            <w:r>
              <w:rPr>
                <w:rFonts w:hint="default" w:ascii="Times New Roman" w:hAnsi="Times New Roman" w:cs="Times New Roman"/>
                <w:color w:val="auto"/>
                <w:sz w:val="24"/>
                <w:highlight w:val="none"/>
                <w:lang w:val="en-US" w:eastAsia="zh-CN"/>
              </w:rPr>
              <w:t>危险废</w:t>
            </w:r>
            <w:r>
              <w:rPr>
                <w:rFonts w:hint="eastAsia" w:cs="Times New Roman"/>
                <w:color w:val="auto"/>
                <w:sz w:val="24"/>
                <w:highlight w:val="none"/>
                <w:lang w:val="en-US" w:eastAsia="zh-CN"/>
              </w:rPr>
              <w:t>物暂存间</w:t>
            </w:r>
            <w:r>
              <w:rPr>
                <w:rFonts w:hint="default" w:ascii="Times New Roman" w:hAnsi="Times New Roman" w:eastAsia="宋体" w:cs="Times New Roman"/>
                <w:color w:val="auto"/>
                <w:sz w:val="24"/>
                <w:highlight w:val="none"/>
                <w:lang w:val="en-US" w:eastAsia="zh-CN"/>
              </w:rPr>
              <w:t>贮存能力2t</w:t>
            </w:r>
            <w:r>
              <w:rPr>
                <w:rFonts w:hint="eastAsia"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可以满足本项目产生危险废物的暂存</w:t>
            </w:r>
            <w:r>
              <w:rPr>
                <w:rFonts w:hint="default" w:ascii="Times New Roman" w:hAnsi="Times New Roman" w:eastAsia="宋体" w:cs="Times New Roman"/>
                <w:color w:val="auto"/>
                <w:sz w:val="24"/>
                <w:highlight w:val="none"/>
              </w:rPr>
              <w:t>。</w:t>
            </w:r>
          </w:p>
          <w:p w14:paraId="376ACD31">
            <w:pPr>
              <w:numPr>
                <w:ilvl w:val="0"/>
                <w:numId w:val="0"/>
              </w:numPr>
              <w:adjustRightInd w:val="0"/>
              <w:snapToGrid w:val="0"/>
              <w:spacing w:line="360" w:lineRule="auto"/>
              <w:ind w:leftChars="0" w:firstLine="480" w:firstLineChars="200"/>
              <w:rPr>
                <w:rFonts w:hint="default" w:ascii="Times New Roman" w:hAnsi="Times New Roman" w:eastAsia="宋体" w:cs="Times New Roman"/>
                <w:b w:val="0"/>
                <w:bCs/>
                <w:color w:val="auto"/>
                <w:sz w:val="24"/>
                <w:highlight w:val="none"/>
              </w:rPr>
            </w:pPr>
            <w:r>
              <w:rPr>
                <w:rFonts w:hint="default" w:ascii="Times New Roman" w:hAnsi="Times New Roman" w:eastAsia="宋体" w:cs="Times New Roman"/>
                <w:b w:val="0"/>
                <w:bCs/>
                <w:color w:val="auto"/>
                <w:sz w:val="24"/>
                <w:highlight w:val="none"/>
                <w:lang w:val="en-US" w:eastAsia="zh-CN"/>
              </w:rPr>
              <w:t>（2）</w:t>
            </w:r>
            <w:r>
              <w:rPr>
                <w:rFonts w:hint="default" w:ascii="Times New Roman" w:hAnsi="Times New Roman" w:eastAsia="宋体" w:cs="Times New Roman"/>
                <w:b w:val="0"/>
                <w:bCs/>
                <w:color w:val="auto"/>
                <w:sz w:val="24"/>
                <w:highlight w:val="none"/>
              </w:rPr>
              <w:t>环境管理要求</w:t>
            </w:r>
          </w:p>
          <w:p w14:paraId="37AEBD55">
            <w:pPr>
              <w:numPr>
                <w:ilvl w:val="0"/>
                <w:numId w:val="0"/>
              </w:numPr>
              <w:adjustRightInd w:val="0"/>
              <w:spacing w:line="360" w:lineRule="auto"/>
              <w:ind w:leftChars="200"/>
              <w:rPr>
                <w:rFonts w:hint="default" w:ascii="Times New Roman" w:hAnsi="Times New Roman" w:eastAsia="宋体" w:cs="Times New Roman"/>
                <w:b w:val="0"/>
                <w:bCs w:val="0"/>
                <w:color w:val="auto"/>
                <w:sz w:val="24"/>
                <w:highlight w:val="none"/>
              </w:rPr>
            </w:pPr>
            <w:r>
              <w:rPr>
                <w:rFonts w:hint="eastAsia" w:cs="Times New Roman"/>
                <w:b w:val="0"/>
                <w:bCs w:val="0"/>
                <w:color w:val="auto"/>
                <w:sz w:val="24"/>
                <w:highlight w:val="none"/>
                <w:lang w:val="en-US" w:eastAsia="zh-CN"/>
              </w:rPr>
              <w:t>1）</w:t>
            </w:r>
            <w:r>
              <w:rPr>
                <w:rFonts w:hint="default" w:ascii="Times New Roman" w:hAnsi="Times New Roman" w:eastAsia="宋体" w:cs="Times New Roman"/>
                <w:b w:val="0"/>
                <w:bCs w:val="0"/>
                <w:color w:val="auto"/>
                <w:sz w:val="24"/>
                <w:highlight w:val="none"/>
              </w:rPr>
              <w:t>生活垃圾环境管理要求</w:t>
            </w:r>
          </w:p>
          <w:p w14:paraId="1A6E0412">
            <w:pPr>
              <w:adjustRightInd w:val="0"/>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本项目产生的生活垃圾应按照《中华人民共和国固体废物污染环境防治法》（2020年9月1日起施行）及《北京市生活垃圾管理条例》（2020年5月1日施行）的相关规定，进行</w:t>
            </w:r>
            <w:r>
              <w:rPr>
                <w:rFonts w:hint="eastAsia" w:cs="Times New Roman"/>
                <w:color w:val="auto"/>
                <w:sz w:val="24"/>
                <w:highlight w:val="none"/>
                <w:lang w:val="en-US" w:eastAsia="zh-CN"/>
              </w:rPr>
              <w:t>分类</w:t>
            </w:r>
            <w:r>
              <w:rPr>
                <w:rFonts w:hint="default" w:ascii="Times New Roman" w:hAnsi="Times New Roman" w:eastAsia="宋体" w:cs="Times New Roman"/>
                <w:color w:val="auto"/>
                <w:sz w:val="24"/>
                <w:highlight w:val="none"/>
              </w:rPr>
              <w:t>收集、管理、运输及处置：</w:t>
            </w:r>
          </w:p>
          <w:p w14:paraId="707554BD">
            <w:pPr>
              <w:adjustRightInd w:val="0"/>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应当使用经市环境保护行政主管部门认证登记，并符合市容环境行政主管部门规定的规格、厚度、颜色等要求的可降解专用垃圾袋盛装、分类收集生活垃圾，并由环卫部门及时清运；</w:t>
            </w:r>
          </w:p>
          <w:p w14:paraId="5186005A">
            <w:pPr>
              <w:adjustRightInd w:val="0"/>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生活垃圾袋应当扎紧袋口，不能混入危险废物，存放到指定地点；</w:t>
            </w:r>
          </w:p>
          <w:p w14:paraId="5CF1AF22">
            <w:pPr>
              <w:adjustRightInd w:val="0"/>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不能使用破损袋盛装生活垃圾。对有可能造成垃圾袋破损的物品应单独存放；</w:t>
            </w:r>
          </w:p>
          <w:p w14:paraId="3C7AD46D">
            <w:pPr>
              <w:adjustRightInd w:val="0"/>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产生生活废弃物的单位不得随意倾倒、抛撒和堆放生活废弃物。</w:t>
            </w:r>
          </w:p>
          <w:p w14:paraId="4CA5271F">
            <w:pPr>
              <w:numPr>
                <w:ilvl w:val="0"/>
                <w:numId w:val="0"/>
              </w:numPr>
              <w:adjustRightInd w:val="0"/>
              <w:spacing w:line="360" w:lineRule="auto"/>
              <w:ind w:leftChars="200"/>
              <w:rPr>
                <w:rFonts w:hint="default" w:ascii="Times New Roman" w:hAnsi="Times New Roman" w:eastAsia="宋体" w:cs="Times New Roman"/>
                <w:b w:val="0"/>
                <w:bCs w:val="0"/>
                <w:color w:val="auto"/>
                <w:sz w:val="24"/>
                <w:highlight w:val="none"/>
              </w:rPr>
            </w:pPr>
            <w:r>
              <w:rPr>
                <w:rFonts w:hint="eastAsia" w:cs="Times New Roman"/>
                <w:b w:val="0"/>
                <w:bCs w:val="0"/>
                <w:color w:val="auto"/>
                <w:sz w:val="24"/>
                <w:highlight w:val="none"/>
                <w:lang w:val="en-US" w:eastAsia="zh-CN"/>
              </w:rPr>
              <w:t>2）</w:t>
            </w:r>
            <w:r>
              <w:rPr>
                <w:rFonts w:hint="default" w:ascii="Times New Roman" w:hAnsi="Times New Roman" w:eastAsia="宋体" w:cs="Times New Roman"/>
                <w:b w:val="0"/>
                <w:bCs w:val="0"/>
                <w:color w:val="auto"/>
                <w:sz w:val="24"/>
                <w:highlight w:val="none"/>
              </w:rPr>
              <w:t>一般工业固体废物环境管理要求</w:t>
            </w:r>
          </w:p>
          <w:p w14:paraId="0111C643">
            <w:pPr>
              <w:adjustRightInd w:val="0"/>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按照《中华人民共和国固体废物污染环境防治法》（2020年9月1日起施行）、《一般工业固体废物贮存和填埋污染控制标准》（GB18599-2020）及北京市相关规定，</w:t>
            </w:r>
            <w:r>
              <w:rPr>
                <w:rFonts w:hint="default" w:ascii="Times New Roman" w:hAnsi="Times New Roman" w:eastAsia="宋体" w:cs="Times New Roman"/>
                <w:color w:val="auto"/>
                <w:sz w:val="24"/>
                <w:highlight w:val="none"/>
                <w:lang w:val="en-US" w:eastAsia="zh-CN"/>
              </w:rPr>
              <w:t>建设一般固废暂存间</w:t>
            </w:r>
            <w:r>
              <w:rPr>
                <w:rFonts w:hint="default" w:ascii="Times New Roman" w:hAnsi="Times New Roman" w:eastAsia="宋体" w:cs="Times New Roman"/>
                <w:color w:val="auto"/>
                <w:sz w:val="24"/>
                <w:highlight w:val="none"/>
              </w:rPr>
              <w:t>，做到防雨淋、防流失、防渗漏，避免产生二次污染。</w:t>
            </w:r>
          </w:p>
          <w:p w14:paraId="5EF0B726">
            <w:pPr>
              <w:numPr>
                <w:ilvl w:val="0"/>
                <w:numId w:val="0"/>
              </w:numPr>
              <w:adjustRightInd w:val="0"/>
              <w:spacing w:line="360" w:lineRule="auto"/>
              <w:ind w:leftChars="200"/>
              <w:rPr>
                <w:rFonts w:hint="default" w:ascii="Times New Roman" w:hAnsi="Times New Roman" w:eastAsia="宋体" w:cs="Times New Roman"/>
                <w:b w:val="0"/>
                <w:bCs w:val="0"/>
                <w:color w:val="auto"/>
                <w:sz w:val="24"/>
                <w:highlight w:val="none"/>
              </w:rPr>
            </w:pPr>
            <w:r>
              <w:rPr>
                <w:rFonts w:hint="eastAsia" w:cs="Times New Roman"/>
                <w:b w:val="0"/>
                <w:bCs w:val="0"/>
                <w:color w:val="auto"/>
                <w:sz w:val="24"/>
                <w:highlight w:val="none"/>
                <w:lang w:val="en-US" w:eastAsia="zh-CN"/>
              </w:rPr>
              <w:t>3）</w:t>
            </w:r>
            <w:r>
              <w:rPr>
                <w:rFonts w:hint="default" w:ascii="Times New Roman" w:hAnsi="Times New Roman" w:eastAsia="宋体" w:cs="Times New Roman"/>
                <w:b w:val="0"/>
                <w:bCs w:val="0"/>
                <w:color w:val="auto"/>
                <w:sz w:val="24"/>
                <w:highlight w:val="none"/>
              </w:rPr>
              <w:t>危险废物管理要求</w:t>
            </w:r>
          </w:p>
          <w:p w14:paraId="0BFBCECF">
            <w:pPr>
              <w:numPr>
                <w:ilvl w:val="0"/>
                <w:numId w:val="25"/>
              </w:numPr>
              <w:adjustRightInd w:val="0"/>
              <w:spacing w:line="360" w:lineRule="auto"/>
              <w:ind w:left="0" w:leftChars="0" w:firstLine="480" w:firstLineChars="200"/>
              <w:rPr>
                <w:rFonts w:hint="default" w:ascii="Times New Roman" w:hAnsi="Times New Roman" w:eastAsia="宋体" w:cs="Times New Roman"/>
                <w:b w:val="0"/>
                <w:bCs w:val="0"/>
                <w:color w:val="auto"/>
                <w:sz w:val="24"/>
                <w:highlight w:val="none"/>
              </w:rPr>
            </w:pPr>
            <w:r>
              <w:rPr>
                <w:rFonts w:hint="default" w:ascii="Times New Roman" w:hAnsi="Times New Roman" w:eastAsia="宋体" w:cs="Times New Roman"/>
                <w:b w:val="0"/>
                <w:bCs w:val="0"/>
                <w:color w:val="auto"/>
                <w:sz w:val="24"/>
                <w:highlight w:val="none"/>
              </w:rPr>
              <w:t>贮存和管理要求</w:t>
            </w:r>
          </w:p>
          <w:p w14:paraId="7C44C076">
            <w:pPr>
              <w:adjustRightInd w:val="0"/>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本项目</w:t>
            </w:r>
            <w:r>
              <w:rPr>
                <w:rFonts w:hint="default" w:ascii="Times New Roman" w:hAnsi="Times New Roman" w:eastAsia="宋体" w:cs="Times New Roman"/>
                <w:color w:val="auto"/>
                <w:sz w:val="24"/>
                <w:highlight w:val="none"/>
                <w:lang w:val="en-US" w:eastAsia="zh-CN"/>
              </w:rPr>
              <w:t>按照</w:t>
            </w:r>
            <w:r>
              <w:rPr>
                <w:rFonts w:hint="default" w:ascii="Times New Roman" w:hAnsi="Times New Roman" w:eastAsia="宋体" w:cs="Times New Roman"/>
                <w:color w:val="auto"/>
                <w:sz w:val="24"/>
                <w:highlight w:val="none"/>
              </w:rPr>
              <w:t>《危险废物贮存污染控制标准》（GB18597-2023）</w:t>
            </w:r>
            <w:r>
              <w:rPr>
                <w:rFonts w:hint="default" w:ascii="Times New Roman" w:hAnsi="Times New Roman" w:eastAsia="宋体" w:cs="Times New Roman"/>
                <w:color w:val="auto"/>
                <w:sz w:val="24"/>
                <w:highlight w:val="none"/>
                <w:lang w:val="en-US" w:eastAsia="zh-CN"/>
              </w:rPr>
              <w:t>要求建设危险废物暂存间</w:t>
            </w:r>
            <w:r>
              <w:rPr>
                <w:rFonts w:hint="default" w:ascii="Times New Roman" w:hAnsi="Times New Roman" w:eastAsia="宋体" w:cs="Times New Roman"/>
                <w:color w:val="auto"/>
                <w:sz w:val="24"/>
                <w:highlight w:val="none"/>
              </w:rPr>
              <w:t>，地面及储存间裙角采用防渗处理，防渗系数小于1×10</w:t>
            </w:r>
            <w:r>
              <w:rPr>
                <w:rFonts w:hint="default" w:ascii="Times New Roman" w:hAnsi="Times New Roman" w:eastAsia="宋体" w:cs="Times New Roman"/>
                <w:color w:val="auto"/>
                <w:sz w:val="24"/>
                <w:highlight w:val="none"/>
                <w:vertAlign w:val="superscript"/>
              </w:rPr>
              <w:t>-1</w:t>
            </w:r>
            <w:r>
              <w:rPr>
                <w:rFonts w:hint="eastAsia" w:cs="Times New Roman"/>
                <w:color w:val="auto"/>
                <w:sz w:val="24"/>
                <w:highlight w:val="none"/>
                <w:vertAlign w:val="superscript"/>
                <w:lang w:val="en-US" w:eastAsia="zh-CN"/>
              </w:rPr>
              <w:t>0</w:t>
            </w:r>
            <w:r>
              <w:rPr>
                <w:rFonts w:hint="default" w:ascii="Times New Roman" w:hAnsi="Times New Roman" w:eastAsia="宋体" w:cs="Times New Roman"/>
                <w:color w:val="auto"/>
                <w:sz w:val="24"/>
                <w:highlight w:val="none"/>
              </w:rPr>
              <w:t>cm/s</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危险废物暂存</w:t>
            </w:r>
            <w:r>
              <w:rPr>
                <w:rFonts w:hint="default" w:ascii="Times New Roman" w:hAnsi="Times New Roman" w:eastAsia="宋体" w:cs="Times New Roman"/>
                <w:color w:val="auto"/>
                <w:sz w:val="24"/>
                <w:highlight w:val="none"/>
              </w:rPr>
              <w:t>间按</w:t>
            </w:r>
            <w:r>
              <w:rPr>
                <w:rFonts w:hint="default" w:ascii="Times New Roman" w:hAnsi="Times New Roman" w:eastAsia="宋体" w:cs="Times New Roman"/>
                <w:color w:val="auto"/>
                <w:sz w:val="24"/>
                <w:highlight w:val="none"/>
                <w:lang w:val="en-US" w:eastAsia="zh-CN"/>
              </w:rPr>
              <w:t>危险废物性质</w:t>
            </w:r>
            <w:r>
              <w:rPr>
                <w:rFonts w:hint="default" w:ascii="Times New Roman" w:hAnsi="Times New Roman" w:eastAsia="宋体" w:cs="Times New Roman"/>
                <w:color w:val="auto"/>
                <w:sz w:val="24"/>
                <w:highlight w:val="none"/>
              </w:rPr>
              <w:t>分区</w:t>
            </w:r>
            <w:r>
              <w:rPr>
                <w:rFonts w:hint="default" w:ascii="Times New Roman" w:hAnsi="Times New Roman" w:eastAsia="宋体" w:cs="Times New Roman"/>
                <w:color w:val="auto"/>
                <w:sz w:val="24"/>
                <w:highlight w:val="none"/>
                <w:lang w:val="en-US" w:eastAsia="zh-CN"/>
              </w:rPr>
              <w:t>存放</w:t>
            </w:r>
            <w:r>
              <w:rPr>
                <w:rFonts w:hint="default" w:ascii="Times New Roman" w:hAnsi="Times New Roman" w:eastAsia="宋体" w:cs="Times New Roman"/>
                <w:color w:val="auto"/>
                <w:sz w:val="24"/>
                <w:highlight w:val="none"/>
              </w:rPr>
              <w:t>，不同危废之间设有隔断，并粘贴危险废物</w:t>
            </w:r>
            <w:r>
              <w:rPr>
                <w:rFonts w:hint="default" w:ascii="Times New Roman" w:hAnsi="Times New Roman" w:eastAsia="宋体" w:cs="Times New Roman"/>
                <w:color w:val="auto"/>
                <w:sz w:val="24"/>
                <w:highlight w:val="none"/>
                <w:lang w:val="en-US" w:eastAsia="zh-CN"/>
              </w:rPr>
              <w:t>标志</w:t>
            </w:r>
            <w:r>
              <w:rPr>
                <w:rFonts w:hint="default" w:ascii="Times New Roman" w:hAnsi="Times New Roman" w:eastAsia="宋体" w:cs="Times New Roman"/>
                <w:color w:val="auto"/>
                <w:sz w:val="24"/>
                <w:highlight w:val="none"/>
              </w:rPr>
              <w:t>。</w:t>
            </w:r>
          </w:p>
          <w:p w14:paraId="4EA7F34B">
            <w:pPr>
              <w:adjustRightInd w:val="0"/>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危险废物暂存间应</w:t>
            </w:r>
            <w:r>
              <w:rPr>
                <w:rFonts w:hint="default" w:ascii="Times New Roman" w:hAnsi="Times New Roman" w:eastAsia="宋体" w:cs="Times New Roman"/>
                <w:color w:val="auto"/>
                <w:sz w:val="24"/>
                <w:highlight w:val="none"/>
              </w:rPr>
              <w:t>配备</w:t>
            </w:r>
            <w:r>
              <w:rPr>
                <w:rFonts w:hint="default" w:ascii="Times New Roman" w:hAnsi="Times New Roman" w:eastAsia="宋体" w:cs="Times New Roman"/>
                <w:color w:val="auto"/>
                <w:sz w:val="24"/>
                <w:highlight w:val="none"/>
                <w:lang w:val="en-US" w:eastAsia="zh-CN"/>
              </w:rPr>
              <w:t>安全</w:t>
            </w:r>
            <w:r>
              <w:rPr>
                <w:rFonts w:hint="default" w:ascii="Times New Roman" w:hAnsi="Times New Roman" w:eastAsia="宋体" w:cs="Times New Roman"/>
                <w:color w:val="auto"/>
                <w:sz w:val="24"/>
                <w:highlight w:val="none"/>
              </w:rPr>
              <w:t>照明设施、安全防护服装</w:t>
            </w:r>
            <w:r>
              <w:rPr>
                <w:rFonts w:hint="default" w:ascii="Times New Roman" w:hAnsi="Times New Roman" w:eastAsia="宋体" w:cs="Times New Roman"/>
                <w:color w:val="auto"/>
                <w:sz w:val="24"/>
                <w:highlight w:val="none"/>
                <w:lang w:val="en-US" w:eastAsia="zh-CN"/>
              </w:rPr>
              <w:t>及</w:t>
            </w:r>
            <w:r>
              <w:rPr>
                <w:rFonts w:hint="default" w:ascii="Times New Roman" w:hAnsi="Times New Roman" w:eastAsia="宋体" w:cs="Times New Roman"/>
                <w:color w:val="auto"/>
                <w:sz w:val="24"/>
                <w:highlight w:val="none"/>
              </w:rPr>
              <w:t>应急防护设施，地面与裙脚所围建的容积不低于最大容器的最大储量或总储量的五分之一，并设置警示标志。</w:t>
            </w:r>
          </w:p>
          <w:p w14:paraId="27687EE2">
            <w:pPr>
              <w:adjustRightInd w:val="0"/>
              <w:spacing w:line="360" w:lineRule="auto"/>
              <w:ind w:firstLine="480" w:firstLineChars="200"/>
              <w:rPr>
                <w:rFonts w:hint="default"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lang w:val="en-US" w:eastAsia="zh-CN"/>
              </w:rPr>
              <w:t>贮存设施应根据危险废物的类别、数量、形态、物理化学性质和污染防治等要求设置必要的贮存分区，避免不相容的危险废物接触、混合。</w:t>
            </w:r>
          </w:p>
          <w:p w14:paraId="39136A60">
            <w:pPr>
              <w:adjustRightInd w:val="0"/>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危险废物</w:t>
            </w:r>
            <w:r>
              <w:rPr>
                <w:rFonts w:hint="default" w:ascii="Times New Roman" w:hAnsi="Times New Roman" w:eastAsia="宋体" w:cs="Times New Roman"/>
                <w:color w:val="auto"/>
                <w:sz w:val="24"/>
                <w:highlight w:val="none"/>
              </w:rPr>
              <w:t>由专人进行管理，做好危险废物</w:t>
            </w:r>
            <w:r>
              <w:rPr>
                <w:rFonts w:hint="default" w:ascii="Times New Roman" w:hAnsi="Times New Roman" w:eastAsia="宋体" w:cs="Times New Roman"/>
                <w:color w:val="auto"/>
                <w:sz w:val="24"/>
                <w:highlight w:val="none"/>
                <w:lang w:val="en-US" w:eastAsia="zh-CN"/>
              </w:rPr>
              <w:t>贮存</w:t>
            </w:r>
            <w:r>
              <w:rPr>
                <w:rFonts w:hint="default" w:ascii="Times New Roman" w:hAnsi="Times New Roman" w:eastAsia="宋体" w:cs="Times New Roman"/>
                <w:color w:val="auto"/>
                <w:sz w:val="24"/>
                <w:highlight w:val="none"/>
              </w:rPr>
              <w:t>量</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转移</w:t>
            </w:r>
            <w:r>
              <w:rPr>
                <w:rFonts w:hint="default" w:ascii="Times New Roman" w:hAnsi="Times New Roman" w:eastAsia="宋体" w:cs="Times New Roman"/>
                <w:color w:val="auto"/>
                <w:sz w:val="24"/>
                <w:highlight w:val="none"/>
              </w:rPr>
              <w:t>及处置记录，建立危废台账并在危险废物转移管理过程中严格执行《危险废物转移联单管理办法》，委</w:t>
            </w:r>
            <w:r>
              <w:rPr>
                <w:rFonts w:hint="default" w:ascii="Times New Roman" w:hAnsi="Times New Roman" w:eastAsia="宋体" w:cs="Times New Roman"/>
                <w:color w:val="auto"/>
                <w:sz w:val="24"/>
                <w:highlight w:val="none"/>
                <w:lang w:val="en-US" w:eastAsia="zh-CN"/>
              </w:rPr>
              <w:t>托</w:t>
            </w:r>
            <w:r>
              <w:rPr>
                <w:rFonts w:hint="eastAsia" w:cs="Times New Roman"/>
                <w:color w:val="auto"/>
                <w:sz w:val="24"/>
                <w:highlight w:val="none"/>
                <w:lang w:val="en-US" w:eastAsia="zh-CN"/>
              </w:rPr>
              <w:t>资质单位</w:t>
            </w:r>
            <w:r>
              <w:rPr>
                <w:rFonts w:hint="default" w:ascii="Times New Roman" w:hAnsi="Times New Roman" w:eastAsia="宋体" w:cs="Times New Roman"/>
                <w:color w:val="auto"/>
                <w:sz w:val="24"/>
                <w:highlight w:val="none"/>
                <w:lang w:val="en-US" w:eastAsia="zh-CN"/>
              </w:rPr>
              <w:t>处理，</w:t>
            </w:r>
            <w:r>
              <w:rPr>
                <w:rFonts w:hint="default" w:ascii="Times New Roman" w:hAnsi="Times New Roman" w:eastAsia="宋体" w:cs="Times New Roman"/>
                <w:color w:val="auto"/>
                <w:sz w:val="24"/>
                <w:highlight w:val="none"/>
              </w:rPr>
              <w:t>不得随意倾倒或非法转移危险固废。</w:t>
            </w:r>
          </w:p>
          <w:p w14:paraId="61A834A7">
            <w:pPr>
              <w:adjustRightInd w:val="0"/>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装载危险废物的容器及材质要满足相应的强度要求，</w:t>
            </w:r>
            <w:r>
              <w:rPr>
                <w:rFonts w:hint="eastAsia" w:ascii="Times New Roman" w:hAnsi="Times New Roman" w:eastAsia="宋体" w:cs="Times New Roman"/>
                <w:color w:val="auto"/>
                <w:sz w:val="24"/>
                <w:highlight w:val="none"/>
                <w:lang w:val="en-US" w:eastAsia="zh-CN"/>
              </w:rPr>
              <w:t>容器和包装物材质、内衬应与盛装的危险废物相容，</w:t>
            </w:r>
            <w:r>
              <w:rPr>
                <w:rFonts w:hint="default" w:ascii="Times New Roman" w:hAnsi="Times New Roman" w:eastAsia="宋体" w:cs="Times New Roman"/>
                <w:color w:val="auto"/>
                <w:sz w:val="24"/>
                <w:highlight w:val="none"/>
              </w:rPr>
              <w:t>装载危险废物的容器必须完好无损。</w:t>
            </w:r>
          </w:p>
          <w:p w14:paraId="338A67C1">
            <w:pPr>
              <w:adjustRightInd w:val="0"/>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做好危险废物情况的记录，记录上须注明危险废物的名称、来源、数量、特性和包装容器的类别、入库日期、存放库位、废物出库日期及接收单位名称。危险废物的记录和货单在危险废物回取后应继续保留五年。</w:t>
            </w:r>
          </w:p>
          <w:p w14:paraId="4E37207B">
            <w:pPr>
              <w:adjustRightInd w:val="0"/>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定期对所贮存的危险废物包装容器及贮存设施进行检查，发现破损，应及时采取措施。</w:t>
            </w:r>
          </w:p>
          <w:p w14:paraId="37EBF569">
            <w:pPr>
              <w:adjustRightInd w:val="0"/>
              <w:spacing w:line="360" w:lineRule="auto"/>
              <w:ind w:firstLine="480" w:firstLineChars="200"/>
              <w:rPr>
                <w:rFonts w:hint="eastAsia"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rPr>
              <w:t>按照《危险废物贮存污染控制标准》（GB18597-2023）相关规定要求，危废</w:t>
            </w:r>
            <w:r>
              <w:rPr>
                <w:rFonts w:hint="default" w:ascii="Times New Roman" w:hAnsi="Times New Roman" w:eastAsia="宋体" w:cs="Times New Roman"/>
                <w:color w:val="auto"/>
                <w:sz w:val="24"/>
                <w:highlight w:val="none"/>
                <w:lang w:val="en-US" w:eastAsia="zh-CN"/>
              </w:rPr>
              <w:t>暂存</w:t>
            </w:r>
            <w:r>
              <w:rPr>
                <w:rFonts w:hint="default" w:ascii="Times New Roman" w:hAnsi="Times New Roman" w:eastAsia="宋体" w:cs="Times New Roman"/>
                <w:color w:val="auto"/>
                <w:sz w:val="24"/>
                <w:highlight w:val="none"/>
              </w:rPr>
              <w:t>间及危险废物储存容器上需要张贴标签</w:t>
            </w:r>
            <w:r>
              <w:rPr>
                <w:rFonts w:hint="eastAsia" w:cs="Times New Roman"/>
                <w:color w:val="auto"/>
                <w:sz w:val="24"/>
                <w:highlight w:val="none"/>
                <w:lang w:eastAsia="zh-CN"/>
              </w:rPr>
              <w:t>。</w:t>
            </w:r>
          </w:p>
          <w:p w14:paraId="02975DE9">
            <w:pPr>
              <w:numPr>
                <w:ilvl w:val="0"/>
                <w:numId w:val="25"/>
              </w:numPr>
              <w:adjustRightInd w:val="0"/>
              <w:spacing w:line="360" w:lineRule="auto"/>
              <w:ind w:left="0" w:leftChars="0" w:firstLine="480" w:firstLineChars="200"/>
              <w:rPr>
                <w:rFonts w:hint="default" w:ascii="Times New Roman" w:hAnsi="Times New Roman" w:eastAsia="宋体" w:cs="Times New Roman"/>
                <w:b w:val="0"/>
                <w:bCs w:val="0"/>
                <w:color w:val="auto"/>
                <w:sz w:val="24"/>
                <w:highlight w:val="none"/>
              </w:rPr>
            </w:pPr>
            <w:r>
              <w:rPr>
                <w:rFonts w:hint="default" w:ascii="Times New Roman" w:hAnsi="Times New Roman" w:eastAsia="宋体" w:cs="Times New Roman"/>
                <w:b w:val="0"/>
                <w:bCs w:val="0"/>
                <w:color w:val="auto"/>
                <w:sz w:val="24"/>
                <w:highlight w:val="none"/>
              </w:rPr>
              <w:t>转移及运输过程的环境影响分析及污染防治措施</w:t>
            </w:r>
          </w:p>
          <w:p w14:paraId="2A0F0AE7">
            <w:pPr>
              <w:adjustRightInd w:val="0"/>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本项目危险废物及时转运，按照确定的内部危险废物运送时间、路线，将危险废物收集、运送至危险废物暂存间，再定期由</w:t>
            </w:r>
            <w:r>
              <w:rPr>
                <w:rFonts w:hint="eastAsia" w:cs="Times New Roman"/>
                <w:color w:val="auto"/>
                <w:sz w:val="24"/>
                <w:highlight w:val="none"/>
                <w:lang w:val="en-US" w:eastAsia="zh-CN"/>
              </w:rPr>
              <w:t>资质单位</w:t>
            </w:r>
            <w:r>
              <w:rPr>
                <w:rFonts w:hint="default" w:ascii="Times New Roman" w:hAnsi="Times New Roman" w:eastAsia="宋体" w:cs="Times New Roman"/>
                <w:color w:val="auto"/>
                <w:sz w:val="24"/>
                <w:highlight w:val="none"/>
              </w:rPr>
              <w:t>处理，做好转运记录，填写危废转移联单，转运危险废物的车辆便于装卸、防止外溢，加盖便于密闭转运，转运车辆每日清洗与消毒，转运及运输过程执行《危险废物转移管理办法》（2022年1月1日起施行）相关要求。</w:t>
            </w:r>
          </w:p>
          <w:p w14:paraId="449BD0BB">
            <w:pPr>
              <w:numPr>
                <w:ilvl w:val="0"/>
                <w:numId w:val="0"/>
              </w:numPr>
              <w:adjustRightInd w:val="0"/>
              <w:snapToGrid w:val="0"/>
              <w:spacing w:line="360" w:lineRule="auto"/>
              <w:ind w:leftChars="0" w:firstLine="480" w:firstLineChars="200"/>
              <w:rPr>
                <w:rFonts w:hint="default" w:ascii="Times New Roman" w:hAnsi="Times New Roman" w:eastAsia="宋体" w:cs="Times New Roman"/>
                <w:b w:val="0"/>
                <w:bCs/>
                <w:color w:val="auto"/>
                <w:sz w:val="24"/>
                <w:highlight w:val="none"/>
                <w:lang w:val="en-US" w:eastAsia="zh-CN"/>
              </w:rPr>
            </w:pPr>
            <w:r>
              <w:rPr>
                <w:rFonts w:hint="default" w:ascii="Times New Roman" w:hAnsi="Times New Roman" w:eastAsia="宋体" w:cs="Times New Roman"/>
                <w:b w:val="0"/>
                <w:bCs/>
                <w:color w:val="auto"/>
                <w:sz w:val="24"/>
                <w:highlight w:val="none"/>
                <w:lang w:val="en-US" w:eastAsia="zh-CN"/>
              </w:rPr>
              <w:t>（3）固体废物环境影响结论</w:t>
            </w:r>
          </w:p>
          <w:p w14:paraId="02C9843A">
            <w:pPr>
              <w:adjustRightInd w:val="0"/>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项目运营期间产生的固体废物的处置符合《中华人民共和国固体废物污染环境防治法》（2020年版）</w:t>
            </w:r>
            <w:r>
              <w:rPr>
                <w:rFonts w:hint="eastAsia" w:cs="Times New Roman"/>
                <w:color w:val="auto"/>
                <w:sz w:val="24"/>
                <w:highlight w:val="none"/>
                <w:lang w:eastAsia="zh-CN"/>
              </w:rPr>
              <w:t>、</w:t>
            </w:r>
            <w:r>
              <w:rPr>
                <w:rFonts w:hint="default" w:ascii="Times New Roman" w:hAnsi="Times New Roman" w:eastAsia="宋体" w:cs="Times New Roman"/>
                <w:color w:val="auto"/>
                <w:sz w:val="24"/>
                <w:highlight w:val="none"/>
              </w:rPr>
              <w:t>《北京市生活垃圾管理条例》（2020年5月1日起施行，2020年9月25日第二次修正）、《一般工业固体废物贮存和填埋污染控制标准》（GB18599-2020）、《北京市危险废物污染环境防治条例》、（2020年9月1日实施）、《危险废物收集贮存运输技术规范》（HJ2025-2012）、《危险废物贮存污染控制标准》（GB18597-2023）、《危险废物污染防治技术政策》（环发[2021]199号）</w:t>
            </w:r>
            <w:r>
              <w:rPr>
                <w:rFonts w:hint="eastAsia" w:cs="Times New Roman"/>
                <w:color w:val="auto"/>
                <w:sz w:val="24"/>
                <w:highlight w:val="none"/>
                <w:lang w:eastAsia="zh-CN"/>
              </w:rPr>
              <w:t>、</w:t>
            </w:r>
            <w:r>
              <w:rPr>
                <w:rFonts w:hint="default" w:ascii="Times New Roman" w:hAnsi="Times New Roman" w:eastAsia="宋体" w:cs="Times New Roman"/>
                <w:color w:val="auto"/>
                <w:sz w:val="24"/>
                <w:highlight w:val="none"/>
              </w:rPr>
              <w:t>《危险废物转移管理办法》（2022年1月1日起施行）、《实验室危险废物污染防治技术规范》（DB11/T1368—2016）等相关规定，固体废物去向明确，处置措施合理，本项目固体废物</w:t>
            </w:r>
            <w:r>
              <w:rPr>
                <w:rFonts w:hint="eastAsia" w:cs="Times New Roman"/>
                <w:color w:val="auto"/>
                <w:sz w:val="24"/>
                <w:highlight w:val="none"/>
                <w:lang w:val="en-US" w:eastAsia="zh-CN"/>
              </w:rPr>
              <w:t>对</w:t>
            </w:r>
            <w:r>
              <w:rPr>
                <w:rFonts w:hint="default" w:ascii="Times New Roman" w:hAnsi="Times New Roman" w:eastAsia="宋体" w:cs="Times New Roman"/>
                <w:color w:val="auto"/>
                <w:sz w:val="24"/>
                <w:highlight w:val="none"/>
              </w:rPr>
              <w:t>环境</w:t>
            </w:r>
            <w:r>
              <w:rPr>
                <w:rFonts w:hint="eastAsia" w:cs="Times New Roman"/>
                <w:color w:val="auto"/>
                <w:sz w:val="24"/>
                <w:highlight w:val="none"/>
                <w:lang w:val="en-US" w:eastAsia="zh-CN"/>
              </w:rPr>
              <w:t>的</w:t>
            </w:r>
            <w:r>
              <w:rPr>
                <w:rFonts w:hint="default" w:ascii="Times New Roman" w:hAnsi="Times New Roman" w:eastAsia="宋体" w:cs="Times New Roman"/>
                <w:color w:val="auto"/>
                <w:sz w:val="24"/>
                <w:highlight w:val="none"/>
              </w:rPr>
              <w:t>影响可以接受。</w:t>
            </w:r>
          </w:p>
          <w:p w14:paraId="047C58AB">
            <w:pPr>
              <w:numPr>
                <w:ilvl w:val="0"/>
                <w:numId w:val="19"/>
              </w:numPr>
              <w:adjustRightInd w:val="0"/>
              <w:snapToGrid w:val="0"/>
              <w:spacing w:line="360" w:lineRule="auto"/>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地下水、土壤</w:t>
            </w:r>
          </w:p>
          <w:p w14:paraId="1F27F2D0">
            <w:pPr>
              <w:numPr>
                <w:ilvl w:val="0"/>
                <w:numId w:val="0"/>
              </w:numPr>
              <w:autoSpaceDE w:val="0"/>
              <w:autoSpaceDN w:val="0"/>
              <w:adjustRightInd w:val="0"/>
              <w:snapToGrid w:val="0"/>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本项目</w:t>
            </w:r>
            <w:r>
              <w:rPr>
                <w:rFonts w:hint="eastAsia" w:cs="Times New Roman"/>
                <w:color w:val="auto"/>
                <w:sz w:val="24"/>
                <w:highlight w:val="none"/>
                <w:lang w:val="en-US" w:eastAsia="zh-CN"/>
              </w:rPr>
              <w:t>危险化学品贮存在配料间的试剂柜内，按标准要求建设规范的危险废物暂存间，</w:t>
            </w:r>
            <w:r>
              <w:rPr>
                <w:rFonts w:hint="eastAsia" w:ascii="Times New Roman" w:hAnsi="Times New Roman" w:eastAsia="宋体" w:cs="Times New Roman"/>
                <w:color w:val="auto"/>
                <w:sz w:val="24"/>
                <w:highlight w:val="none"/>
                <w:lang w:val="en-US" w:eastAsia="zh-CN"/>
              </w:rPr>
              <w:t>室内</w:t>
            </w:r>
            <w:r>
              <w:rPr>
                <w:rFonts w:hint="default" w:ascii="Times New Roman" w:hAnsi="Times New Roman" w:eastAsia="宋体" w:cs="Times New Roman"/>
                <w:color w:val="auto"/>
                <w:sz w:val="24"/>
                <w:highlight w:val="none"/>
                <w:lang w:val="en-US" w:eastAsia="zh-CN"/>
              </w:rPr>
              <w:t>地面硬化，</w:t>
            </w:r>
            <w:r>
              <w:rPr>
                <w:rFonts w:hint="eastAsia" w:ascii="Times New Roman" w:hAnsi="Times New Roman" w:eastAsia="宋体" w:cs="Times New Roman"/>
                <w:color w:val="auto"/>
                <w:sz w:val="24"/>
                <w:highlight w:val="none"/>
                <w:lang w:val="en-US" w:eastAsia="zh-CN"/>
              </w:rPr>
              <w:t>不同分区按要求做好防渗</w:t>
            </w:r>
            <w:r>
              <w:rPr>
                <w:rFonts w:hint="default" w:ascii="Times New Roman" w:hAnsi="Times New Roman" w:eastAsia="宋体" w:cs="Times New Roman"/>
                <w:color w:val="auto"/>
                <w:sz w:val="24"/>
                <w:highlight w:val="none"/>
              </w:rPr>
              <w:t>。本项目</w:t>
            </w:r>
            <w:r>
              <w:rPr>
                <w:rFonts w:hint="eastAsia" w:cs="Times New Roman"/>
                <w:color w:val="auto"/>
                <w:sz w:val="24"/>
                <w:highlight w:val="none"/>
                <w:lang w:val="en-US" w:eastAsia="zh-CN"/>
              </w:rPr>
              <w:t>外排污水排入化粪池</w:t>
            </w:r>
            <w:r>
              <w:rPr>
                <w:rFonts w:hint="default" w:ascii="Times New Roman" w:hAnsi="Times New Roman" w:eastAsia="宋体" w:cs="Times New Roman"/>
                <w:color w:val="auto"/>
                <w:sz w:val="24"/>
                <w:highlight w:val="none"/>
              </w:rPr>
              <w:t>，</w:t>
            </w:r>
            <w:r>
              <w:rPr>
                <w:rFonts w:hint="eastAsia" w:cs="Times New Roman"/>
                <w:color w:val="auto"/>
                <w:sz w:val="24"/>
                <w:highlight w:val="none"/>
                <w:lang w:val="en-US" w:eastAsia="zh-CN"/>
              </w:rPr>
              <w:t>最后经</w:t>
            </w:r>
            <w:r>
              <w:rPr>
                <w:rFonts w:hint="default" w:ascii="Times New Roman" w:hAnsi="Times New Roman" w:eastAsia="宋体" w:cs="Times New Roman"/>
                <w:color w:val="auto"/>
                <w:sz w:val="24"/>
                <w:highlight w:val="none"/>
              </w:rPr>
              <w:t>市政污水管网</w:t>
            </w:r>
            <w:r>
              <w:rPr>
                <w:rFonts w:hint="eastAsia" w:cs="Times New Roman"/>
                <w:color w:val="auto"/>
                <w:sz w:val="24"/>
                <w:highlight w:val="none"/>
                <w:lang w:val="en-US" w:eastAsia="zh-CN"/>
              </w:rPr>
              <w:t>进入公共污水处理厂。</w:t>
            </w:r>
            <w:r>
              <w:rPr>
                <w:rFonts w:hint="default" w:ascii="Times New Roman" w:hAnsi="Times New Roman" w:eastAsia="宋体" w:cs="Times New Roman"/>
                <w:color w:val="auto"/>
                <w:sz w:val="24"/>
                <w:highlight w:val="none"/>
              </w:rPr>
              <w:t>正常情况下不会进入</w:t>
            </w:r>
            <w:r>
              <w:rPr>
                <w:rFonts w:hint="eastAsia" w:cs="Times New Roman"/>
                <w:color w:val="auto"/>
                <w:sz w:val="24"/>
                <w:highlight w:val="none"/>
                <w:lang w:val="en-US" w:eastAsia="zh-CN"/>
              </w:rPr>
              <w:t>土壤和</w:t>
            </w:r>
            <w:r>
              <w:rPr>
                <w:rFonts w:hint="default" w:ascii="Times New Roman" w:hAnsi="Times New Roman" w:eastAsia="宋体" w:cs="Times New Roman"/>
                <w:color w:val="auto"/>
                <w:sz w:val="24"/>
                <w:highlight w:val="none"/>
              </w:rPr>
              <w:t>地下水。根据本项目实际情况，为防止非正常状况下污染土壤和地下水的环境风险，将本项目区域划分为重点防渗区、一般防渗区。</w:t>
            </w:r>
          </w:p>
          <w:p w14:paraId="6E8711EF">
            <w:pPr>
              <w:numPr>
                <w:ilvl w:val="0"/>
                <w:numId w:val="21"/>
              </w:numPr>
              <w:adjustRightInd w:val="0"/>
              <w:spacing w:line="360" w:lineRule="auto"/>
              <w:ind w:left="425" w:leftChars="0" w:hanging="425" w:firstLineChars="0"/>
              <w:jc w:val="center"/>
              <w:rPr>
                <w:rFonts w:hint="default" w:ascii="Times New Roman" w:hAnsi="Times New Roman" w:eastAsia="宋体" w:cs="Times New Roman"/>
                <w:b/>
                <w:bCs/>
                <w:color w:val="auto"/>
                <w:spacing w:val="6"/>
                <w:sz w:val="24"/>
                <w:highlight w:val="none"/>
              </w:rPr>
            </w:pPr>
            <w:r>
              <w:rPr>
                <w:rFonts w:hint="default" w:ascii="Times New Roman" w:hAnsi="Times New Roman" w:eastAsia="宋体" w:cs="Times New Roman"/>
                <w:b/>
                <w:bCs/>
                <w:color w:val="auto"/>
                <w:spacing w:val="6"/>
                <w:sz w:val="24"/>
                <w:highlight w:val="none"/>
              </w:rPr>
              <w:t>项目相关区域防渗划分表</w:t>
            </w:r>
          </w:p>
          <w:tbl>
            <w:tblPr>
              <w:tblStyle w:val="24"/>
              <w:tblW w:w="4900"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49"/>
              <w:gridCol w:w="2797"/>
              <w:gridCol w:w="2567"/>
              <w:gridCol w:w="1104"/>
            </w:tblGrid>
            <w:tr w14:paraId="46AC4B8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49" w:type="dxa"/>
                  <w:tcBorders>
                    <w:tl2br w:val="nil"/>
                    <w:tr2bl w:val="nil"/>
                  </w:tcBorders>
                  <w:vAlign w:val="center"/>
                </w:tcPr>
                <w:p w14:paraId="0EC2B776">
                  <w:pPr>
                    <w:numPr>
                      <w:ilvl w:val="0"/>
                      <w:numId w:val="0"/>
                    </w:numPr>
                    <w:autoSpaceDE w:val="0"/>
                    <w:autoSpaceDN w:val="0"/>
                    <w:adjustRightInd w:val="0"/>
                    <w:snapToGrid w:val="0"/>
                    <w:spacing w:line="240" w:lineRule="auto"/>
                    <w:jc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color w:val="auto"/>
                      <w:sz w:val="21"/>
                      <w:szCs w:val="21"/>
                      <w:highlight w:val="none"/>
                      <w:vertAlign w:val="baseline"/>
                    </w:rPr>
                    <w:t>工程单元</w:t>
                  </w:r>
                </w:p>
              </w:tc>
              <w:tc>
                <w:tcPr>
                  <w:tcW w:w="2797" w:type="dxa"/>
                  <w:tcBorders>
                    <w:tl2br w:val="nil"/>
                    <w:tr2bl w:val="nil"/>
                  </w:tcBorders>
                  <w:vAlign w:val="center"/>
                </w:tcPr>
                <w:p w14:paraId="527300A3">
                  <w:pPr>
                    <w:numPr>
                      <w:ilvl w:val="0"/>
                      <w:numId w:val="0"/>
                    </w:numPr>
                    <w:autoSpaceDE w:val="0"/>
                    <w:autoSpaceDN w:val="0"/>
                    <w:adjustRightInd w:val="0"/>
                    <w:snapToGrid w:val="0"/>
                    <w:spacing w:line="240" w:lineRule="auto"/>
                    <w:jc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color w:val="auto"/>
                      <w:sz w:val="21"/>
                      <w:szCs w:val="21"/>
                      <w:highlight w:val="none"/>
                      <w:vertAlign w:val="baseline"/>
                    </w:rPr>
                    <w:t>防渗技术要求</w:t>
                  </w:r>
                </w:p>
              </w:tc>
              <w:tc>
                <w:tcPr>
                  <w:tcW w:w="2567" w:type="dxa"/>
                  <w:tcBorders>
                    <w:tl2br w:val="nil"/>
                    <w:tr2bl w:val="nil"/>
                  </w:tcBorders>
                  <w:vAlign w:val="center"/>
                </w:tcPr>
                <w:p w14:paraId="2E0DA629">
                  <w:pPr>
                    <w:numPr>
                      <w:ilvl w:val="0"/>
                      <w:numId w:val="0"/>
                    </w:numPr>
                    <w:autoSpaceDE w:val="0"/>
                    <w:autoSpaceDN w:val="0"/>
                    <w:adjustRightInd w:val="0"/>
                    <w:snapToGrid w:val="0"/>
                    <w:spacing w:line="240" w:lineRule="auto"/>
                    <w:jc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color w:val="auto"/>
                      <w:sz w:val="21"/>
                      <w:szCs w:val="21"/>
                      <w:highlight w:val="none"/>
                      <w:vertAlign w:val="baseline"/>
                    </w:rPr>
                    <w:t>标准</w:t>
                  </w:r>
                </w:p>
              </w:tc>
              <w:tc>
                <w:tcPr>
                  <w:tcW w:w="1104" w:type="dxa"/>
                  <w:tcBorders>
                    <w:tl2br w:val="nil"/>
                    <w:tr2bl w:val="nil"/>
                  </w:tcBorders>
                  <w:vAlign w:val="center"/>
                </w:tcPr>
                <w:p w14:paraId="59A11FE5">
                  <w:pPr>
                    <w:numPr>
                      <w:ilvl w:val="0"/>
                      <w:numId w:val="0"/>
                    </w:numPr>
                    <w:autoSpaceDE w:val="0"/>
                    <w:autoSpaceDN w:val="0"/>
                    <w:adjustRightInd w:val="0"/>
                    <w:snapToGrid w:val="0"/>
                    <w:spacing w:line="240" w:lineRule="auto"/>
                    <w:jc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color w:val="auto"/>
                      <w:sz w:val="21"/>
                      <w:szCs w:val="21"/>
                      <w:highlight w:val="none"/>
                      <w:vertAlign w:val="baseline"/>
                    </w:rPr>
                    <w:t>防渗分区</w:t>
                  </w:r>
                </w:p>
              </w:tc>
            </w:tr>
            <w:tr w14:paraId="158E272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49" w:type="dxa"/>
                  <w:tcBorders>
                    <w:tl2br w:val="nil"/>
                    <w:tr2bl w:val="nil"/>
                  </w:tcBorders>
                  <w:vAlign w:val="center"/>
                </w:tcPr>
                <w:p w14:paraId="70E4850F">
                  <w:pPr>
                    <w:numPr>
                      <w:ilvl w:val="0"/>
                      <w:numId w:val="0"/>
                    </w:numPr>
                    <w:autoSpaceDE w:val="0"/>
                    <w:autoSpaceDN w:val="0"/>
                    <w:adjustRightInd w:val="0"/>
                    <w:snapToGrid w:val="0"/>
                    <w:spacing w:line="240" w:lineRule="auto"/>
                    <w:jc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color w:val="auto"/>
                      <w:sz w:val="21"/>
                      <w:szCs w:val="21"/>
                      <w:highlight w:val="none"/>
                      <w:vertAlign w:val="baseline"/>
                    </w:rPr>
                    <w:t>危险废物暂存间</w:t>
                  </w:r>
                </w:p>
              </w:tc>
              <w:tc>
                <w:tcPr>
                  <w:tcW w:w="2797" w:type="dxa"/>
                  <w:tcBorders>
                    <w:tl2br w:val="nil"/>
                    <w:tr2bl w:val="nil"/>
                  </w:tcBorders>
                  <w:vAlign w:val="center"/>
                </w:tcPr>
                <w:p w14:paraId="77B60065">
                  <w:pPr>
                    <w:numPr>
                      <w:ilvl w:val="0"/>
                      <w:numId w:val="0"/>
                    </w:numPr>
                    <w:autoSpaceDE w:val="0"/>
                    <w:autoSpaceDN w:val="0"/>
                    <w:adjustRightInd w:val="0"/>
                    <w:snapToGrid w:val="0"/>
                    <w:spacing w:line="240" w:lineRule="auto"/>
                    <w:jc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color w:val="auto"/>
                      <w:sz w:val="21"/>
                      <w:szCs w:val="21"/>
                      <w:highlight w:val="none"/>
                      <w:vertAlign w:val="baseline"/>
                    </w:rPr>
                    <w:t>采用2mm厚高密度聚乙烯或防渗效果等的其他防渗材料进行防渗，渗透系数≤10</w:t>
                  </w:r>
                  <w:r>
                    <w:rPr>
                      <w:rFonts w:hint="default" w:ascii="Times New Roman" w:hAnsi="Times New Roman" w:eastAsia="宋体" w:cs="Times New Roman"/>
                      <w:color w:val="auto"/>
                      <w:sz w:val="21"/>
                      <w:szCs w:val="21"/>
                      <w:highlight w:val="none"/>
                      <w:vertAlign w:val="superscript"/>
                    </w:rPr>
                    <w:t>-1</w:t>
                  </w:r>
                  <w:r>
                    <w:rPr>
                      <w:rFonts w:hint="eastAsia" w:cs="Times New Roman"/>
                      <w:color w:val="auto"/>
                      <w:sz w:val="21"/>
                      <w:szCs w:val="21"/>
                      <w:highlight w:val="none"/>
                      <w:vertAlign w:val="superscript"/>
                      <w:lang w:val="en-US" w:eastAsia="zh-CN"/>
                    </w:rPr>
                    <w:t>0</w:t>
                  </w:r>
                  <w:r>
                    <w:rPr>
                      <w:rFonts w:hint="default" w:ascii="Times New Roman" w:hAnsi="Times New Roman" w:eastAsia="宋体" w:cs="Times New Roman"/>
                      <w:color w:val="auto"/>
                      <w:sz w:val="21"/>
                      <w:szCs w:val="21"/>
                      <w:highlight w:val="none"/>
                      <w:vertAlign w:val="baseline"/>
                    </w:rPr>
                    <w:t>cm/s</w:t>
                  </w:r>
                </w:p>
              </w:tc>
              <w:tc>
                <w:tcPr>
                  <w:tcW w:w="2567" w:type="dxa"/>
                  <w:tcBorders>
                    <w:tl2br w:val="nil"/>
                    <w:tr2bl w:val="nil"/>
                  </w:tcBorders>
                  <w:vAlign w:val="center"/>
                </w:tcPr>
                <w:p w14:paraId="38F75DA7">
                  <w:pPr>
                    <w:numPr>
                      <w:ilvl w:val="0"/>
                      <w:numId w:val="0"/>
                    </w:numPr>
                    <w:autoSpaceDE w:val="0"/>
                    <w:autoSpaceDN w:val="0"/>
                    <w:adjustRightInd w:val="0"/>
                    <w:snapToGrid w:val="0"/>
                    <w:spacing w:line="240" w:lineRule="auto"/>
                    <w:jc w:val="both"/>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color w:val="auto"/>
                      <w:sz w:val="21"/>
                      <w:szCs w:val="21"/>
                      <w:highlight w:val="none"/>
                      <w:vertAlign w:val="baseline"/>
                    </w:rPr>
                    <w:t>满足《危险废物贮存污染控制标准》(GB18597-2023）的相关防渗要求</w:t>
                  </w:r>
                </w:p>
              </w:tc>
              <w:tc>
                <w:tcPr>
                  <w:tcW w:w="1104" w:type="dxa"/>
                  <w:tcBorders>
                    <w:tl2br w:val="nil"/>
                    <w:tr2bl w:val="nil"/>
                  </w:tcBorders>
                  <w:vAlign w:val="center"/>
                </w:tcPr>
                <w:p w14:paraId="14AF6C5A">
                  <w:pPr>
                    <w:numPr>
                      <w:ilvl w:val="0"/>
                      <w:numId w:val="0"/>
                    </w:numPr>
                    <w:autoSpaceDE w:val="0"/>
                    <w:autoSpaceDN w:val="0"/>
                    <w:adjustRightInd w:val="0"/>
                    <w:snapToGrid w:val="0"/>
                    <w:spacing w:line="240" w:lineRule="auto"/>
                    <w:jc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color w:val="auto"/>
                      <w:sz w:val="21"/>
                      <w:szCs w:val="21"/>
                      <w:highlight w:val="none"/>
                      <w:vertAlign w:val="baseline"/>
                    </w:rPr>
                    <w:t>重点防渗区</w:t>
                  </w:r>
                </w:p>
              </w:tc>
            </w:tr>
            <w:tr w14:paraId="0177A11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949" w:type="dxa"/>
                  <w:tcBorders>
                    <w:tl2br w:val="nil"/>
                    <w:tr2bl w:val="nil"/>
                  </w:tcBorders>
                  <w:vAlign w:val="center"/>
                </w:tcPr>
                <w:p w14:paraId="0E633B36">
                  <w:pPr>
                    <w:numPr>
                      <w:ilvl w:val="0"/>
                      <w:numId w:val="0"/>
                    </w:numPr>
                    <w:autoSpaceDE w:val="0"/>
                    <w:autoSpaceDN w:val="0"/>
                    <w:adjustRightInd w:val="0"/>
                    <w:snapToGrid w:val="0"/>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配料间</w:t>
                  </w:r>
                </w:p>
              </w:tc>
              <w:tc>
                <w:tcPr>
                  <w:tcW w:w="2797" w:type="dxa"/>
                  <w:tcBorders>
                    <w:tl2br w:val="nil"/>
                    <w:tr2bl w:val="nil"/>
                  </w:tcBorders>
                  <w:shd w:val="clear" w:color="auto" w:fill="auto"/>
                  <w:vAlign w:val="center"/>
                </w:tcPr>
                <w:p w14:paraId="2064797E">
                  <w:pPr>
                    <w:numPr>
                      <w:ilvl w:val="0"/>
                      <w:numId w:val="0"/>
                    </w:numPr>
                    <w:autoSpaceDE w:val="0"/>
                    <w:autoSpaceDN w:val="0"/>
                    <w:adjustRightInd w:val="0"/>
                    <w:snapToGrid w:val="0"/>
                    <w:spacing w:line="240" w:lineRule="auto"/>
                    <w:ind w:left="0" w:leftChars="0" w:firstLine="0" w:firstLineChars="0"/>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vertAlign w:val="baseline"/>
                    </w:rPr>
                    <w:t>等效黏土防渗层Mb</w:t>
                  </w:r>
                  <w:r>
                    <w:rPr>
                      <w:rFonts w:hint="eastAsia" w:ascii="Times New Roman" w:hAnsi="Times New Roman" w:eastAsia="宋体" w:cs="Times New Roman"/>
                      <w:color w:val="auto"/>
                      <w:sz w:val="21"/>
                      <w:szCs w:val="21"/>
                      <w:highlight w:val="none"/>
                      <w:vertAlign w:val="baseline"/>
                      <w:lang w:val="en-US" w:eastAsia="zh-CN"/>
                    </w:rPr>
                    <w:t>≥</w:t>
                  </w:r>
                  <w:r>
                    <w:rPr>
                      <w:rFonts w:hint="default" w:ascii="Times New Roman" w:hAnsi="Times New Roman" w:eastAsia="宋体" w:cs="Times New Roman"/>
                      <w:color w:val="auto"/>
                      <w:sz w:val="21"/>
                      <w:szCs w:val="21"/>
                      <w:highlight w:val="none"/>
                      <w:vertAlign w:val="baseline"/>
                    </w:rPr>
                    <w:t>6.0m，K≤1x10</w:t>
                  </w:r>
                  <w:r>
                    <w:rPr>
                      <w:rFonts w:hint="default" w:ascii="Times New Roman" w:hAnsi="Times New Roman" w:eastAsia="宋体" w:cs="Times New Roman"/>
                      <w:color w:val="auto"/>
                      <w:sz w:val="21"/>
                      <w:szCs w:val="21"/>
                      <w:highlight w:val="none"/>
                      <w:vertAlign w:val="superscript"/>
                    </w:rPr>
                    <w:t>-</w:t>
                  </w:r>
                  <w:r>
                    <w:rPr>
                      <w:rFonts w:hint="eastAsia" w:ascii="Times New Roman" w:hAnsi="Times New Roman" w:eastAsia="宋体" w:cs="Times New Roman"/>
                      <w:color w:val="auto"/>
                      <w:sz w:val="21"/>
                      <w:szCs w:val="21"/>
                      <w:highlight w:val="none"/>
                      <w:vertAlign w:val="superscript"/>
                      <w:lang w:val="en-US" w:eastAsia="zh-CN"/>
                    </w:rPr>
                    <w:t>7</w:t>
                  </w:r>
                  <w:r>
                    <w:rPr>
                      <w:rFonts w:hint="default" w:ascii="Times New Roman" w:hAnsi="Times New Roman" w:eastAsia="宋体" w:cs="Times New Roman"/>
                      <w:color w:val="auto"/>
                      <w:sz w:val="21"/>
                      <w:szCs w:val="21"/>
                      <w:highlight w:val="none"/>
                      <w:vertAlign w:val="baseline"/>
                    </w:rPr>
                    <w:t>cm/s</w:t>
                  </w:r>
                  <w:r>
                    <w:rPr>
                      <w:rFonts w:hint="eastAsia" w:ascii="Times New Roman" w:hAnsi="Times New Roman" w:eastAsia="宋体" w:cs="Times New Roman"/>
                      <w:color w:val="auto"/>
                      <w:sz w:val="21"/>
                      <w:szCs w:val="21"/>
                      <w:highlight w:val="none"/>
                      <w:vertAlign w:val="baseline"/>
                      <w:lang w:eastAsia="zh-CN"/>
                    </w:rPr>
                    <w:t>；</w:t>
                  </w:r>
                  <w:r>
                    <w:rPr>
                      <w:rFonts w:hint="default" w:ascii="Times New Roman" w:hAnsi="Times New Roman" w:eastAsia="宋体" w:cs="Times New Roman"/>
                      <w:color w:val="auto"/>
                      <w:sz w:val="21"/>
                      <w:szCs w:val="21"/>
                      <w:highlight w:val="none"/>
                      <w:vertAlign w:val="baseline"/>
                    </w:rPr>
                    <w:t>或参照GB18598执行</w:t>
                  </w:r>
                </w:p>
              </w:tc>
              <w:tc>
                <w:tcPr>
                  <w:tcW w:w="2567" w:type="dxa"/>
                  <w:tcBorders>
                    <w:tl2br w:val="nil"/>
                    <w:tr2bl w:val="nil"/>
                  </w:tcBorders>
                  <w:shd w:val="clear" w:color="auto" w:fill="auto"/>
                  <w:vAlign w:val="center"/>
                </w:tcPr>
                <w:p w14:paraId="6F73362C">
                  <w:pPr>
                    <w:numPr>
                      <w:ilvl w:val="0"/>
                      <w:numId w:val="0"/>
                    </w:numPr>
                    <w:autoSpaceDE w:val="0"/>
                    <w:autoSpaceDN w:val="0"/>
                    <w:adjustRightInd w:val="0"/>
                    <w:snapToGrid w:val="0"/>
                    <w:spacing w:line="240" w:lineRule="auto"/>
                    <w:ind w:left="0" w:leftChars="0" w:firstLine="0" w:firstLineChars="0"/>
                    <w:jc w:val="both"/>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vertAlign w:val="baseline"/>
                    </w:rPr>
                    <w:t>满足《环境影响评价技术导则 地下水环境》（HJ610-2016）中规定的防渗标准要求</w:t>
                  </w:r>
                </w:p>
              </w:tc>
              <w:tc>
                <w:tcPr>
                  <w:tcW w:w="1104" w:type="dxa"/>
                  <w:tcBorders>
                    <w:tl2br w:val="nil"/>
                    <w:tr2bl w:val="nil"/>
                  </w:tcBorders>
                  <w:shd w:val="clear" w:color="auto" w:fill="auto"/>
                  <w:vAlign w:val="center"/>
                </w:tcPr>
                <w:p w14:paraId="59FFAF13">
                  <w:pPr>
                    <w:numPr>
                      <w:ilvl w:val="0"/>
                      <w:numId w:val="0"/>
                    </w:numPr>
                    <w:autoSpaceDE w:val="0"/>
                    <w:autoSpaceDN w:val="0"/>
                    <w:adjustRightInd w:val="0"/>
                    <w:snapToGrid w:val="0"/>
                    <w:spacing w:line="240" w:lineRule="auto"/>
                    <w:ind w:left="0" w:leftChars="0" w:firstLine="0" w:firstLineChars="0"/>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vertAlign w:val="baseline"/>
                    </w:rPr>
                    <w:t>重点防渗区</w:t>
                  </w:r>
                </w:p>
              </w:tc>
            </w:tr>
            <w:tr w14:paraId="060B084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49" w:type="dxa"/>
                  <w:tcBorders>
                    <w:tl2br w:val="nil"/>
                    <w:tr2bl w:val="nil"/>
                  </w:tcBorders>
                  <w:vAlign w:val="center"/>
                </w:tcPr>
                <w:p w14:paraId="4493657A">
                  <w:pPr>
                    <w:numPr>
                      <w:ilvl w:val="0"/>
                      <w:numId w:val="0"/>
                    </w:numPr>
                    <w:autoSpaceDE w:val="0"/>
                    <w:autoSpaceDN w:val="0"/>
                    <w:adjustRightInd w:val="0"/>
                    <w:snapToGrid w:val="0"/>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实验室其他区域</w:t>
                  </w:r>
                </w:p>
              </w:tc>
              <w:tc>
                <w:tcPr>
                  <w:tcW w:w="2797" w:type="dxa"/>
                  <w:tcBorders>
                    <w:tl2br w:val="nil"/>
                    <w:tr2bl w:val="nil"/>
                  </w:tcBorders>
                  <w:shd w:val="clear" w:color="auto" w:fill="auto"/>
                  <w:vAlign w:val="center"/>
                </w:tcPr>
                <w:p w14:paraId="588CD391">
                  <w:pPr>
                    <w:numPr>
                      <w:ilvl w:val="0"/>
                      <w:numId w:val="0"/>
                    </w:numPr>
                    <w:autoSpaceDE w:val="0"/>
                    <w:autoSpaceDN w:val="0"/>
                    <w:adjustRightInd w:val="0"/>
                    <w:snapToGrid w:val="0"/>
                    <w:spacing w:line="240" w:lineRule="auto"/>
                    <w:ind w:left="0" w:leftChars="0" w:firstLine="0" w:firstLineChars="0"/>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vertAlign w:val="baseline"/>
                    </w:rPr>
                    <w:t>等效黏土防渗层Mb</w:t>
                  </w:r>
                  <w:r>
                    <w:rPr>
                      <w:rFonts w:hint="eastAsia" w:ascii="Times New Roman" w:hAnsi="Times New Roman" w:eastAsia="宋体" w:cs="Times New Roman"/>
                      <w:color w:val="auto"/>
                      <w:sz w:val="21"/>
                      <w:szCs w:val="21"/>
                      <w:highlight w:val="none"/>
                      <w:vertAlign w:val="baseline"/>
                      <w:lang w:val="en-US" w:eastAsia="zh-CN"/>
                    </w:rPr>
                    <w:t>≥1.5</w:t>
                  </w:r>
                  <w:r>
                    <w:rPr>
                      <w:rFonts w:hint="default" w:ascii="Times New Roman" w:hAnsi="Times New Roman" w:eastAsia="宋体" w:cs="Times New Roman"/>
                      <w:color w:val="auto"/>
                      <w:sz w:val="21"/>
                      <w:szCs w:val="21"/>
                      <w:highlight w:val="none"/>
                      <w:vertAlign w:val="baseline"/>
                    </w:rPr>
                    <w:t>m，K≤1x10</w:t>
                  </w:r>
                  <w:r>
                    <w:rPr>
                      <w:rFonts w:hint="default" w:ascii="Times New Roman" w:hAnsi="Times New Roman" w:eastAsia="宋体" w:cs="Times New Roman"/>
                      <w:color w:val="auto"/>
                      <w:sz w:val="21"/>
                      <w:szCs w:val="21"/>
                      <w:highlight w:val="none"/>
                      <w:vertAlign w:val="superscript"/>
                    </w:rPr>
                    <w:t>-</w:t>
                  </w:r>
                  <w:r>
                    <w:rPr>
                      <w:rFonts w:hint="eastAsia" w:ascii="Times New Roman" w:hAnsi="Times New Roman" w:eastAsia="宋体" w:cs="Times New Roman"/>
                      <w:color w:val="auto"/>
                      <w:sz w:val="21"/>
                      <w:szCs w:val="21"/>
                      <w:highlight w:val="none"/>
                      <w:vertAlign w:val="superscript"/>
                      <w:lang w:val="en-US" w:eastAsia="zh-CN"/>
                    </w:rPr>
                    <w:t>7</w:t>
                  </w:r>
                  <w:r>
                    <w:rPr>
                      <w:rFonts w:hint="default" w:ascii="Times New Roman" w:hAnsi="Times New Roman" w:eastAsia="宋体" w:cs="Times New Roman"/>
                      <w:color w:val="auto"/>
                      <w:sz w:val="21"/>
                      <w:szCs w:val="21"/>
                      <w:highlight w:val="none"/>
                      <w:vertAlign w:val="baseline"/>
                    </w:rPr>
                    <w:t>cm/s</w:t>
                  </w:r>
                </w:p>
              </w:tc>
              <w:tc>
                <w:tcPr>
                  <w:tcW w:w="2567" w:type="dxa"/>
                  <w:tcBorders>
                    <w:tl2br w:val="nil"/>
                    <w:tr2bl w:val="nil"/>
                  </w:tcBorders>
                  <w:shd w:val="clear" w:color="auto" w:fill="auto"/>
                  <w:vAlign w:val="center"/>
                </w:tcPr>
                <w:p w14:paraId="26ECCE37">
                  <w:pPr>
                    <w:numPr>
                      <w:ilvl w:val="0"/>
                      <w:numId w:val="0"/>
                    </w:numPr>
                    <w:autoSpaceDE w:val="0"/>
                    <w:autoSpaceDN w:val="0"/>
                    <w:adjustRightInd w:val="0"/>
                    <w:snapToGrid w:val="0"/>
                    <w:spacing w:line="240" w:lineRule="auto"/>
                    <w:ind w:left="0" w:leftChars="0" w:firstLine="0" w:firstLineChars="0"/>
                    <w:jc w:val="both"/>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vertAlign w:val="baseline"/>
                    </w:rPr>
                    <w:t>满足《环境影响评价技术导则 地下水环境》（HJ610-2016）中规定的防渗标准要求</w:t>
                  </w:r>
                </w:p>
              </w:tc>
              <w:tc>
                <w:tcPr>
                  <w:tcW w:w="1104" w:type="dxa"/>
                  <w:tcBorders>
                    <w:tl2br w:val="nil"/>
                    <w:tr2bl w:val="nil"/>
                  </w:tcBorders>
                  <w:shd w:val="clear" w:color="auto" w:fill="auto"/>
                  <w:vAlign w:val="center"/>
                </w:tcPr>
                <w:p w14:paraId="4D001281">
                  <w:pPr>
                    <w:numPr>
                      <w:ilvl w:val="0"/>
                      <w:numId w:val="0"/>
                    </w:numPr>
                    <w:autoSpaceDE w:val="0"/>
                    <w:autoSpaceDN w:val="0"/>
                    <w:adjustRightInd w:val="0"/>
                    <w:snapToGrid w:val="0"/>
                    <w:spacing w:line="240" w:lineRule="auto"/>
                    <w:ind w:left="0" w:leftChars="0" w:firstLine="0" w:firstLineChars="0"/>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sz w:val="24"/>
                      <w:highlight w:val="none"/>
                    </w:rPr>
                    <w:t>一般防渗区</w:t>
                  </w:r>
                </w:p>
              </w:tc>
            </w:tr>
          </w:tbl>
          <w:p w14:paraId="6C60C9D6">
            <w:pPr>
              <w:numPr>
                <w:ilvl w:val="0"/>
                <w:numId w:val="0"/>
              </w:numPr>
              <w:autoSpaceDE w:val="0"/>
              <w:autoSpaceDN w:val="0"/>
              <w:adjustRightInd w:val="0"/>
              <w:snapToGrid w:val="0"/>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采取上述防渗措施后，可有效的防止污染项目所在区域的地下水环境和土壤环境的污染。</w:t>
            </w:r>
          </w:p>
          <w:p w14:paraId="062DBE29">
            <w:pPr>
              <w:numPr>
                <w:ilvl w:val="0"/>
                <w:numId w:val="19"/>
              </w:numPr>
              <w:adjustRightInd w:val="0"/>
              <w:snapToGrid w:val="0"/>
              <w:spacing w:line="360" w:lineRule="auto"/>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生态影响分析</w:t>
            </w:r>
          </w:p>
          <w:p w14:paraId="55890C1B">
            <w:pPr>
              <w:numPr>
                <w:ilvl w:val="0"/>
                <w:numId w:val="0"/>
              </w:numPr>
              <w:adjustRightInd w:val="0"/>
              <w:snapToGrid w:val="0"/>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本项目位于</w:t>
            </w:r>
            <w:r>
              <w:rPr>
                <w:rFonts w:hint="eastAsia" w:cs="Times New Roman"/>
                <w:color w:val="auto"/>
                <w:sz w:val="24"/>
                <w:highlight w:val="none"/>
                <w:lang w:val="en-US" w:eastAsia="zh-CN"/>
              </w:rPr>
              <w:t>北京市朝阳区和平里青年沟东路5号45号楼</w:t>
            </w:r>
            <w:r>
              <w:rPr>
                <w:rFonts w:hint="default" w:ascii="Times New Roman" w:hAnsi="Times New Roman" w:eastAsia="宋体" w:cs="Times New Roman"/>
                <w:color w:val="auto"/>
                <w:sz w:val="24"/>
                <w:highlight w:val="none"/>
                <w:lang w:val="en-US" w:eastAsia="zh-CN"/>
              </w:rPr>
              <w:t>，租用现有建筑物进行</w:t>
            </w:r>
            <w:r>
              <w:rPr>
                <w:rFonts w:hint="eastAsia" w:cs="Times New Roman"/>
                <w:color w:val="auto"/>
                <w:sz w:val="24"/>
                <w:highlight w:val="none"/>
                <w:lang w:val="en-US" w:eastAsia="zh-CN"/>
              </w:rPr>
              <w:t>实验活动</w:t>
            </w:r>
            <w:r>
              <w:rPr>
                <w:rFonts w:hint="default" w:ascii="Times New Roman" w:hAnsi="Times New Roman" w:eastAsia="宋体" w:cs="Times New Roman"/>
                <w:color w:val="auto"/>
                <w:sz w:val="24"/>
                <w:highlight w:val="none"/>
                <w:lang w:val="en-US" w:eastAsia="zh-CN"/>
              </w:rPr>
              <w:t>，不属于产业园区外建设项目新增用地项目，且项目用地范围内无生态环境敏感目标，因此，本项目对生态环境影响较小。</w:t>
            </w:r>
          </w:p>
          <w:p w14:paraId="253F0596">
            <w:pPr>
              <w:numPr>
                <w:ilvl w:val="0"/>
                <w:numId w:val="19"/>
              </w:numPr>
              <w:adjustRightInd w:val="0"/>
              <w:snapToGrid w:val="0"/>
              <w:spacing w:line="360" w:lineRule="auto"/>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环境风险</w:t>
            </w:r>
          </w:p>
          <w:p w14:paraId="652E95ED">
            <w:pPr>
              <w:adjustRightInd w:val="0"/>
              <w:spacing w:line="360" w:lineRule="auto"/>
              <w:ind w:firstLine="465"/>
              <w:rPr>
                <w:rFonts w:hint="default" w:ascii="Times New Roman" w:hAnsi="Times New Roman" w:eastAsia="宋体" w:cs="Times New Roman"/>
                <w:b w:val="0"/>
                <w:bCs w:val="0"/>
                <w:color w:val="auto"/>
                <w:spacing w:val="-2"/>
                <w:sz w:val="24"/>
                <w:szCs w:val="32"/>
                <w:highlight w:val="none"/>
              </w:rPr>
            </w:pPr>
            <w:r>
              <w:rPr>
                <w:rFonts w:hint="default" w:ascii="Times New Roman" w:hAnsi="Times New Roman" w:eastAsia="宋体" w:cs="Times New Roman"/>
                <w:b w:val="0"/>
                <w:bCs w:val="0"/>
                <w:color w:val="auto"/>
                <w:spacing w:val="-2"/>
                <w:sz w:val="24"/>
                <w:szCs w:val="32"/>
                <w:highlight w:val="none"/>
              </w:rPr>
              <w:t>（1）风险源</w:t>
            </w:r>
          </w:p>
          <w:p w14:paraId="377CDF5C">
            <w:pPr>
              <w:adjustRightInd w:val="0"/>
              <w:spacing w:line="360" w:lineRule="auto"/>
              <w:ind w:firstLine="465"/>
              <w:rPr>
                <w:rFonts w:hint="default" w:ascii="Times New Roman" w:hAnsi="Times New Roman" w:eastAsia="宋体" w:cs="Times New Roman"/>
                <w:bCs/>
                <w:snapToGrid w:val="0"/>
                <w:color w:val="auto"/>
                <w:kern w:val="0"/>
                <w:sz w:val="24"/>
                <w:highlight w:val="none"/>
              </w:rPr>
            </w:pPr>
            <w:r>
              <w:rPr>
                <w:rFonts w:hint="eastAsia" w:cs="Times New Roman"/>
                <w:bCs/>
                <w:snapToGrid w:val="0"/>
                <w:color w:val="auto"/>
                <w:kern w:val="0"/>
                <w:sz w:val="24"/>
                <w:highlight w:val="none"/>
                <w:lang w:val="en-US" w:eastAsia="zh-CN"/>
              </w:rPr>
              <w:t>本项目涉及的风险源包括配料间、实验室、危险废物暂存间。</w:t>
            </w:r>
            <w:r>
              <w:rPr>
                <w:rFonts w:hint="default" w:ascii="Times New Roman" w:hAnsi="Times New Roman" w:eastAsia="宋体" w:cs="Times New Roman"/>
                <w:bCs/>
                <w:snapToGrid w:val="0"/>
                <w:color w:val="auto"/>
                <w:kern w:val="0"/>
                <w:sz w:val="24"/>
                <w:highlight w:val="none"/>
              </w:rPr>
              <w:t>根据《建设项目风险评价技术导则》（HJ169-2018）附录B和《危险化学品重大危险源辨识》（GB18218-2018）中危险品临界量的有关规定，本项目涉及的环境风险物质主要为</w:t>
            </w:r>
            <w:r>
              <w:rPr>
                <w:rFonts w:hint="default" w:ascii="Times New Roman" w:hAnsi="Times New Roman" w:eastAsia="宋体" w:cs="Times New Roman"/>
                <w:color w:val="auto"/>
                <w:sz w:val="24"/>
                <w:highlight w:val="none"/>
                <w:lang w:val="en-US" w:eastAsia="zh-CN"/>
              </w:rPr>
              <w:t>实验过程中的化学物质、</w:t>
            </w:r>
            <w:r>
              <w:rPr>
                <w:rFonts w:hint="default" w:ascii="Times New Roman" w:hAnsi="Times New Roman" w:eastAsia="宋体" w:cs="Times New Roman"/>
                <w:color w:val="auto"/>
                <w:sz w:val="24"/>
                <w:highlight w:val="none"/>
              </w:rPr>
              <w:t>COD</w:t>
            </w:r>
            <w:r>
              <w:rPr>
                <w:rFonts w:hint="default" w:ascii="Times New Roman" w:hAnsi="Times New Roman" w:eastAsia="宋体" w:cs="Times New Roman"/>
                <w:color w:val="auto"/>
                <w:sz w:val="24"/>
                <w:highlight w:val="none"/>
                <w:vertAlign w:val="subscript"/>
              </w:rPr>
              <w:t>Cr</w:t>
            </w:r>
            <w:r>
              <w:rPr>
                <w:rFonts w:hint="default" w:ascii="Times New Roman" w:hAnsi="Times New Roman" w:eastAsia="宋体" w:cs="Times New Roman"/>
                <w:color w:val="auto"/>
                <w:sz w:val="24"/>
                <w:highlight w:val="none"/>
              </w:rPr>
              <w:t>大于10000mg/L的废液</w:t>
            </w:r>
            <w:r>
              <w:rPr>
                <w:rFonts w:hint="default" w:ascii="Times New Roman" w:hAnsi="Times New Roman" w:eastAsia="宋体" w:cs="Times New Roman"/>
                <w:color w:val="auto"/>
                <w:sz w:val="24"/>
                <w:highlight w:val="none"/>
                <w:lang w:val="en-US" w:eastAsia="zh-CN"/>
              </w:rPr>
              <w:t>等</w:t>
            </w:r>
            <w:r>
              <w:rPr>
                <w:rFonts w:hint="default" w:ascii="Times New Roman" w:hAnsi="Times New Roman" w:eastAsia="宋体" w:cs="Times New Roman"/>
                <w:color w:val="auto"/>
                <w:sz w:val="24"/>
                <w:highlight w:val="none"/>
              </w:rPr>
              <w:t>。计算</w:t>
            </w:r>
            <w:r>
              <w:rPr>
                <w:rFonts w:hint="eastAsia" w:cs="Times New Roman"/>
                <w:color w:val="auto"/>
                <w:sz w:val="24"/>
                <w:highlight w:val="none"/>
                <w:lang w:val="en-US" w:eastAsia="zh-CN"/>
              </w:rPr>
              <w:t>本项目完成后全公司</w:t>
            </w:r>
            <w:r>
              <w:rPr>
                <w:rFonts w:hint="default" w:ascii="Times New Roman" w:hAnsi="Times New Roman" w:eastAsia="宋体" w:cs="Times New Roman"/>
                <w:color w:val="auto"/>
                <w:sz w:val="24"/>
                <w:highlight w:val="none"/>
              </w:rPr>
              <w:t>涉及的危险物质</w:t>
            </w:r>
            <w:r>
              <w:rPr>
                <w:rFonts w:hint="eastAsia" w:cs="Times New Roman"/>
                <w:color w:val="auto"/>
                <w:sz w:val="24"/>
                <w:highlight w:val="none"/>
                <w:lang w:val="en-US" w:eastAsia="zh-CN"/>
              </w:rPr>
              <w:t>的总量</w:t>
            </w:r>
            <w:r>
              <w:rPr>
                <w:rFonts w:hint="default" w:ascii="Times New Roman" w:hAnsi="Times New Roman" w:eastAsia="宋体" w:cs="Times New Roman"/>
                <w:color w:val="auto"/>
                <w:sz w:val="24"/>
                <w:highlight w:val="none"/>
              </w:rPr>
              <w:t>在厂界内的最大存储量与其对应的临界量的比值Q见下表。</w:t>
            </w:r>
          </w:p>
          <w:p w14:paraId="2F818F89">
            <w:pPr>
              <w:numPr>
                <w:ilvl w:val="0"/>
                <w:numId w:val="21"/>
              </w:numPr>
              <w:adjustRightInd w:val="0"/>
              <w:spacing w:line="360" w:lineRule="auto"/>
              <w:ind w:left="425" w:leftChars="0" w:hanging="425" w:firstLineChars="0"/>
              <w:jc w:val="center"/>
              <w:rPr>
                <w:rFonts w:hint="default" w:ascii="Times New Roman" w:hAnsi="Times New Roman" w:eastAsia="宋体" w:cs="Times New Roman"/>
                <w:b/>
                <w:snapToGrid w:val="0"/>
                <w:color w:val="auto"/>
                <w:kern w:val="0"/>
                <w:sz w:val="24"/>
                <w:highlight w:val="none"/>
              </w:rPr>
            </w:pPr>
            <w:r>
              <w:rPr>
                <w:rFonts w:hint="default" w:ascii="Times New Roman" w:hAnsi="Times New Roman" w:eastAsia="宋体" w:cs="Times New Roman"/>
                <w:b/>
                <w:snapToGrid w:val="0"/>
                <w:color w:val="auto"/>
                <w:kern w:val="0"/>
                <w:sz w:val="24"/>
                <w:highlight w:val="none"/>
              </w:rPr>
              <w:t>环境</w:t>
            </w:r>
            <w:r>
              <w:rPr>
                <w:rFonts w:hint="default" w:ascii="Times New Roman" w:hAnsi="Times New Roman" w:eastAsia="宋体" w:cs="Times New Roman"/>
                <w:b/>
                <w:color w:val="auto"/>
                <w:sz w:val="24"/>
                <w:highlight w:val="none"/>
              </w:rPr>
              <w:t>风险</w:t>
            </w:r>
            <w:r>
              <w:rPr>
                <w:rFonts w:hint="default" w:ascii="Times New Roman" w:hAnsi="Times New Roman" w:eastAsia="宋体" w:cs="Times New Roman"/>
                <w:b/>
                <w:snapToGrid w:val="0"/>
                <w:color w:val="auto"/>
                <w:kern w:val="0"/>
                <w:sz w:val="24"/>
                <w:highlight w:val="none"/>
              </w:rPr>
              <w:t>物质数量与临界量比值</w:t>
            </w:r>
          </w:p>
          <w:tbl>
            <w:tblPr>
              <w:tblStyle w:val="24"/>
              <w:tblW w:w="4900" w:type="pct"/>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318"/>
              <w:gridCol w:w="864"/>
              <w:gridCol w:w="1278"/>
              <w:gridCol w:w="996"/>
              <w:gridCol w:w="987"/>
              <w:gridCol w:w="987"/>
              <w:gridCol w:w="987"/>
            </w:tblGrid>
            <w:tr w14:paraId="70429996">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66" w:hRule="atLeast"/>
                <w:jc w:val="center"/>
              </w:trPr>
              <w:tc>
                <w:tcPr>
                  <w:tcW w:w="1318" w:type="dxa"/>
                  <w:tcBorders>
                    <w:tl2br w:val="nil"/>
                    <w:tr2bl w:val="nil"/>
                  </w:tcBorders>
                  <w:vAlign w:val="center"/>
                </w:tcPr>
                <w:p w14:paraId="628DB217">
                  <w:pPr>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危险品名称</w:t>
                  </w:r>
                </w:p>
              </w:tc>
              <w:tc>
                <w:tcPr>
                  <w:tcW w:w="864" w:type="dxa"/>
                  <w:tcBorders>
                    <w:tl2br w:val="nil"/>
                    <w:tr2bl w:val="nil"/>
                  </w:tcBorders>
                  <w:vAlign w:val="center"/>
                </w:tcPr>
                <w:p w14:paraId="55532EBA">
                  <w:pPr>
                    <w:jc w:val="center"/>
                    <w:rPr>
                      <w:rFonts w:hint="default" w:ascii="Times New Roman" w:hAnsi="Times New Roman" w:eastAsia="宋体" w:cs="Times New Roman"/>
                      <w:b/>
                      <w:color w:val="auto"/>
                      <w:szCs w:val="21"/>
                      <w:highlight w:val="none"/>
                      <w:lang w:eastAsia="zh-CN"/>
                    </w:rPr>
                  </w:pPr>
                  <w:r>
                    <w:rPr>
                      <w:rFonts w:hint="default" w:ascii="Times New Roman" w:hAnsi="Times New Roman" w:eastAsia="宋体" w:cs="Times New Roman"/>
                      <w:b/>
                      <w:color w:val="auto"/>
                      <w:szCs w:val="21"/>
                      <w:highlight w:val="none"/>
                      <w:lang w:eastAsia="zh-CN"/>
                    </w:rPr>
                    <w:t>存放位置</w:t>
                  </w:r>
                </w:p>
              </w:tc>
              <w:tc>
                <w:tcPr>
                  <w:tcW w:w="1278" w:type="dxa"/>
                  <w:tcBorders>
                    <w:tl2br w:val="nil"/>
                    <w:tr2bl w:val="nil"/>
                  </w:tcBorders>
                  <w:vAlign w:val="center"/>
                </w:tcPr>
                <w:p w14:paraId="43D57743">
                  <w:pPr>
                    <w:jc w:val="center"/>
                    <w:rPr>
                      <w:rFonts w:hint="default" w:ascii="Times New Roman" w:hAnsi="Times New Roman" w:eastAsia="宋体" w:cs="Times New Roman"/>
                      <w:b/>
                      <w:color w:val="auto"/>
                      <w:szCs w:val="21"/>
                      <w:highlight w:val="none"/>
                      <w:lang w:val="en-US" w:eastAsia="zh-CN"/>
                    </w:rPr>
                  </w:pPr>
                  <w:r>
                    <w:rPr>
                      <w:rFonts w:hint="eastAsia" w:cs="Times New Roman"/>
                      <w:b/>
                      <w:color w:val="auto"/>
                      <w:szCs w:val="21"/>
                      <w:highlight w:val="none"/>
                      <w:lang w:val="en-US" w:eastAsia="zh-CN"/>
                    </w:rPr>
                    <w:t>密度，g/cm</w:t>
                  </w:r>
                  <w:r>
                    <w:rPr>
                      <w:rFonts w:hint="eastAsia" w:cs="Times New Roman"/>
                      <w:b/>
                      <w:color w:val="auto"/>
                      <w:szCs w:val="21"/>
                      <w:highlight w:val="none"/>
                      <w:vertAlign w:val="superscript"/>
                      <w:lang w:val="en-US" w:eastAsia="zh-CN"/>
                    </w:rPr>
                    <w:t>3</w:t>
                  </w:r>
                </w:p>
              </w:tc>
              <w:tc>
                <w:tcPr>
                  <w:tcW w:w="996" w:type="dxa"/>
                  <w:tcBorders>
                    <w:tl2br w:val="nil"/>
                    <w:tr2bl w:val="nil"/>
                  </w:tcBorders>
                  <w:vAlign w:val="center"/>
                </w:tcPr>
                <w:p w14:paraId="446907F8">
                  <w:pPr>
                    <w:jc w:val="center"/>
                    <w:rPr>
                      <w:rFonts w:hint="default" w:ascii="Times New Roman" w:hAnsi="Times New Roman" w:eastAsia="宋体" w:cs="Times New Roman"/>
                      <w:b/>
                      <w:color w:val="auto"/>
                      <w:szCs w:val="21"/>
                      <w:highlight w:val="none"/>
                      <w:lang w:val="en-US" w:eastAsia="zh-CN"/>
                    </w:rPr>
                  </w:pPr>
                  <w:r>
                    <w:rPr>
                      <w:rFonts w:hint="eastAsia" w:cs="Times New Roman"/>
                      <w:b/>
                      <w:color w:val="auto"/>
                      <w:szCs w:val="21"/>
                      <w:highlight w:val="none"/>
                      <w:lang w:val="en-US" w:eastAsia="zh-CN"/>
                    </w:rPr>
                    <w:t>最大贮存量，L</w:t>
                  </w:r>
                </w:p>
              </w:tc>
              <w:tc>
                <w:tcPr>
                  <w:tcW w:w="987" w:type="dxa"/>
                  <w:tcBorders>
                    <w:tl2br w:val="nil"/>
                    <w:tr2bl w:val="nil"/>
                  </w:tcBorders>
                  <w:vAlign w:val="center"/>
                </w:tcPr>
                <w:p w14:paraId="6F32A632">
                  <w:pPr>
                    <w:jc w:val="center"/>
                    <w:rPr>
                      <w:rFonts w:hint="default" w:ascii="Times New Roman" w:hAnsi="Times New Roman" w:eastAsia="宋体" w:cs="Times New Roman"/>
                      <w:b/>
                      <w:color w:val="auto"/>
                      <w:szCs w:val="21"/>
                      <w:highlight w:val="none"/>
                      <w:lang w:val="en-US" w:eastAsia="zh-CN"/>
                    </w:rPr>
                  </w:pPr>
                  <w:r>
                    <w:rPr>
                      <w:rFonts w:hint="eastAsia" w:cs="Times New Roman"/>
                      <w:b/>
                      <w:color w:val="auto"/>
                      <w:szCs w:val="21"/>
                      <w:highlight w:val="none"/>
                      <w:lang w:val="en-US" w:eastAsia="zh-CN"/>
                    </w:rPr>
                    <w:t>最大贮存质量，t</w:t>
                  </w:r>
                </w:p>
              </w:tc>
              <w:tc>
                <w:tcPr>
                  <w:tcW w:w="987" w:type="dxa"/>
                  <w:tcBorders>
                    <w:tl2br w:val="nil"/>
                    <w:tr2bl w:val="nil"/>
                  </w:tcBorders>
                  <w:shd w:val="clear" w:color="auto" w:fill="auto"/>
                  <w:vAlign w:val="center"/>
                </w:tcPr>
                <w:p w14:paraId="03AA7743">
                  <w:pPr>
                    <w:jc w:val="center"/>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szCs w:val="21"/>
                      <w:highlight w:val="none"/>
                    </w:rPr>
                    <w:t>临界值（t）</w:t>
                  </w:r>
                </w:p>
              </w:tc>
              <w:tc>
                <w:tcPr>
                  <w:tcW w:w="987" w:type="dxa"/>
                  <w:tcBorders>
                    <w:tl2br w:val="nil"/>
                    <w:tr2bl w:val="nil"/>
                  </w:tcBorders>
                  <w:shd w:val="clear" w:color="auto" w:fill="auto"/>
                  <w:vAlign w:val="center"/>
                </w:tcPr>
                <w:p w14:paraId="1B7AA1DE">
                  <w:pPr>
                    <w:jc w:val="center"/>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szCs w:val="21"/>
                      <w:highlight w:val="none"/>
                    </w:rPr>
                    <w:t>Q值</w:t>
                  </w:r>
                </w:p>
              </w:tc>
            </w:tr>
            <w:tr w14:paraId="70BB7449">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22" w:hRule="atLeast"/>
                <w:jc w:val="center"/>
              </w:trPr>
              <w:tc>
                <w:tcPr>
                  <w:tcW w:w="1318" w:type="dxa"/>
                  <w:tcBorders>
                    <w:tl2br w:val="nil"/>
                    <w:tr2bl w:val="nil"/>
                  </w:tcBorders>
                  <w:shd w:val="clear" w:color="auto" w:fill="auto"/>
                  <w:vAlign w:val="center"/>
                </w:tcPr>
                <w:p w14:paraId="58D4164A">
                  <w:pPr>
                    <w:spacing w:before="52" w:line="229" w:lineRule="auto"/>
                    <w:jc w:val="center"/>
                    <w:rPr>
                      <w:rFonts w:hint="default" w:ascii="Times New Roman" w:hAnsi="Times New Roman" w:eastAsia="Times New Roman" w:cs="Times New Roman"/>
                      <w:color w:val="auto"/>
                      <w:spacing w:val="6"/>
                      <w:kern w:val="2"/>
                      <w:sz w:val="21"/>
                      <w:szCs w:val="21"/>
                      <w:highlight w:val="none"/>
                      <w:lang w:val="en-US" w:eastAsia="zh-CN" w:bidi="ar-SA"/>
                    </w:rPr>
                  </w:pPr>
                  <w:r>
                    <w:rPr>
                      <w:rFonts w:hint="eastAsia" w:cs="Times New Roman"/>
                      <w:color w:val="auto"/>
                      <w:kern w:val="2"/>
                      <w:sz w:val="21"/>
                      <w:szCs w:val="21"/>
                      <w:highlight w:val="none"/>
                      <w:lang w:val="en-US" w:eastAsia="zh-CN" w:bidi="ar-SA"/>
                    </w:rPr>
                    <w:t>乙醇</w:t>
                  </w:r>
                </w:p>
              </w:tc>
              <w:tc>
                <w:tcPr>
                  <w:tcW w:w="864" w:type="dxa"/>
                  <w:tcBorders>
                    <w:tl2br w:val="nil"/>
                    <w:tr2bl w:val="nil"/>
                  </w:tcBorders>
                  <w:shd w:val="clear" w:color="auto" w:fill="auto"/>
                  <w:vAlign w:val="center"/>
                </w:tcPr>
                <w:p w14:paraId="6FDC2E39">
                  <w:pPr>
                    <w:widowControl/>
                    <w:jc w:val="center"/>
                    <w:rPr>
                      <w:rFonts w:hint="eastAsia" w:cs="Times New Roman"/>
                      <w:color w:val="auto"/>
                      <w:kern w:val="0"/>
                      <w:szCs w:val="21"/>
                      <w:highlight w:val="none"/>
                      <w:lang w:val="en-US" w:eastAsia="zh-CN"/>
                    </w:rPr>
                  </w:pPr>
                  <w:r>
                    <w:rPr>
                      <w:rFonts w:hint="eastAsia" w:cs="Times New Roman"/>
                      <w:color w:val="auto"/>
                      <w:kern w:val="0"/>
                      <w:szCs w:val="21"/>
                      <w:highlight w:val="none"/>
                      <w:lang w:val="en-US" w:eastAsia="zh-CN"/>
                    </w:rPr>
                    <w:t>配料间</w:t>
                  </w:r>
                </w:p>
                <w:p w14:paraId="488D80CA">
                  <w:pPr>
                    <w:widowControl/>
                    <w:jc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Cs w:val="21"/>
                      <w:highlight w:val="none"/>
                      <w:lang w:val="en-US" w:eastAsia="zh-CN"/>
                    </w:rPr>
                    <w:t>试剂柜</w:t>
                  </w:r>
                </w:p>
              </w:tc>
              <w:tc>
                <w:tcPr>
                  <w:tcW w:w="1278" w:type="dxa"/>
                  <w:tcBorders>
                    <w:tl2br w:val="nil"/>
                    <w:tr2bl w:val="nil"/>
                  </w:tcBorders>
                  <w:shd w:val="clear" w:color="auto" w:fill="auto"/>
                  <w:vAlign w:val="center"/>
                </w:tcPr>
                <w:p w14:paraId="478EC38D">
                  <w:pPr>
                    <w:numPr>
                      <w:ilvl w:val="0"/>
                      <w:numId w:val="0"/>
                    </w:numPr>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eastAsia" w:cs="Times New Roman"/>
                      <w:b w:val="0"/>
                      <w:bCs w:val="0"/>
                      <w:color w:val="auto"/>
                      <w:kern w:val="2"/>
                      <w:sz w:val="21"/>
                      <w:szCs w:val="21"/>
                      <w:highlight w:val="none"/>
                      <w:vertAlign w:val="baseline"/>
                      <w:lang w:val="en-US" w:eastAsia="zh-CN" w:bidi="ar-SA"/>
                    </w:rPr>
                    <w:t>0.789</w:t>
                  </w:r>
                </w:p>
              </w:tc>
              <w:tc>
                <w:tcPr>
                  <w:tcW w:w="996" w:type="dxa"/>
                  <w:tcBorders>
                    <w:tl2br w:val="nil"/>
                    <w:tr2bl w:val="nil"/>
                  </w:tcBorders>
                  <w:shd w:val="clear" w:color="auto" w:fill="auto"/>
                  <w:vAlign w:val="center"/>
                </w:tcPr>
                <w:p w14:paraId="1F7C0A8A">
                  <w:pPr>
                    <w:widowControl/>
                    <w:jc w:val="center"/>
                    <w:rPr>
                      <w:rFonts w:hint="default" w:ascii="Times New Roman" w:hAnsi="Times New Roman" w:eastAsia="宋体" w:cs="Times New Roman"/>
                      <w:color w:val="auto"/>
                      <w:kern w:val="0"/>
                      <w:szCs w:val="21"/>
                      <w:highlight w:val="none"/>
                      <w:lang w:val="en-US" w:eastAsia="zh-CN"/>
                    </w:rPr>
                  </w:pPr>
                  <w:r>
                    <w:rPr>
                      <w:rFonts w:hint="eastAsia" w:cs="Times New Roman"/>
                      <w:color w:val="auto"/>
                      <w:kern w:val="0"/>
                      <w:szCs w:val="21"/>
                      <w:highlight w:val="none"/>
                      <w:lang w:val="en-US" w:eastAsia="zh-CN"/>
                    </w:rPr>
                    <w:t>5</w:t>
                  </w:r>
                </w:p>
              </w:tc>
              <w:tc>
                <w:tcPr>
                  <w:tcW w:w="987" w:type="dxa"/>
                  <w:tcBorders>
                    <w:tl2br w:val="nil"/>
                    <w:tr2bl w:val="nil"/>
                  </w:tcBorders>
                  <w:shd w:val="clear" w:color="auto" w:fill="auto"/>
                  <w:vAlign w:val="center"/>
                </w:tcPr>
                <w:p w14:paraId="0E18EA5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0.00</w:t>
                  </w:r>
                  <w:r>
                    <w:rPr>
                      <w:rFonts w:hint="eastAsia" w:cs="Times New Roman"/>
                      <w:i w:val="0"/>
                      <w:iCs w:val="0"/>
                      <w:color w:val="auto"/>
                      <w:kern w:val="0"/>
                      <w:sz w:val="21"/>
                      <w:szCs w:val="21"/>
                      <w:u w:val="none"/>
                      <w:lang w:val="en-US" w:eastAsia="zh-CN" w:bidi="ar"/>
                    </w:rPr>
                    <w:t>39</w:t>
                  </w:r>
                </w:p>
              </w:tc>
              <w:tc>
                <w:tcPr>
                  <w:tcW w:w="987" w:type="dxa"/>
                  <w:tcBorders>
                    <w:tl2br w:val="nil"/>
                    <w:tr2bl w:val="nil"/>
                  </w:tcBorders>
                  <w:shd w:val="clear" w:color="auto" w:fill="auto"/>
                  <w:vAlign w:val="center"/>
                </w:tcPr>
                <w:p w14:paraId="270E3F57">
                  <w:pPr>
                    <w:widowControl/>
                    <w:jc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Cs w:val="21"/>
                      <w:highlight w:val="none"/>
                      <w:lang w:val="en-US" w:eastAsia="zh-CN"/>
                    </w:rPr>
                    <w:t>500</w:t>
                  </w:r>
                </w:p>
              </w:tc>
              <w:tc>
                <w:tcPr>
                  <w:tcW w:w="987" w:type="dxa"/>
                  <w:tcBorders>
                    <w:tl2br w:val="nil"/>
                    <w:tr2bl w:val="nil"/>
                  </w:tcBorders>
                  <w:shd w:val="clear" w:color="auto" w:fill="auto"/>
                  <w:vAlign w:val="center"/>
                </w:tcPr>
                <w:p w14:paraId="5DACA94C">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0.000</w:t>
                  </w:r>
                  <w:r>
                    <w:rPr>
                      <w:rFonts w:hint="eastAsia" w:cs="Times New Roman"/>
                      <w:i w:val="0"/>
                      <w:iCs w:val="0"/>
                      <w:color w:val="auto"/>
                      <w:kern w:val="0"/>
                      <w:sz w:val="21"/>
                      <w:szCs w:val="21"/>
                      <w:u w:val="none"/>
                      <w:lang w:val="en-US" w:eastAsia="zh-CN" w:bidi="ar"/>
                    </w:rPr>
                    <w:t>008</w:t>
                  </w:r>
                  <w:r>
                    <w:rPr>
                      <w:rFonts w:hint="default" w:ascii="Times New Roman" w:hAnsi="Times New Roman" w:eastAsia="宋体" w:cs="Times New Roman"/>
                      <w:i w:val="0"/>
                      <w:iCs w:val="0"/>
                      <w:color w:val="auto"/>
                      <w:kern w:val="0"/>
                      <w:sz w:val="21"/>
                      <w:szCs w:val="21"/>
                      <w:u w:val="none"/>
                      <w:lang w:val="en-US" w:eastAsia="zh-CN" w:bidi="ar"/>
                    </w:rPr>
                    <w:t xml:space="preserve"> </w:t>
                  </w:r>
                </w:p>
              </w:tc>
            </w:tr>
            <w:tr w14:paraId="40FC7FFC">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318" w:type="dxa"/>
                  <w:tcBorders>
                    <w:tl2br w:val="nil"/>
                    <w:tr2bl w:val="nil"/>
                  </w:tcBorders>
                  <w:shd w:val="clear" w:color="auto" w:fill="auto"/>
                  <w:vAlign w:val="center"/>
                </w:tcPr>
                <w:p w14:paraId="3F0D7CAB">
                  <w:pPr>
                    <w:widowControl/>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COD</w:t>
                  </w:r>
                  <w:r>
                    <w:rPr>
                      <w:rFonts w:hint="default" w:ascii="Times New Roman" w:hAnsi="Times New Roman" w:eastAsia="宋体" w:cs="Times New Roman"/>
                      <w:color w:val="auto"/>
                      <w:kern w:val="0"/>
                      <w:szCs w:val="21"/>
                      <w:highlight w:val="none"/>
                      <w:vertAlign w:val="subscript"/>
                      <w:lang w:val="en-US" w:eastAsia="zh-CN"/>
                    </w:rPr>
                    <w:t>Cr</w:t>
                  </w:r>
                  <w:r>
                    <w:rPr>
                      <w:rFonts w:hint="default" w:ascii="Times New Roman" w:hAnsi="Times New Roman" w:eastAsia="宋体" w:cs="Times New Roman"/>
                      <w:color w:val="auto"/>
                      <w:kern w:val="0"/>
                      <w:szCs w:val="21"/>
                      <w:highlight w:val="none"/>
                      <w:lang w:val="en-US" w:eastAsia="zh-CN"/>
                    </w:rPr>
                    <w:t>大于10000mg/L的废液</w:t>
                  </w:r>
                </w:p>
              </w:tc>
              <w:tc>
                <w:tcPr>
                  <w:tcW w:w="864" w:type="dxa"/>
                  <w:vMerge w:val="restart"/>
                  <w:tcBorders>
                    <w:tl2br w:val="nil"/>
                    <w:tr2bl w:val="nil"/>
                  </w:tcBorders>
                  <w:shd w:val="clear" w:color="auto" w:fill="auto"/>
                  <w:vAlign w:val="center"/>
                </w:tcPr>
                <w:p w14:paraId="27A826B4">
                  <w:pPr>
                    <w:widowControl/>
                    <w:jc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危险废物暂存间</w:t>
                  </w:r>
                </w:p>
              </w:tc>
              <w:tc>
                <w:tcPr>
                  <w:tcW w:w="1278" w:type="dxa"/>
                  <w:tcBorders>
                    <w:tl2br w:val="nil"/>
                    <w:tr2bl w:val="nil"/>
                  </w:tcBorders>
                  <w:shd w:val="clear" w:color="auto" w:fill="auto"/>
                  <w:vAlign w:val="center"/>
                </w:tcPr>
                <w:p w14:paraId="12CAEF0C">
                  <w:pPr>
                    <w:widowControl/>
                    <w:jc w:val="center"/>
                    <w:rPr>
                      <w:rFonts w:hint="default" w:ascii="Times New Roman" w:hAnsi="Times New Roman" w:eastAsia="宋体" w:cs="Times New Roman"/>
                      <w:color w:val="auto"/>
                      <w:kern w:val="0"/>
                      <w:szCs w:val="21"/>
                      <w:highlight w:val="none"/>
                      <w:lang w:val="en-US" w:eastAsia="zh-CN"/>
                    </w:rPr>
                  </w:pPr>
                  <w:r>
                    <w:rPr>
                      <w:rFonts w:hint="eastAsia" w:cs="Times New Roman"/>
                      <w:color w:val="auto"/>
                      <w:kern w:val="0"/>
                      <w:szCs w:val="21"/>
                      <w:highlight w:val="none"/>
                      <w:lang w:val="en-US" w:eastAsia="zh-CN"/>
                    </w:rPr>
                    <w:t>/</w:t>
                  </w:r>
                </w:p>
              </w:tc>
              <w:tc>
                <w:tcPr>
                  <w:tcW w:w="996" w:type="dxa"/>
                  <w:tcBorders>
                    <w:tl2br w:val="nil"/>
                    <w:tr2bl w:val="nil"/>
                  </w:tcBorders>
                  <w:shd w:val="clear" w:color="auto" w:fill="auto"/>
                  <w:vAlign w:val="center"/>
                </w:tcPr>
                <w:p w14:paraId="3ADAAEF7">
                  <w:pPr>
                    <w:widowControl/>
                    <w:jc w:val="center"/>
                    <w:rPr>
                      <w:rFonts w:hint="default" w:ascii="Times New Roman" w:hAnsi="Times New Roman" w:eastAsia="宋体" w:cs="Times New Roman"/>
                      <w:color w:val="auto"/>
                      <w:kern w:val="0"/>
                      <w:szCs w:val="21"/>
                      <w:highlight w:val="none"/>
                      <w:lang w:val="en-US" w:eastAsia="zh-CN"/>
                    </w:rPr>
                  </w:pPr>
                  <w:r>
                    <w:rPr>
                      <w:rFonts w:hint="eastAsia" w:cs="Times New Roman"/>
                      <w:color w:val="auto"/>
                      <w:kern w:val="0"/>
                      <w:szCs w:val="21"/>
                      <w:highlight w:val="none"/>
                      <w:lang w:val="en-US" w:eastAsia="zh-CN"/>
                    </w:rPr>
                    <w:t>/</w:t>
                  </w:r>
                </w:p>
              </w:tc>
              <w:tc>
                <w:tcPr>
                  <w:tcW w:w="987" w:type="dxa"/>
                  <w:tcBorders>
                    <w:tl2br w:val="nil"/>
                    <w:tr2bl w:val="nil"/>
                  </w:tcBorders>
                  <w:shd w:val="clear" w:color="auto" w:fill="auto"/>
                  <w:vAlign w:val="center"/>
                </w:tcPr>
                <w:p w14:paraId="46020E7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u w:val="none"/>
                      <w:lang w:val="en-US" w:eastAsia="zh-CN" w:bidi="ar"/>
                    </w:rPr>
                    <w:t>0.54</w:t>
                  </w:r>
                </w:p>
              </w:tc>
              <w:tc>
                <w:tcPr>
                  <w:tcW w:w="987" w:type="dxa"/>
                  <w:tcBorders>
                    <w:tl2br w:val="nil"/>
                    <w:tr2bl w:val="nil"/>
                  </w:tcBorders>
                  <w:shd w:val="clear" w:color="auto" w:fill="auto"/>
                  <w:vAlign w:val="center"/>
                </w:tcPr>
                <w:p w14:paraId="15353C24">
                  <w:pPr>
                    <w:keepNext w:val="0"/>
                    <w:keepLines w:val="0"/>
                    <w:widowControl/>
                    <w:suppressLineNumbers w:val="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10</w:t>
                  </w:r>
                </w:p>
              </w:tc>
              <w:tc>
                <w:tcPr>
                  <w:tcW w:w="987" w:type="dxa"/>
                  <w:tcBorders>
                    <w:tl2br w:val="nil"/>
                    <w:tr2bl w:val="nil"/>
                  </w:tcBorders>
                  <w:shd w:val="clear" w:color="auto" w:fill="auto"/>
                  <w:vAlign w:val="center"/>
                </w:tcPr>
                <w:p w14:paraId="253E5A55">
                  <w:pPr>
                    <w:keepNext w:val="0"/>
                    <w:keepLines w:val="0"/>
                    <w:widowControl/>
                    <w:suppressLineNumbers w:val="0"/>
                    <w:jc w:val="center"/>
                    <w:textAlignment w:val="center"/>
                    <w:rPr>
                      <w:rFonts w:hint="default"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w:t>
                  </w:r>
                  <w:r>
                    <w:rPr>
                      <w:rFonts w:hint="eastAsia" w:cs="Times New Roman"/>
                      <w:i w:val="0"/>
                      <w:iCs w:val="0"/>
                      <w:color w:val="auto"/>
                      <w:kern w:val="0"/>
                      <w:sz w:val="21"/>
                      <w:szCs w:val="21"/>
                      <w:u w:val="none"/>
                      <w:lang w:val="en-US" w:eastAsia="zh-CN" w:bidi="ar"/>
                    </w:rPr>
                    <w:t>054</w:t>
                  </w:r>
                </w:p>
              </w:tc>
            </w:tr>
            <w:tr w14:paraId="2B8F6F51">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318" w:type="dxa"/>
                  <w:tcBorders>
                    <w:tl2br w:val="nil"/>
                    <w:tr2bl w:val="nil"/>
                  </w:tcBorders>
                  <w:shd w:val="clear" w:color="auto" w:fill="auto"/>
                  <w:vAlign w:val="center"/>
                </w:tcPr>
                <w:p w14:paraId="412E6392">
                  <w:pPr>
                    <w:widowControl/>
                    <w:jc w:val="center"/>
                    <w:rPr>
                      <w:rFonts w:hint="default" w:ascii="Times New Roman" w:hAnsi="Times New Roman" w:eastAsia="宋体" w:cs="Times New Roman"/>
                      <w:color w:val="auto"/>
                      <w:kern w:val="0"/>
                      <w:szCs w:val="21"/>
                      <w:highlight w:val="none"/>
                      <w:lang w:val="en-US" w:eastAsia="zh-CN"/>
                    </w:rPr>
                  </w:pPr>
                  <w:r>
                    <w:rPr>
                      <w:rFonts w:hint="eastAsia" w:cs="Times New Roman"/>
                      <w:color w:val="auto"/>
                      <w:sz w:val="21"/>
                      <w:szCs w:val="21"/>
                      <w:highlight w:val="none"/>
                      <w:vertAlign w:val="baseline"/>
                      <w:lang w:val="en-US" w:eastAsia="zh-CN"/>
                    </w:rPr>
                    <w:t>废N-甲基吡咯烷酮</w:t>
                  </w:r>
                </w:p>
              </w:tc>
              <w:tc>
                <w:tcPr>
                  <w:tcW w:w="864" w:type="dxa"/>
                  <w:vMerge w:val="continue"/>
                  <w:tcBorders>
                    <w:tl2br w:val="nil"/>
                    <w:tr2bl w:val="nil"/>
                  </w:tcBorders>
                  <w:shd w:val="clear" w:color="auto" w:fill="auto"/>
                  <w:vAlign w:val="center"/>
                </w:tcPr>
                <w:p w14:paraId="71E6BF6E">
                  <w:pPr>
                    <w:widowControl/>
                    <w:jc w:val="center"/>
                    <w:rPr>
                      <w:rFonts w:hint="eastAsia" w:cs="Times New Roman"/>
                      <w:color w:val="auto"/>
                      <w:kern w:val="0"/>
                      <w:sz w:val="21"/>
                      <w:szCs w:val="21"/>
                      <w:highlight w:val="none"/>
                      <w:lang w:val="en-US" w:eastAsia="zh-CN" w:bidi="ar-SA"/>
                    </w:rPr>
                  </w:pPr>
                </w:p>
              </w:tc>
              <w:tc>
                <w:tcPr>
                  <w:tcW w:w="1278" w:type="dxa"/>
                  <w:tcBorders>
                    <w:tl2br w:val="nil"/>
                    <w:tr2bl w:val="nil"/>
                  </w:tcBorders>
                  <w:shd w:val="clear" w:color="auto" w:fill="auto"/>
                  <w:vAlign w:val="center"/>
                </w:tcPr>
                <w:p w14:paraId="045B112C">
                  <w:pPr>
                    <w:widowControl/>
                    <w:jc w:val="center"/>
                    <w:rPr>
                      <w:rFonts w:hint="eastAsia"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Cs w:val="21"/>
                      <w:highlight w:val="none"/>
                      <w:lang w:val="en-US" w:eastAsia="zh-CN"/>
                    </w:rPr>
                    <w:t>/</w:t>
                  </w:r>
                </w:p>
              </w:tc>
              <w:tc>
                <w:tcPr>
                  <w:tcW w:w="996" w:type="dxa"/>
                  <w:tcBorders>
                    <w:tl2br w:val="nil"/>
                    <w:tr2bl w:val="nil"/>
                  </w:tcBorders>
                  <w:shd w:val="clear" w:color="auto" w:fill="auto"/>
                  <w:vAlign w:val="center"/>
                </w:tcPr>
                <w:p w14:paraId="316C732B">
                  <w:pPr>
                    <w:widowControl/>
                    <w:jc w:val="center"/>
                    <w:rPr>
                      <w:rFonts w:hint="eastAsia"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Cs w:val="21"/>
                      <w:highlight w:val="none"/>
                      <w:lang w:val="en-US" w:eastAsia="zh-CN"/>
                    </w:rPr>
                    <w:t>/</w:t>
                  </w:r>
                </w:p>
              </w:tc>
              <w:tc>
                <w:tcPr>
                  <w:tcW w:w="987" w:type="dxa"/>
                  <w:tcBorders>
                    <w:tl2br w:val="nil"/>
                    <w:tr2bl w:val="nil"/>
                  </w:tcBorders>
                  <w:shd w:val="clear" w:color="auto" w:fill="auto"/>
                  <w:vAlign w:val="center"/>
                </w:tcPr>
                <w:p w14:paraId="29D5E826">
                  <w:pPr>
                    <w:keepNext w:val="0"/>
                    <w:keepLines w:val="0"/>
                    <w:widowControl/>
                    <w:suppressLineNumbers w:val="0"/>
                    <w:jc w:val="center"/>
                    <w:textAlignment w:val="center"/>
                    <w:rPr>
                      <w:rFonts w:hint="default"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0.05</w:t>
                  </w:r>
                </w:p>
              </w:tc>
              <w:tc>
                <w:tcPr>
                  <w:tcW w:w="987" w:type="dxa"/>
                  <w:tcBorders>
                    <w:tl2br w:val="nil"/>
                    <w:tr2bl w:val="nil"/>
                  </w:tcBorders>
                  <w:shd w:val="clear" w:color="auto" w:fill="auto"/>
                  <w:vAlign w:val="center"/>
                </w:tcPr>
                <w:p w14:paraId="78BF634B">
                  <w:pPr>
                    <w:keepNext w:val="0"/>
                    <w:keepLines w:val="0"/>
                    <w:widowControl/>
                    <w:suppressLineNumbers w:val="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10</w:t>
                  </w:r>
                </w:p>
              </w:tc>
              <w:tc>
                <w:tcPr>
                  <w:tcW w:w="987" w:type="dxa"/>
                  <w:tcBorders>
                    <w:tl2br w:val="nil"/>
                    <w:tr2bl w:val="nil"/>
                  </w:tcBorders>
                  <w:shd w:val="clear" w:color="auto" w:fill="auto"/>
                  <w:vAlign w:val="center"/>
                </w:tcPr>
                <w:p w14:paraId="73DB19F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0.005</w:t>
                  </w:r>
                </w:p>
              </w:tc>
            </w:tr>
            <w:tr w14:paraId="1B1104E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19" w:hRule="atLeast"/>
                <w:jc w:val="center"/>
              </w:trPr>
              <w:tc>
                <w:tcPr>
                  <w:tcW w:w="4456" w:type="dxa"/>
                  <w:gridSpan w:val="4"/>
                  <w:tcBorders>
                    <w:tl2br w:val="nil"/>
                    <w:tr2bl w:val="nil"/>
                  </w:tcBorders>
                  <w:shd w:val="clear" w:color="auto" w:fill="auto"/>
                  <w:vAlign w:val="center"/>
                </w:tcPr>
                <w:p w14:paraId="08CBA4A2">
                  <w:pPr>
                    <w:widowControl/>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2"/>
                      <w:sz w:val="18"/>
                      <w:szCs w:val="18"/>
                      <w:lang w:val="en-US" w:eastAsia="zh-CN" w:bidi="ar-SA"/>
                    </w:rPr>
                    <w:t>合计</w:t>
                  </w:r>
                </w:p>
              </w:tc>
              <w:tc>
                <w:tcPr>
                  <w:tcW w:w="987" w:type="dxa"/>
                  <w:tcBorders>
                    <w:tl2br w:val="nil"/>
                    <w:tr2bl w:val="nil"/>
                  </w:tcBorders>
                  <w:shd w:val="clear" w:color="auto" w:fill="auto"/>
                  <w:vAlign w:val="center"/>
                </w:tcPr>
                <w:p w14:paraId="32A06A2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0.5939</w:t>
                  </w:r>
                </w:p>
              </w:tc>
              <w:tc>
                <w:tcPr>
                  <w:tcW w:w="987" w:type="dxa"/>
                  <w:tcBorders>
                    <w:tl2br w:val="nil"/>
                    <w:tr2bl w:val="nil"/>
                  </w:tcBorders>
                  <w:shd w:val="clear" w:color="auto" w:fill="auto"/>
                  <w:vAlign w:val="center"/>
                </w:tcPr>
                <w:p w14:paraId="0EF8D089">
                  <w:pPr>
                    <w:keepNext w:val="0"/>
                    <w:keepLines w:val="0"/>
                    <w:widowControl/>
                    <w:suppressLineNumbers w:val="0"/>
                    <w:jc w:val="center"/>
                    <w:textAlignment w:val="center"/>
                    <w:rPr>
                      <w:rFonts w:hint="default" w:cs="Times New Roman"/>
                      <w:i w:val="0"/>
                      <w:iCs w:val="0"/>
                      <w:color w:val="auto"/>
                      <w:kern w:val="0"/>
                      <w:sz w:val="21"/>
                      <w:szCs w:val="21"/>
                      <w:highlight w:val="none"/>
                      <w:u w:val="none"/>
                      <w:lang w:val="en-US" w:eastAsia="zh-CN" w:bidi="ar"/>
                    </w:rPr>
                  </w:pPr>
                </w:p>
              </w:tc>
              <w:tc>
                <w:tcPr>
                  <w:tcW w:w="987" w:type="dxa"/>
                  <w:tcBorders>
                    <w:tl2br w:val="nil"/>
                    <w:tr2bl w:val="nil"/>
                  </w:tcBorders>
                  <w:shd w:val="clear" w:color="auto" w:fill="auto"/>
                  <w:vAlign w:val="center"/>
                </w:tcPr>
                <w:p w14:paraId="3DBB9EC4">
                  <w:pPr>
                    <w:keepNext w:val="0"/>
                    <w:keepLines w:val="0"/>
                    <w:widowControl/>
                    <w:suppressLineNumbers w:val="0"/>
                    <w:jc w:val="center"/>
                    <w:textAlignment w:val="center"/>
                    <w:rPr>
                      <w:rFonts w:hint="default"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0.059008</w:t>
                  </w:r>
                </w:p>
              </w:tc>
            </w:tr>
            <w:tr w14:paraId="4E5192A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19" w:hRule="atLeast"/>
                <w:jc w:val="center"/>
              </w:trPr>
              <w:tc>
                <w:tcPr>
                  <w:tcW w:w="7417" w:type="dxa"/>
                  <w:gridSpan w:val="7"/>
                  <w:tcBorders>
                    <w:tl2br w:val="nil"/>
                    <w:tr2bl w:val="nil"/>
                  </w:tcBorders>
                  <w:shd w:val="clear" w:color="auto" w:fill="auto"/>
                  <w:vAlign w:val="center"/>
                </w:tcPr>
                <w:p w14:paraId="1ABF652C">
                  <w:pPr>
                    <w:keepNext w:val="0"/>
                    <w:keepLines w:val="0"/>
                    <w:widowControl/>
                    <w:suppressLineNumbers w:val="0"/>
                    <w:jc w:val="both"/>
                    <w:textAlignment w:val="center"/>
                    <w:rPr>
                      <w:rFonts w:hint="eastAsia"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注：</w:t>
                  </w:r>
                  <w:r>
                    <w:rPr>
                      <w:rFonts w:hint="default" w:ascii="Times New Roman" w:hAnsi="Times New Roman" w:eastAsia="宋体" w:cs="Times New Roman"/>
                      <w:color w:val="auto"/>
                      <w:sz w:val="21"/>
                      <w:szCs w:val="21"/>
                      <w:highlight w:val="none"/>
                      <w:vertAlign w:val="baseline"/>
                    </w:rPr>
                    <w:t>COD</w:t>
                  </w:r>
                  <w:r>
                    <w:rPr>
                      <w:rFonts w:hint="default" w:ascii="Times New Roman" w:hAnsi="Times New Roman" w:eastAsia="宋体" w:cs="Times New Roman"/>
                      <w:color w:val="auto"/>
                      <w:sz w:val="21"/>
                      <w:szCs w:val="21"/>
                      <w:highlight w:val="none"/>
                      <w:vertAlign w:val="subscript"/>
                    </w:rPr>
                    <w:t>Cr</w:t>
                  </w:r>
                  <w:r>
                    <w:rPr>
                      <w:rFonts w:hint="default" w:ascii="Times New Roman" w:hAnsi="Times New Roman" w:eastAsia="宋体" w:cs="Times New Roman"/>
                      <w:color w:val="auto"/>
                      <w:sz w:val="21"/>
                      <w:szCs w:val="21"/>
                      <w:highlight w:val="none"/>
                      <w:vertAlign w:val="baseline"/>
                    </w:rPr>
                    <w:t>大于10000mg/L的废液</w:t>
                  </w:r>
                  <w:r>
                    <w:rPr>
                      <w:rFonts w:hint="eastAsia" w:ascii="Times New Roman" w:hAnsi="Times New Roman" w:eastAsia="宋体" w:cs="Times New Roman"/>
                      <w:color w:val="auto"/>
                      <w:sz w:val="21"/>
                      <w:szCs w:val="21"/>
                      <w:highlight w:val="none"/>
                      <w:vertAlign w:val="baseline"/>
                      <w:lang w:val="en-US" w:eastAsia="zh-CN"/>
                    </w:rPr>
                    <w:t>是项目产生的清洗废液、废</w:t>
                  </w:r>
                  <w:r>
                    <w:rPr>
                      <w:rFonts w:hint="eastAsia" w:cs="Times New Roman"/>
                      <w:color w:val="auto"/>
                      <w:sz w:val="21"/>
                      <w:szCs w:val="21"/>
                      <w:highlight w:val="none"/>
                      <w:vertAlign w:val="baseline"/>
                      <w:lang w:val="en-US" w:eastAsia="zh-CN"/>
                    </w:rPr>
                    <w:t>N-甲基吡咯烷酮</w:t>
                  </w:r>
                  <w:r>
                    <w:rPr>
                      <w:rFonts w:hint="eastAsia" w:ascii="Times New Roman" w:hAnsi="Times New Roman" w:eastAsia="宋体" w:cs="Times New Roman"/>
                      <w:color w:val="auto"/>
                      <w:sz w:val="21"/>
                      <w:szCs w:val="21"/>
                      <w:highlight w:val="none"/>
                      <w:vertAlign w:val="baseline"/>
                      <w:lang w:val="en-US" w:eastAsia="zh-CN"/>
                    </w:rPr>
                    <w:t>等液态危险废物。</w:t>
                  </w:r>
                </w:p>
              </w:tc>
            </w:tr>
          </w:tbl>
          <w:p w14:paraId="50390C7C">
            <w:pPr>
              <w:adjustRightInd w:val="0"/>
              <w:spacing w:line="360" w:lineRule="auto"/>
              <w:ind w:firstLine="465"/>
              <w:rPr>
                <w:rFonts w:hint="eastAsia" w:ascii="Times New Roman" w:hAnsi="Times New Roman" w:eastAsia="宋体" w:cs="Times New Roman"/>
                <w:bCs/>
                <w:snapToGrid w:val="0"/>
                <w:color w:val="auto"/>
                <w:kern w:val="0"/>
                <w:sz w:val="24"/>
                <w:highlight w:val="none"/>
                <w:lang w:eastAsia="zh-CN"/>
              </w:rPr>
            </w:pPr>
            <w:r>
              <w:rPr>
                <w:rFonts w:hint="default" w:ascii="Times New Roman" w:hAnsi="Times New Roman" w:eastAsia="宋体" w:cs="Times New Roman"/>
                <w:bCs/>
                <w:snapToGrid w:val="0"/>
                <w:color w:val="auto"/>
                <w:kern w:val="0"/>
                <w:sz w:val="24"/>
                <w:highlight w:val="none"/>
              </w:rPr>
              <w:t>根据《建设项目环境风险评价技术导则》（HJ169-2018）附录C，当存在多种危险物质时，应按式（C.1）计算物质总量与其临界量的比值（Q）</w:t>
            </w:r>
            <w:r>
              <w:rPr>
                <w:rFonts w:hint="eastAsia" w:cs="Times New Roman"/>
                <w:bCs/>
                <w:snapToGrid w:val="0"/>
                <w:color w:val="auto"/>
                <w:kern w:val="0"/>
                <w:sz w:val="24"/>
                <w:highlight w:val="none"/>
                <w:lang w:eastAsia="zh-CN"/>
              </w:rPr>
              <w:t>：</w:t>
            </w:r>
          </w:p>
          <w:p w14:paraId="05C9D666">
            <w:pPr>
              <w:adjustRightInd w:val="0"/>
              <w:spacing w:line="360" w:lineRule="auto"/>
              <w:ind w:firstLine="465"/>
              <w:rPr>
                <w:rFonts w:hint="default" w:ascii="Times New Roman" w:hAnsi="Times New Roman" w:eastAsia="宋体" w:cs="Times New Roman"/>
                <w:bCs/>
                <w:snapToGrid w:val="0"/>
                <w:color w:val="auto"/>
                <w:kern w:val="0"/>
                <w:sz w:val="24"/>
                <w:highlight w:val="none"/>
              </w:rPr>
            </w:pPr>
            <w:r>
              <w:rPr>
                <w:rFonts w:hint="default" w:ascii="Times New Roman" w:hAnsi="Times New Roman" w:eastAsia="宋体" w:cs="Times New Roman"/>
                <w:bCs/>
                <w:snapToGrid w:val="0"/>
                <w:color w:val="auto"/>
                <w:kern w:val="0"/>
                <w:sz w:val="24"/>
                <w:highlight w:val="none"/>
              </w:rPr>
              <w:fldChar w:fldCharType="begin"/>
            </w:r>
            <w:r>
              <w:rPr>
                <w:rFonts w:hint="default" w:ascii="Times New Roman" w:hAnsi="Times New Roman" w:eastAsia="宋体" w:cs="Times New Roman"/>
                <w:bCs/>
                <w:snapToGrid w:val="0"/>
                <w:color w:val="auto"/>
                <w:kern w:val="0"/>
                <w:sz w:val="24"/>
                <w:highlight w:val="none"/>
              </w:rPr>
              <w:instrText xml:space="preserve"> INCLUDEPICTURE  "C:\\Users\\Administrator\\AppData\\Roaming\\Tencent\\Users\\106562794\\QQ\\WinTemp\\RichOle\\3[HA_)5@93(CJOQJQ(ZBZ59.png" \* MERGEFORMATINET </w:instrText>
            </w:r>
            <w:r>
              <w:rPr>
                <w:rFonts w:hint="default" w:ascii="Times New Roman" w:hAnsi="Times New Roman" w:eastAsia="宋体" w:cs="Times New Roman"/>
                <w:bCs/>
                <w:snapToGrid w:val="0"/>
                <w:color w:val="auto"/>
                <w:kern w:val="0"/>
                <w:sz w:val="24"/>
                <w:highlight w:val="none"/>
              </w:rPr>
              <w:fldChar w:fldCharType="separate"/>
            </w:r>
            <w:r>
              <w:rPr>
                <w:rFonts w:hint="default" w:ascii="Times New Roman" w:hAnsi="Times New Roman" w:eastAsia="宋体" w:cs="Times New Roman"/>
                <w:bCs/>
                <w:snapToGrid w:val="0"/>
                <w:color w:val="auto"/>
                <w:kern w:val="0"/>
                <w:sz w:val="24"/>
                <w:highlight w:val="none"/>
              </w:rPr>
              <w:fldChar w:fldCharType="begin"/>
            </w:r>
            <w:r>
              <w:rPr>
                <w:rFonts w:hint="default" w:ascii="Times New Roman" w:hAnsi="Times New Roman" w:eastAsia="宋体" w:cs="Times New Roman"/>
                <w:bCs/>
                <w:snapToGrid w:val="0"/>
                <w:color w:val="auto"/>
                <w:kern w:val="0"/>
                <w:sz w:val="24"/>
                <w:highlight w:val="none"/>
              </w:rPr>
              <w:instrText xml:space="preserve"> INCLUDEPICTURE  "C:\\Users\\Administrator\\AppData\\Roaming\\Tencent\\Users\\106562794\\QQ\\WinTemp\\RichOle\\3[HA_)5@93(CJOQJQ(ZBZ59.png" \* MERGEFORMATINET </w:instrText>
            </w:r>
            <w:r>
              <w:rPr>
                <w:rFonts w:hint="default" w:ascii="Times New Roman" w:hAnsi="Times New Roman" w:eastAsia="宋体" w:cs="Times New Roman"/>
                <w:bCs/>
                <w:snapToGrid w:val="0"/>
                <w:color w:val="auto"/>
                <w:kern w:val="0"/>
                <w:sz w:val="24"/>
                <w:highlight w:val="none"/>
              </w:rPr>
              <w:fldChar w:fldCharType="separate"/>
            </w:r>
            <w:r>
              <w:rPr>
                <w:rFonts w:hint="default" w:ascii="Times New Roman" w:hAnsi="Times New Roman" w:eastAsia="宋体" w:cs="Times New Roman"/>
                <w:bCs/>
                <w:snapToGrid w:val="0"/>
                <w:color w:val="auto"/>
                <w:kern w:val="0"/>
                <w:sz w:val="24"/>
                <w:highlight w:val="none"/>
              </w:rPr>
              <w:drawing>
                <wp:inline distT="0" distB="0" distL="114300" distR="114300">
                  <wp:extent cx="4343400" cy="1211580"/>
                  <wp:effectExtent l="0" t="0" r="0" b="7620"/>
                  <wp:docPr id="15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图片 4"/>
                          <pic:cNvPicPr>
                            <a:picLocks noChangeAspect="1"/>
                          </pic:cNvPicPr>
                        </pic:nvPicPr>
                        <pic:blipFill>
                          <a:blip r:embed="rId28" r:link="rId29"/>
                          <a:stretch>
                            <a:fillRect/>
                          </a:stretch>
                        </pic:blipFill>
                        <pic:spPr>
                          <a:xfrm>
                            <a:off x="0" y="0"/>
                            <a:ext cx="4343400" cy="1211580"/>
                          </a:xfrm>
                          <a:prstGeom prst="rect">
                            <a:avLst/>
                          </a:prstGeom>
                          <a:noFill/>
                          <a:ln>
                            <a:noFill/>
                          </a:ln>
                        </pic:spPr>
                      </pic:pic>
                    </a:graphicData>
                  </a:graphic>
                </wp:inline>
              </w:drawing>
            </w:r>
            <w:r>
              <w:rPr>
                <w:rFonts w:hint="default" w:ascii="Times New Roman" w:hAnsi="Times New Roman" w:eastAsia="宋体" w:cs="Times New Roman"/>
                <w:bCs/>
                <w:snapToGrid w:val="0"/>
                <w:color w:val="auto"/>
                <w:kern w:val="0"/>
                <w:sz w:val="24"/>
                <w:highlight w:val="none"/>
              </w:rPr>
              <w:fldChar w:fldCharType="end"/>
            </w:r>
            <w:r>
              <w:rPr>
                <w:rFonts w:hint="default" w:ascii="Times New Roman" w:hAnsi="Times New Roman" w:eastAsia="宋体" w:cs="Times New Roman"/>
                <w:bCs/>
                <w:snapToGrid w:val="0"/>
                <w:color w:val="auto"/>
                <w:kern w:val="0"/>
                <w:sz w:val="24"/>
                <w:highlight w:val="none"/>
              </w:rPr>
              <w:fldChar w:fldCharType="end"/>
            </w:r>
          </w:p>
          <w:p w14:paraId="77417A87">
            <w:pPr>
              <w:adjustRightInd w:val="0"/>
              <w:spacing w:line="360" w:lineRule="auto"/>
              <w:ind w:firstLine="465"/>
              <w:rPr>
                <w:rFonts w:hint="default" w:ascii="Times New Roman" w:hAnsi="Times New Roman" w:eastAsia="宋体" w:cs="Times New Roman"/>
                <w:bCs/>
                <w:snapToGrid w:val="0"/>
                <w:color w:val="auto"/>
                <w:kern w:val="0"/>
                <w:sz w:val="24"/>
                <w:highlight w:val="none"/>
              </w:rPr>
            </w:pPr>
            <w:r>
              <w:rPr>
                <w:rFonts w:hint="default" w:ascii="Times New Roman" w:hAnsi="Times New Roman" w:eastAsia="宋体" w:cs="Times New Roman"/>
                <w:bCs/>
                <w:snapToGrid w:val="0"/>
                <w:color w:val="auto"/>
                <w:kern w:val="0"/>
                <w:sz w:val="24"/>
                <w:highlight w:val="none"/>
              </w:rPr>
              <w:t>通过计算，本项目危险物质总量与其临界量的比值Q=0.</w:t>
            </w:r>
            <w:r>
              <w:rPr>
                <w:rFonts w:hint="eastAsia" w:cs="Times New Roman"/>
                <w:bCs/>
                <w:snapToGrid w:val="0"/>
                <w:color w:val="auto"/>
                <w:kern w:val="0"/>
                <w:sz w:val="24"/>
                <w:highlight w:val="none"/>
                <w:lang w:val="en-US" w:eastAsia="zh-CN"/>
              </w:rPr>
              <w:t>059008</w:t>
            </w:r>
            <w:r>
              <w:rPr>
                <w:rFonts w:hint="default" w:ascii="Times New Roman" w:hAnsi="Times New Roman" w:eastAsia="宋体" w:cs="Times New Roman"/>
                <w:bCs/>
                <w:snapToGrid w:val="0"/>
                <w:color w:val="auto"/>
                <w:kern w:val="0"/>
                <w:sz w:val="24"/>
                <w:highlight w:val="none"/>
              </w:rPr>
              <w:t>＜1，因此不需要设置风险专项。</w:t>
            </w:r>
          </w:p>
          <w:p w14:paraId="4F429960">
            <w:pPr>
              <w:adjustRightInd w:val="0"/>
              <w:spacing w:line="360" w:lineRule="auto"/>
              <w:ind w:firstLine="465"/>
              <w:rPr>
                <w:rFonts w:hint="default" w:ascii="Times New Roman" w:hAnsi="Times New Roman" w:eastAsia="宋体" w:cs="Times New Roman"/>
                <w:b w:val="0"/>
                <w:bCs w:val="0"/>
                <w:color w:val="auto"/>
                <w:spacing w:val="-4"/>
                <w:kern w:val="0"/>
                <w:sz w:val="24"/>
                <w:highlight w:val="none"/>
              </w:rPr>
            </w:pPr>
            <w:r>
              <w:rPr>
                <w:rFonts w:hint="default" w:ascii="Times New Roman" w:hAnsi="Times New Roman" w:eastAsia="宋体" w:cs="Times New Roman"/>
                <w:b w:val="0"/>
                <w:bCs w:val="0"/>
                <w:color w:val="auto"/>
                <w:spacing w:val="-4"/>
                <w:kern w:val="0"/>
                <w:sz w:val="24"/>
                <w:highlight w:val="none"/>
              </w:rPr>
              <w:t>（2）环境风险</w:t>
            </w:r>
            <w:r>
              <w:rPr>
                <w:rFonts w:hint="default" w:ascii="Times New Roman" w:hAnsi="Times New Roman" w:eastAsia="宋体" w:cs="Times New Roman"/>
                <w:b w:val="0"/>
                <w:bCs w:val="0"/>
                <w:color w:val="auto"/>
                <w:spacing w:val="-4"/>
                <w:kern w:val="0"/>
                <w:sz w:val="24"/>
                <w:highlight w:val="none"/>
                <w:lang w:val="en-US" w:eastAsia="zh-CN"/>
              </w:rPr>
              <w:t>源分布情况及</w:t>
            </w:r>
            <w:r>
              <w:rPr>
                <w:rFonts w:hint="default" w:ascii="Times New Roman" w:hAnsi="Times New Roman" w:eastAsia="宋体" w:cs="Times New Roman"/>
                <w:b w:val="0"/>
                <w:bCs w:val="0"/>
                <w:color w:val="auto"/>
                <w:spacing w:val="-4"/>
                <w:kern w:val="0"/>
                <w:sz w:val="24"/>
                <w:highlight w:val="none"/>
              </w:rPr>
              <w:t>影响途径</w:t>
            </w:r>
          </w:p>
          <w:p w14:paraId="0ED028E3">
            <w:pPr>
              <w:adjustRightInd w:val="0"/>
              <w:spacing w:line="360" w:lineRule="auto"/>
              <w:ind w:firstLine="465"/>
              <w:rPr>
                <w:rFonts w:hint="default" w:ascii="Times New Roman" w:hAnsi="Times New Roman" w:eastAsia="宋体" w:cs="Times New Roman"/>
                <w:bCs/>
                <w:snapToGrid w:val="0"/>
                <w:color w:val="auto"/>
                <w:kern w:val="0"/>
                <w:sz w:val="24"/>
                <w:highlight w:val="none"/>
                <w:lang w:val="en-US" w:eastAsia="zh-CN"/>
              </w:rPr>
            </w:pPr>
            <w:r>
              <w:rPr>
                <w:rFonts w:hint="default" w:ascii="Times New Roman" w:hAnsi="Times New Roman" w:eastAsia="宋体" w:cs="Times New Roman"/>
                <w:bCs/>
                <w:snapToGrid w:val="0"/>
                <w:color w:val="auto"/>
                <w:kern w:val="0"/>
                <w:sz w:val="24"/>
                <w:highlight w:val="none"/>
                <w:lang w:val="en-US" w:eastAsia="zh-CN"/>
              </w:rPr>
              <w:t>本项目风险物质主要包括</w:t>
            </w:r>
            <w:r>
              <w:rPr>
                <w:rFonts w:hint="eastAsia" w:cs="Times New Roman"/>
                <w:bCs/>
                <w:snapToGrid w:val="0"/>
                <w:color w:val="auto"/>
                <w:kern w:val="0"/>
                <w:sz w:val="24"/>
                <w:highlight w:val="none"/>
                <w:lang w:val="en-US" w:eastAsia="zh-CN"/>
              </w:rPr>
              <w:t>贮存</w:t>
            </w:r>
            <w:r>
              <w:rPr>
                <w:rFonts w:hint="default" w:ascii="Times New Roman" w:hAnsi="Times New Roman" w:eastAsia="宋体" w:cs="Times New Roman"/>
                <w:bCs/>
                <w:snapToGrid w:val="0"/>
                <w:color w:val="auto"/>
                <w:kern w:val="0"/>
                <w:sz w:val="24"/>
                <w:highlight w:val="none"/>
                <w:lang w:val="en-US" w:eastAsia="zh-CN"/>
              </w:rPr>
              <w:t>的化学</w:t>
            </w:r>
            <w:r>
              <w:rPr>
                <w:rFonts w:hint="eastAsia" w:cs="Times New Roman"/>
                <w:bCs/>
                <w:snapToGrid w:val="0"/>
                <w:color w:val="auto"/>
                <w:kern w:val="0"/>
                <w:sz w:val="24"/>
                <w:highlight w:val="none"/>
                <w:lang w:val="en-US" w:eastAsia="zh-CN"/>
              </w:rPr>
              <w:t>物品</w:t>
            </w:r>
            <w:r>
              <w:rPr>
                <w:rFonts w:hint="default" w:ascii="Times New Roman" w:hAnsi="Times New Roman" w:eastAsia="宋体" w:cs="Times New Roman"/>
                <w:bCs/>
                <w:snapToGrid w:val="0"/>
                <w:color w:val="auto"/>
                <w:kern w:val="0"/>
                <w:sz w:val="24"/>
                <w:highlight w:val="none"/>
                <w:lang w:val="en-US" w:eastAsia="zh-CN"/>
              </w:rPr>
              <w:t>和实验室产生的危险废物。风险物质在</w:t>
            </w:r>
            <w:r>
              <w:rPr>
                <w:rFonts w:hint="eastAsia" w:cs="Times New Roman"/>
                <w:bCs/>
                <w:snapToGrid w:val="0"/>
                <w:color w:val="auto"/>
                <w:kern w:val="0"/>
                <w:sz w:val="24"/>
                <w:highlight w:val="none"/>
                <w:lang w:val="en-US" w:eastAsia="zh-CN"/>
              </w:rPr>
              <w:t>使用、贮存</w:t>
            </w:r>
            <w:r>
              <w:rPr>
                <w:rFonts w:hint="default" w:ascii="Times New Roman" w:hAnsi="Times New Roman" w:eastAsia="宋体" w:cs="Times New Roman"/>
                <w:bCs/>
                <w:snapToGrid w:val="0"/>
                <w:color w:val="auto"/>
                <w:kern w:val="0"/>
                <w:sz w:val="24"/>
                <w:highlight w:val="none"/>
                <w:lang w:val="en-US" w:eastAsia="zh-CN"/>
              </w:rPr>
              <w:t>、转运过程中存在的风险，若</w:t>
            </w:r>
            <w:r>
              <w:rPr>
                <w:rFonts w:hint="eastAsia" w:cs="Times New Roman"/>
                <w:bCs/>
                <w:snapToGrid w:val="0"/>
                <w:color w:val="auto"/>
                <w:kern w:val="0"/>
                <w:sz w:val="24"/>
                <w:highlight w:val="none"/>
                <w:lang w:val="en-US" w:eastAsia="zh-CN"/>
              </w:rPr>
              <w:t>操作不当、</w:t>
            </w:r>
            <w:r>
              <w:rPr>
                <w:rFonts w:hint="default" w:ascii="Times New Roman" w:hAnsi="Times New Roman" w:eastAsia="宋体" w:cs="Times New Roman"/>
                <w:bCs/>
                <w:snapToGrid w:val="0"/>
                <w:color w:val="auto"/>
                <w:kern w:val="0"/>
                <w:sz w:val="24"/>
                <w:highlight w:val="none"/>
                <w:lang w:val="en-US" w:eastAsia="zh-CN"/>
              </w:rPr>
              <w:t>未采取相应措施，可能会影响</w:t>
            </w:r>
            <w:r>
              <w:rPr>
                <w:rFonts w:hint="eastAsia" w:cs="Times New Roman"/>
                <w:bCs/>
                <w:snapToGrid w:val="0"/>
                <w:color w:val="auto"/>
                <w:kern w:val="0"/>
                <w:sz w:val="24"/>
                <w:highlight w:val="none"/>
                <w:lang w:val="en-US" w:eastAsia="zh-CN"/>
              </w:rPr>
              <w:t>周边</w:t>
            </w:r>
            <w:r>
              <w:rPr>
                <w:rFonts w:hint="default" w:ascii="Times New Roman" w:hAnsi="Times New Roman" w:eastAsia="宋体" w:cs="Times New Roman"/>
                <w:bCs/>
                <w:snapToGrid w:val="0"/>
                <w:color w:val="auto"/>
                <w:kern w:val="0"/>
                <w:sz w:val="24"/>
                <w:highlight w:val="none"/>
                <w:lang w:val="en-US" w:eastAsia="zh-CN"/>
              </w:rPr>
              <w:t>环境、人群健康等。本项目风险源分布情况及可能影响环境的途径见下表。</w:t>
            </w:r>
          </w:p>
          <w:p w14:paraId="75C60260">
            <w:pPr>
              <w:numPr>
                <w:ilvl w:val="0"/>
                <w:numId w:val="21"/>
              </w:numPr>
              <w:adjustRightInd w:val="0"/>
              <w:spacing w:line="360" w:lineRule="auto"/>
              <w:ind w:left="425" w:leftChars="0" w:hanging="425" w:firstLineChars="0"/>
              <w:jc w:val="center"/>
              <w:rPr>
                <w:rFonts w:hint="default" w:ascii="Times New Roman" w:hAnsi="Times New Roman" w:eastAsia="宋体" w:cs="Times New Roman"/>
                <w:color w:val="auto"/>
              </w:rPr>
            </w:pPr>
            <w:r>
              <w:rPr>
                <w:rFonts w:hint="default" w:ascii="Times New Roman" w:hAnsi="Times New Roman" w:eastAsia="宋体" w:cs="Times New Roman"/>
                <w:b/>
                <w:bCs/>
                <w:color w:val="auto"/>
                <w:kern w:val="0"/>
                <w:sz w:val="24"/>
                <w:szCs w:val="24"/>
                <w:lang w:val="en-US" w:eastAsia="zh-CN" w:bidi="ar"/>
              </w:rPr>
              <w:t>风险源分布及危险性分析一览表</w:t>
            </w:r>
          </w:p>
          <w:tbl>
            <w:tblPr>
              <w:tblStyle w:val="24"/>
              <w:tblW w:w="7568" w:type="dxa"/>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47"/>
              <w:gridCol w:w="1516"/>
              <w:gridCol w:w="1495"/>
              <w:gridCol w:w="3110"/>
            </w:tblGrid>
            <w:tr w14:paraId="44648A1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47" w:type="dxa"/>
                  <w:tcBorders>
                    <w:tl2br w:val="nil"/>
                    <w:tr2bl w:val="nil"/>
                  </w:tcBorders>
                  <w:vAlign w:val="center"/>
                </w:tcPr>
                <w:p w14:paraId="32E5DFBE">
                  <w:pPr>
                    <w:keepNext w:val="0"/>
                    <w:keepLines w:val="0"/>
                    <w:widowControl/>
                    <w:suppressLineNumbers w:val="0"/>
                    <w:ind w:firstLine="211" w:firstLineChars="100"/>
                    <w:jc w:val="center"/>
                    <w:rPr>
                      <w:rFonts w:hint="default" w:ascii="Times New Roman" w:hAnsi="Times New Roman" w:eastAsia="宋体" w:cs="Times New Roman"/>
                      <w:b/>
                      <w:bCs/>
                      <w:snapToGrid w:val="0"/>
                      <w:color w:val="auto"/>
                      <w:kern w:val="0"/>
                      <w:sz w:val="21"/>
                      <w:szCs w:val="21"/>
                      <w:highlight w:val="none"/>
                      <w:vertAlign w:val="baseline"/>
                      <w:lang w:val="en-US" w:eastAsia="zh-CN"/>
                    </w:rPr>
                  </w:pPr>
                  <w:r>
                    <w:rPr>
                      <w:rFonts w:hint="default" w:ascii="Times New Roman" w:hAnsi="Times New Roman" w:eastAsia="宋体" w:cs="Times New Roman"/>
                      <w:b/>
                      <w:bCs/>
                      <w:color w:val="auto"/>
                      <w:kern w:val="0"/>
                      <w:sz w:val="21"/>
                      <w:szCs w:val="21"/>
                      <w:lang w:val="en-US" w:eastAsia="zh-CN" w:bidi="ar"/>
                    </w:rPr>
                    <w:t>风险物质</w:t>
                  </w:r>
                </w:p>
              </w:tc>
              <w:tc>
                <w:tcPr>
                  <w:tcW w:w="1516" w:type="dxa"/>
                  <w:tcBorders>
                    <w:tl2br w:val="nil"/>
                    <w:tr2bl w:val="nil"/>
                  </w:tcBorders>
                  <w:vAlign w:val="center"/>
                </w:tcPr>
                <w:p w14:paraId="522DB61A">
                  <w:pPr>
                    <w:keepNext w:val="0"/>
                    <w:keepLines w:val="0"/>
                    <w:widowControl/>
                    <w:suppressLineNumbers w:val="0"/>
                    <w:ind w:firstLine="211" w:firstLineChars="100"/>
                    <w:jc w:val="center"/>
                    <w:rPr>
                      <w:rFonts w:hint="default" w:ascii="Times New Roman" w:hAnsi="Times New Roman" w:eastAsia="宋体" w:cs="Times New Roman"/>
                      <w:b/>
                      <w:bCs/>
                      <w:snapToGrid w:val="0"/>
                      <w:color w:val="auto"/>
                      <w:kern w:val="0"/>
                      <w:sz w:val="21"/>
                      <w:szCs w:val="21"/>
                      <w:highlight w:val="none"/>
                      <w:vertAlign w:val="baseline"/>
                      <w:lang w:val="en-US" w:eastAsia="zh-CN"/>
                    </w:rPr>
                  </w:pPr>
                  <w:r>
                    <w:rPr>
                      <w:rFonts w:hint="default" w:ascii="Times New Roman" w:hAnsi="Times New Roman" w:eastAsia="宋体" w:cs="Times New Roman"/>
                      <w:b/>
                      <w:bCs/>
                      <w:color w:val="auto"/>
                      <w:kern w:val="0"/>
                      <w:sz w:val="21"/>
                      <w:szCs w:val="21"/>
                      <w:lang w:val="en-US" w:eastAsia="zh-CN" w:bidi="ar"/>
                    </w:rPr>
                    <w:t>分布情况</w:t>
                  </w:r>
                </w:p>
              </w:tc>
              <w:tc>
                <w:tcPr>
                  <w:tcW w:w="1495" w:type="dxa"/>
                  <w:tcBorders>
                    <w:tl2br w:val="nil"/>
                    <w:tr2bl w:val="nil"/>
                  </w:tcBorders>
                  <w:vAlign w:val="center"/>
                </w:tcPr>
                <w:p w14:paraId="57D5DA54">
                  <w:pPr>
                    <w:numPr>
                      <w:ilvl w:val="0"/>
                      <w:numId w:val="0"/>
                    </w:numPr>
                    <w:adjustRightInd w:val="0"/>
                    <w:spacing w:line="360" w:lineRule="auto"/>
                    <w:jc w:val="center"/>
                    <w:rPr>
                      <w:rFonts w:hint="default" w:ascii="Times New Roman" w:hAnsi="Times New Roman" w:eastAsia="宋体" w:cs="Times New Roman"/>
                      <w:b/>
                      <w:bCs/>
                      <w:snapToGrid w:val="0"/>
                      <w:color w:val="auto"/>
                      <w:kern w:val="0"/>
                      <w:sz w:val="21"/>
                      <w:szCs w:val="21"/>
                      <w:highlight w:val="none"/>
                      <w:vertAlign w:val="baseline"/>
                      <w:lang w:val="en-US" w:eastAsia="zh-CN"/>
                    </w:rPr>
                  </w:pPr>
                  <w:r>
                    <w:rPr>
                      <w:rFonts w:hint="default" w:ascii="Times New Roman" w:hAnsi="Times New Roman" w:eastAsia="宋体" w:cs="Times New Roman"/>
                      <w:b/>
                      <w:bCs/>
                      <w:color w:val="auto"/>
                      <w:kern w:val="0"/>
                      <w:sz w:val="21"/>
                      <w:szCs w:val="21"/>
                      <w:lang w:val="en-US" w:eastAsia="zh-CN" w:bidi="ar"/>
                    </w:rPr>
                    <w:t>产生事故模式</w:t>
                  </w:r>
                </w:p>
              </w:tc>
              <w:tc>
                <w:tcPr>
                  <w:tcW w:w="3110" w:type="dxa"/>
                  <w:tcBorders>
                    <w:tl2br w:val="nil"/>
                    <w:tr2bl w:val="nil"/>
                  </w:tcBorders>
                  <w:vAlign w:val="center"/>
                </w:tcPr>
                <w:p w14:paraId="757750E4">
                  <w:pPr>
                    <w:keepNext w:val="0"/>
                    <w:keepLines w:val="0"/>
                    <w:widowControl/>
                    <w:suppressLineNumbers w:val="0"/>
                    <w:ind w:firstLine="632" w:firstLineChars="300"/>
                    <w:jc w:val="center"/>
                    <w:rPr>
                      <w:rFonts w:hint="default" w:ascii="Times New Roman" w:hAnsi="Times New Roman" w:eastAsia="宋体" w:cs="Times New Roman"/>
                      <w:b/>
                      <w:bCs/>
                      <w:snapToGrid w:val="0"/>
                      <w:color w:val="auto"/>
                      <w:kern w:val="0"/>
                      <w:sz w:val="21"/>
                      <w:szCs w:val="21"/>
                      <w:highlight w:val="none"/>
                      <w:vertAlign w:val="baseline"/>
                      <w:lang w:val="en-US" w:eastAsia="zh-CN"/>
                    </w:rPr>
                  </w:pPr>
                  <w:r>
                    <w:rPr>
                      <w:rFonts w:hint="default" w:ascii="Times New Roman" w:hAnsi="Times New Roman" w:eastAsia="宋体" w:cs="Times New Roman"/>
                      <w:b/>
                      <w:bCs/>
                      <w:color w:val="auto"/>
                      <w:kern w:val="0"/>
                      <w:sz w:val="21"/>
                      <w:szCs w:val="21"/>
                      <w:lang w:val="en-US" w:eastAsia="zh-CN" w:bidi="ar"/>
                    </w:rPr>
                    <w:t>影响环境的</w:t>
                  </w:r>
                  <w:r>
                    <w:rPr>
                      <w:rFonts w:hint="eastAsia" w:ascii="Times New Roman" w:hAnsi="Times New Roman" w:eastAsia="宋体" w:cs="Times New Roman"/>
                      <w:b/>
                      <w:bCs/>
                      <w:color w:val="auto"/>
                      <w:kern w:val="0"/>
                      <w:sz w:val="21"/>
                      <w:szCs w:val="21"/>
                      <w:lang w:val="en-US" w:eastAsia="zh-CN" w:bidi="ar"/>
                    </w:rPr>
                    <w:t>途径</w:t>
                  </w:r>
                </w:p>
              </w:tc>
            </w:tr>
            <w:tr w14:paraId="20F4C48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47" w:type="dxa"/>
                  <w:vMerge w:val="restart"/>
                  <w:tcBorders>
                    <w:tl2br w:val="nil"/>
                    <w:tr2bl w:val="nil"/>
                  </w:tcBorders>
                  <w:vAlign w:val="center"/>
                </w:tcPr>
                <w:p w14:paraId="0F7B0194">
                  <w:pPr>
                    <w:keepNext w:val="0"/>
                    <w:keepLines w:val="0"/>
                    <w:widowControl/>
                    <w:suppressLineNumbers w:val="0"/>
                    <w:ind w:firstLine="210" w:firstLineChars="100"/>
                    <w:jc w:val="center"/>
                    <w:rPr>
                      <w:rFonts w:hint="default" w:ascii="Times New Roman" w:hAnsi="Times New Roman" w:eastAsia="宋体" w:cs="Times New Roman"/>
                      <w:color w:val="auto"/>
                    </w:rPr>
                  </w:pPr>
                  <w:r>
                    <w:rPr>
                      <w:rFonts w:hint="eastAsia" w:cs="Times New Roman"/>
                      <w:color w:val="auto"/>
                      <w:kern w:val="0"/>
                      <w:sz w:val="21"/>
                      <w:szCs w:val="21"/>
                      <w:lang w:val="en-US" w:eastAsia="zh-CN" w:bidi="ar"/>
                    </w:rPr>
                    <w:t>化学物品、</w:t>
                  </w:r>
                  <w:r>
                    <w:rPr>
                      <w:rFonts w:hint="default" w:ascii="Times New Roman" w:hAnsi="Times New Roman" w:eastAsia="宋体" w:cs="Times New Roman"/>
                      <w:color w:val="auto"/>
                      <w:kern w:val="0"/>
                      <w:sz w:val="21"/>
                      <w:szCs w:val="21"/>
                      <w:lang w:val="en-US" w:eastAsia="zh-CN" w:bidi="ar"/>
                    </w:rPr>
                    <w:t>危险废物</w:t>
                  </w:r>
                </w:p>
                <w:p w14:paraId="106727B8">
                  <w:pPr>
                    <w:numPr>
                      <w:ilvl w:val="0"/>
                      <w:numId w:val="0"/>
                    </w:numPr>
                    <w:adjustRightInd w:val="0"/>
                    <w:spacing w:line="360" w:lineRule="auto"/>
                    <w:jc w:val="center"/>
                    <w:rPr>
                      <w:rFonts w:hint="default" w:ascii="Times New Roman" w:hAnsi="Times New Roman" w:eastAsia="宋体" w:cs="Times New Roman"/>
                      <w:b w:val="0"/>
                      <w:bCs w:val="0"/>
                      <w:snapToGrid w:val="0"/>
                      <w:color w:val="auto"/>
                      <w:kern w:val="0"/>
                      <w:sz w:val="21"/>
                      <w:szCs w:val="21"/>
                      <w:highlight w:val="none"/>
                      <w:vertAlign w:val="baseline"/>
                      <w:lang w:val="en-US" w:eastAsia="zh-CN"/>
                    </w:rPr>
                  </w:pPr>
                </w:p>
              </w:tc>
              <w:tc>
                <w:tcPr>
                  <w:tcW w:w="1516" w:type="dxa"/>
                  <w:vMerge w:val="restart"/>
                  <w:tcBorders>
                    <w:tl2br w:val="nil"/>
                    <w:tr2bl w:val="nil"/>
                  </w:tcBorders>
                  <w:vAlign w:val="center"/>
                </w:tcPr>
                <w:p w14:paraId="3299E9B8">
                  <w:pPr>
                    <w:keepNext w:val="0"/>
                    <w:keepLines w:val="0"/>
                    <w:widowControl/>
                    <w:suppressLineNumbers w:val="0"/>
                    <w:jc w:val="left"/>
                    <w:rPr>
                      <w:rFonts w:hint="default" w:ascii="Times New Roman" w:hAnsi="Times New Roman" w:eastAsia="宋体" w:cs="Times New Roman"/>
                      <w:b w:val="0"/>
                      <w:bCs w:val="0"/>
                      <w:snapToGrid w:val="0"/>
                      <w:color w:val="auto"/>
                      <w:kern w:val="0"/>
                      <w:sz w:val="21"/>
                      <w:szCs w:val="21"/>
                      <w:highlight w:val="none"/>
                      <w:vertAlign w:val="baseline"/>
                      <w:lang w:val="en-US" w:eastAsia="zh-CN"/>
                    </w:rPr>
                  </w:pPr>
                  <w:r>
                    <w:rPr>
                      <w:rFonts w:hint="eastAsia" w:cs="Times New Roman"/>
                      <w:color w:val="auto"/>
                      <w:kern w:val="0"/>
                      <w:sz w:val="21"/>
                      <w:szCs w:val="21"/>
                      <w:lang w:val="en-US" w:eastAsia="zh-CN" w:bidi="ar"/>
                    </w:rPr>
                    <w:t>危险废物</w:t>
                  </w:r>
                  <w:r>
                    <w:rPr>
                      <w:rFonts w:hint="default" w:ascii="Times New Roman" w:hAnsi="Times New Roman" w:eastAsia="宋体" w:cs="Times New Roman"/>
                      <w:color w:val="auto"/>
                      <w:kern w:val="0"/>
                      <w:sz w:val="21"/>
                      <w:szCs w:val="21"/>
                      <w:lang w:val="en-US" w:eastAsia="zh-CN" w:bidi="ar"/>
                    </w:rPr>
                    <w:t>暂存间</w:t>
                  </w:r>
                  <w:r>
                    <w:rPr>
                      <w:rFonts w:hint="eastAsia" w:cs="Times New Roman"/>
                      <w:color w:val="auto"/>
                      <w:kern w:val="0"/>
                      <w:sz w:val="21"/>
                      <w:szCs w:val="21"/>
                      <w:lang w:val="en-US" w:eastAsia="zh-CN" w:bidi="ar"/>
                    </w:rPr>
                    <w:t>、配料间试剂柜</w:t>
                  </w:r>
                </w:p>
              </w:tc>
              <w:tc>
                <w:tcPr>
                  <w:tcW w:w="1495" w:type="dxa"/>
                  <w:tcBorders>
                    <w:tl2br w:val="nil"/>
                    <w:tr2bl w:val="nil"/>
                  </w:tcBorders>
                  <w:vAlign w:val="center"/>
                </w:tcPr>
                <w:p w14:paraId="78028846">
                  <w:pPr>
                    <w:numPr>
                      <w:ilvl w:val="0"/>
                      <w:numId w:val="0"/>
                    </w:numPr>
                    <w:adjustRightInd w:val="0"/>
                    <w:spacing w:line="360" w:lineRule="auto"/>
                    <w:jc w:val="center"/>
                    <w:rPr>
                      <w:rFonts w:hint="default" w:ascii="Times New Roman" w:hAnsi="Times New Roman" w:eastAsia="宋体" w:cs="Times New Roman"/>
                      <w:b w:val="0"/>
                      <w:bCs w:val="0"/>
                      <w:snapToGrid w:val="0"/>
                      <w:color w:val="auto"/>
                      <w:kern w:val="0"/>
                      <w:sz w:val="21"/>
                      <w:szCs w:val="21"/>
                      <w:highlight w:val="none"/>
                      <w:vertAlign w:val="baseline"/>
                      <w:lang w:val="en-US" w:eastAsia="zh-CN"/>
                    </w:rPr>
                  </w:pPr>
                  <w:r>
                    <w:rPr>
                      <w:rFonts w:hint="default" w:ascii="Times New Roman" w:hAnsi="Times New Roman" w:eastAsia="宋体" w:cs="Times New Roman"/>
                      <w:b w:val="0"/>
                      <w:bCs w:val="0"/>
                      <w:snapToGrid w:val="0"/>
                      <w:color w:val="auto"/>
                      <w:kern w:val="0"/>
                      <w:sz w:val="21"/>
                      <w:szCs w:val="21"/>
                      <w:highlight w:val="none"/>
                      <w:vertAlign w:val="baseline"/>
                      <w:lang w:val="en-US" w:eastAsia="zh-CN"/>
                    </w:rPr>
                    <w:t>泄露</w:t>
                  </w:r>
                </w:p>
              </w:tc>
              <w:tc>
                <w:tcPr>
                  <w:tcW w:w="3110" w:type="dxa"/>
                  <w:tcBorders>
                    <w:tl2br w:val="nil"/>
                    <w:tr2bl w:val="nil"/>
                  </w:tcBorders>
                  <w:vAlign w:val="center"/>
                </w:tcPr>
                <w:p w14:paraId="77275E3C">
                  <w:pPr>
                    <w:keepNext w:val="0"/>
                    <w:keepLines w:val="0"/>
                    <w:widowControl/>
                    <w:suppressLineNumbers w:val="0"/>
                    <w:jc w:val="left"/>
                    <w:rPr>
                      <w:rFonts w:hint="default" w:ascii="Times New Roman" w:hAnsi="Times New Roman" w:eastAsia="宋体" w:cs="Times New Roman"/>
                      <w:color w:val="auto"/>
                    </w:rPr>
                  </w:pPr>
                  <w:r>
                    <w:rPr>
                      <w:rFonts w:hint="default" w:ascii="Times New Roman" w:hAnsi="Times New Roman" w:eastAsia="宋体" w:cs="Times New Roman"/>
                      <w:color w:val="auto"/>
                      <w:kern w:val="0"/>
                      <w:sz w:val="21"/>
                      <w:szCs w:val="21"/>
                      <w:lang w:val="en-US" w:eastAsia="zh-CN" w:bidi="ar"/>
                    </w:rPr>
                    <w:t>①化学品、危险废物泄漏，挥发性化学物质</w:t>
                  </w:r>
                  <w:r>
                    <w:rPr>
                      <w:rFonts w:hint="eastAsia" w:cs="Times New Roman"/>
                      <w:color w:val="auto"/>
                      <w:kern w:val="0"/>
                      <w:sz w:val="21"/>
                      <w:szCs w:val="21"/>
                      <w:lang w:val="en-US" w:eastAsia="zh-CN" w:bidi="ar"/>
                    </w:rPr>
                    <w:t>进入大气环境</w:t>
                  </w:r>
                  <w:r>
                    <w:rPr>
                      <w:rFonts w:hint="default" w:ascii="Times New Roman" w:hAnsi="Times New Roman" w:eastAsia="宋体" w:cs="Times New Roman"/>
                      <w:color w:val="auto"/>
                      <w:kern w:val="0"/>
                      <w:sz w:val="21"/>
                      <w:szCs w:val="21"/>
                      <w:lang w:val="en-US" w:eastAsia="zh-CN" w:bidi="ar"/>
                    </w:rPr>
                    <w:t>污染环境</w:t>
                  </w:r>
                  <w:r>
                    <w:rPr>
                      <w:rFonts w:hint="eastAsia" w:cs="Times New Roman"/>
                      <w:color w:val="auto"/>
                      <w:kern w:val="0"/>
                      <w:sz w:val="21"/>
                      <w:szCs w:val="21"/>
                      <w:lang w:val="en-US" w:eastAsia="zh-CN" w:bidi="ar"/>
                    </w:rPr>
                    <w:t>空气</w:t>
                  </w:r>
                  <w:r>
                    <w:rPr>
                      <w:rFonts w:hint="default" w:ascii="Times New Roman" w:hAnsi="Times New Roman" w:eastAsia="宋体" w:cs="Times New Roman"/>
                      <w:color w:val="auto"/>
                      <w:kern w:val="0"/>
                      <w:sz w:val="21"/>
                      <w:szCs w:val="21"/>
                      <w:lang w:val="en-US" w:eastAsia="zh-CN" w:bidi="ar"/>
                    </w:rPr>
                    <w:t>。</w:t>
                  </w:r>
                </w:p>
                <w:p w14:paraId="6196AAB1">
                  <w:pPr>
                    <w:keepNext w:val="0"/>
                    <w:keepLines w:val="0"/>
                    <w:widowControl/>
                    <w:suppressLineNumbers w:val="0"/>
                    <w:jc w:val="left"/>
                    <w:rPr>
                      <w:rFonts w:hint="default" w:ascii="Times New Roman" w:hAnsi="Times New Roman" w:eastAsia="宋体" w:cs="Times New Roman"/>
                      <w:b w:val="0"/>
                      <w:bCs w:val="0"/>
                      <w:snapToGrid w:val="0"/>
                      <w:color w:val="auto"/>
                      <w:kern w:val="0"/>
                      <w:sz w:val="21"/>
                      <w:szCs w:val="21"/>
                      <w:highlight w:val="none"/>
                      <w:vertAlign w:val="baseline"/>
                      <w:lang w:val="en-US" w:eastAsia="zh-CN"/>
                    </w:rPr>
                  </w:pPr>
                  <w:r>
                    <w:rPr>
                      <w:rFonts w:hint="default" w:ascii="Times New Roman" w:hAnsi="Times New Roman" w:eastAsia="宋体" w:cs="Times New Roman"/>
                      <w:color w:val="auto"/>
                      <w:kern w:val="0"/>
                      <w:sz w:val="21"/>
                      <w:szCs w:val="21"/>
                      <w:lang w:val="en-US" w:eastAsia="zh-CN" w:bidi="ar"/>
                    </w:rPr>
                    <w:t>②化学品、危险废物泄漏，</w:t>
                  </w:r>
                  <w:r>
                    <w:rPr>
                      <w:rFonts w:hint="eastAsia" w:cs="Times New Roman"/>
                      <w:color w:val="auto"/>
                      <w:kern w:val="0"/>
                      <w:sz w:val="21"/>
                      <w:szCs w:val="21"/>
                      <w:lang w:val="en-US" w:eastAsia="zh-CN" w:bidi="ar"/>
                    </w:rPr>
                    <w:t>风险物质进入</w:t>
                  </w:r>
                  <w:r>
                    <w:rPr>
                      <w:rFonts w:hint="default" w:ascii="Times New Roman" w:hAnsi="Times New Roman" w:eastAsia="宋体" w:cs="Times New Roman"/>
                      <w:color w:val="auto"/>
                      <w:kern w:val="0"/>
                      <w:sz w:val="21"/>
                      <w:szCs w:val="21"/>
                      <w:lang w:val="en-US" w:eastAsia="zh-CN" w:bidi="ar"/>
                    </w:rPr>
                    <w:t>地表水、地下水、土壤环境</w:t>
                  </w:r>
                  <w:r>
                    <w:rPr>
                      <w:rFonts w:hint="eastAsia" w:cs="Times New Roman"/>
                      <w:color w:val="auto"/>
                      <w:kern w:val="0"/>
                      <w:sz w:val="21"/>
                      <w:szCs w:val="21"/>
                      <w:lang w:val="en-US" w:eastAsia="zh-CN" w:bidi="ar"/>
                    </w:rPr>
                    <w:t>污染</w:t>
                  </w:r>
                  <w:r>
                    <w:rPr>
                      <w:rFonts w:hint="default" w:ascii="Times New Roman" w:hAnsi="Times New Roman" w:eastAsia="宋体" w:cs="Times New Roman"/>
                      <w:color w:val="auto"/>
                      <w:kern w:val="0"/>
                      <w:sz w:val="21"/>
                      <w:szCs w:val="21"/>
                      <w:lang w:val="en-US" w:eastAsia="zh-CN" w:bidi="ar"/>
                    </w:rPr>
                    <w:t>地表水、地下水</w:t>
                  </w:r>
                  <w:r>
                    <w:rPr>
                      <w:rFonts w:hint="eastAsia" w:cs="Times New Roman"/>
                      <w:color w:val="auto"/>
                      <w:kern w:val="0"/>
                      <w:sz w:val="21"/>
                      <w:szCs w:val="21"/>
                      <w:lang w:val="en-US" w:eastAsia="zh-CN" w:bidi="ar"/>
                    </w:rPr>
                    <w:t>或</w:t>
                  </w:r>
                  <w:r>
                    <w:rPr>
                      <w:rFonts w:hint="default" w:ascii="Times New Roman" w:hAnsi="Times New Roman" w:eastAsia="宋体" w:cs="Times New Roman"/>
                      <w:color w:val="auto"/>
                      <w:kern w:val="0"/>
                      <w:sz w:val="21"/>
                      <w:szCs w:val="21"/>
                      <w:lang w:val="en-US" w:eastAsia="zh-CN" w:bidi="ar"/>
                    </w:rPr>
                    <w:t>土壤。</w:t>
                  </w:r>
                </w:p>
              </w:tc>
            </w:tr>
            <w:tr w14:paraId="146BD33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47" w:type="dxa"/>
                  <w:vMerge w:val="continue"/>
                  <w:tcBorders>
                    <w:tl2br w:val="nil"/>
                    <w:tr2bl w:val="nil"/>
                  </w:tcBorders>
                  <w:vAlign w:val="center"/>
                </w:tcPr>
                <w:p w14:paraId="77507C33">
                  <w:pPr>
                    <w:numPr>
                      <w:ilvl w:val="0"/>
                      <w:numId w:val="0"/>
                    </w:numPr>
                    <w:adjustRightInd w:val="0"/>
                    <w:spacing w:line="360" w:lineRule="auto"/>
                    <w:jc w:val="center"/>
                    <w:rPr>
                      <w:rFonts w:hint="default" w:ascii="Times New Roman" w:hAnsi="Times New Roman" w:eastAsia="宋体" w:cs="Times New Roman"/>
                      <w:b w:val="0"/>
                      <w:bCs w:val="0"/>
                      <w:snapToGrid w:val="0"/>
                      <w:color w:val="auto"/>
                      <w:kern w:val="0"/>
                      <w:sz w:val="21"/>
                      <w:szCs w:val="21"/>
                      <w:highlight w:val="none"/>
                      <w:vertAlign w:val="baseline"/>
                      <w:lang w:val="en-US" w:eastAsia="zh-CN"/>
                    </w:rPr>
                  </w:pPr>
                </w:p>
              </w:tc>
              <w:tc>
                <w:tcPr>
                  <w:tcW w:w="1516" w:type="dxa"/>
                  <w:vMerge w:val="continue"/>
                  <w:tcBorders>
                    <w:tl2br w:val="nil"/>
                    <w:tr2bl w:val="nil"/>
                  </w:tcBorders>
                  <w:vAlign w:val="center"/>
                </w:tcPr>
                <w:p w14:paraId="6771FBA7">
                  <w:pPr>
                    <w:numPr>
                      <w:ilvl w:val="0"/>
                      <w:numId w:val="0"/>
                    </w:numPr>
                    <w:adjustRightInd w:val="0"/>
                    <w:spacing w:line="360" w:lineRule="auto"/>
                    <w:jc w:val="center"/>
                    <w:rPr>
                      <w:rFonts w:hint="default" w:ascii="Times New Roman" w:hAnsi="Times New Roman" w:eastAsia="宋体" w:cs="Times New Roman"/>
                      <w:b w:val="0"/>
                      <w:bCs w:val="0"/>
                      <w:snapToGrid w:val="0"/>
                      <w:color w:val="auto"/>
                      <w:kern w:val="0"/>
                      <w:sz w:val="21"/>
                      <w:szCs w:val="21"/>
                      <w:highlight w:val="none"/>
                      <w:vertAlign w:val="baseline"/>
                      <w:lang w:val="en-US" w:eastAsia="zh-CN"/>
                    </w:rPr>
                  </w:pPr>
                </w:p>
              </w:tc>
              <w:tc>
                <w:tcPr>
                  <w:tcW w:w="1495" w:type="dxa"/>
                  <w:tcBorders>
                    <w:tl2br w:val="nil"/>
                    <w:tr2bl w:val="nil"/>
                  </w:tcBorders>
                  <w:vAlign w:val="center"/>
                </w:tcPr>
                <w:p w14:paraId="11C31DBB">
                  <w:pPr>
                    <w:numPr>
                      <w:ilvl w:val="0"/>
                      <w:numId w:val="0"/>
                    </w:numPr>
                    <w:adjustRightInd w:val="0"/>
                    <w:spacing w:line="360" w:lineRule="auto"/>
                    <w:jc w:val="center"/>
                    <w:rPr>
                      <w:rFonts w:hint="default" w:ascii="Times New Roman" w:hAnsi="Times New Roman" w:eastAsia="宋体" w:cs="Times New Roman"/>
                      <w:b w:val="0"/>
                      <w:bCs w:val="0"/>
                      <w:snapToGrid w:val="0"/>
                      <w:color w:val="auto"/>
                      <w:kern w:val="0"/>
                      <w:sz w:val="21"/>
                      <w:szCs w:val="21"/>
                      <w:highlight w:val="none"/>
                      <w:vertAlign w:val="baseline"/>
                      <w:lang w:val="en-US" w:eastAsia="zh-CN"/>
                    </w:rPr>
                  </w:pPr>
                  <w:r>
                    <w:rPr>
                      <w:rFonts w:hint="default" w:ascii="Times New Roman" w:hAnsi="Times New Roman" w:eastAsia="宋体" w:cs="Times New Roman"/>
                      <w:b w:val="0"/>
                      <w:bCs w:val="0"/>
                      <w:snapToGrid w:val="0"/>
                      <w:color w:val="auto"/>
                      <w:kern w:val="0"/>
                      <w:sz w:val="21"/>
                      <w:szCs w:val="21"/>
                      <w:highlight w:val="none"/>
                      <w:vertAlign w:val="baseline"/>
                      <w:lang w:val="en-US" w:eastAsia="zh-CN"/>
                    </w:rPr>
                    <w:t>火灾</w:t>
                  </w:r>
                  <w:r>
                    <w:rPr>
                      <w:rFonts w:hint="eastAsia" w:cs="Times New Roman"/>
                      <w:b w:val="0"/>
                      <w:bCs w:val="0"/>
                      <w:snapToGrid w:val="0"/>
                      <w:color w:val="auto"/>
                      <w:kern w:val="0"/>
                      <w:sz w:val="21"/>
                      <w:szCs w:val="21"/>
                      <w:highlight w:val="none"/>
                      <w:vertAlign w:val="baseline"/>
                      <w:lang w:val="en-US" w:eastAsia="zh-CN"/>
                    </w:rPr>
                    <w:t>、</w:t>
                  </w:r>
                  <w:r>
                    <w:rPr>
                      <w:rFonts w:hint="default" w:ascii="Times New Roman" w:hAnsi="Times New Roman" w:eastAsia="宋体" w:cs="Times New Roman"/>
                      <w:b w:val="0"/>
                      <w:bCs w:val="0"/>
                      <w:snapToGrid w:val="0"/>
                      <w:color w:val="auto"/>
                      <w:kern w:val="0"/>
                      <w:sz w:val="21"/>
                      <w:szCs w:val="21"/>
                      <w:highlight w:val="none"/>
                      <w:vertAlign w:val="baseline"/>
                      <w:lang w:val="en-US" w:eastAsia="zh-CN"/>
                    </w:rPr>
                    <w:t>爆炸</w:t>
                  </w:r>
                </w:p>
              </w:tc>
              <w:tc>
                <w:tcPr>
                  <w:tcW w:w="3110" w:type="dxa"/>
                  <w:tcBorders>
                    <w:tl2br w:val="nil"/>
                    <w:tr2bl w:val="nil"/>
                  </w:tcBorders>
                  <w:vAlign w:val="center"/>
                </w:tcPr>
                <w:p w14:paraId="1369EDD2">
                  <w:pPr>
                    <w:keepNext w:val="0"/>
                    <w:keepLines w:val="0"/>
                    <w:widowControl/>
                    <w:suppressLineNumbers w:val="0"/>
                    <w:jc w:val="left"/>
                    <w:rPr>
                      <w:rFonts w:hint="default" w:ascii="Times New Roman" w:hAnsi="Times New Roman" w:eastAsia="宋体" w:cs="Times New Roman"/>
                      <w:b w:val="0"/>
                      <w:bCs w:val="0"/>
                      <w:snapToGrid w:val="0"/>
                      <w:color w:val="auto"/>
                      <w:kern w:val="0"/>
                      <w:sz w:val="21"/>
                      <w:szCs w:val="21"/>
                      <w:highlight w:val="none"/>
                      <w:vertAlign w:val="baseline"/>
                      <w:lang w:val="en-US" w:eastAsia="zh-CN"/>
                    </w:rPr>
                  </w:pPr>
                  <w:r>
                    <w:rPr>
                      <w:rFonts w:hint="default" w:ascii="Times New Roman" w:hAnsi="Times New Roman" w:eastAsia="宋体" w:cs="Times New Roman"/>
                      <w:color w:val="auto"/>
                      <w:kern w:val="0"/>
                      <w:sz w:val="21"/>
                      <w:szCs w:val="21"/>
                      <w:lang w:val="en-US" w:eastAsia="zh-CN" w:bidi="ar"/>
                    </w:rPr>
                    <w:t>化学品泄漏，遇明火，引起火灾、爆炸事故，火灾、爆炸时伴生烟雾进入大气环境</w:t>
                  </w:r>
                  <w:r>
                    <w:rPr>
                      <w:rFonts w:hint="eastAsia" w:cs="Times New Roman"/>
                      <w:color w:val="auto"/>
                      <w:kern w:val="0"/>
                      <w:sz w:val="21"/>
                      <w:szCs w:val="21"/>
                      <w:lang w:val="en-US" w:eastAsia="zh-CN" w:bidi="ar"/>
                    </w:rPr>
                    <w:t>污染环境空气</w:t>
                  </w:r>
                  <w:r>
                    <w:rPr>
                      <w:rFonts w:hint="default" w:ascii="Times New Roman" w:hAnsi="Times New Roman" w:eastAsia="宋体" w:cs="Times New Roman"/>
                      <w:color w:val="auto"/>
                      <w:kern w:val="0"/>
                      <w:sz w:val="21"/>
                      <w:szCs w:val="21"/>
                      <w:lang w:val="en-US" w:eastAsia="zh-CN" w:bidi="ar"/>
                    </w:rPr>
                    <w:t>，次生的消防废水进入</w:t>
                  </w:r>
                  <w:r>
                    <w:rPr>
                      <w:rFonts w:hint="eastAsia" w:cs="Times New Roman"/>
                      <w:color w:val="auto"/>
                      <w:kern w:val="0"/>
                      <w:sz w:val="21"/>
                      <w:szCs w:val="21"/>
                      <w:lang w:val="en-US" w:eastAsia="zh-CN" w:bidi="ar"/>
                    </w:rPr>
                    <w:t>水体污染</w:t>
                  </w:r>
                  <w:r>
                    <w:rPr>
                      <w:rFonts w:hint="default" w:ascii="Times New Roman" w:hAnsi="Times New Roman" w:eastAsia="宋体" w:cs="Times New Roman"/>
                      <w:color w:val="auto"/>
                      <w:kern w:val="0"/>
                      <w:sz w:val="21"/>
                      <w:szCs w:val="21"/>
                      <w:lang w:val="en-US" w:eastAsia="zh-CN" w:bidi="ar"/>
                    </w:rPr>
                    <w:t>水环境</w:t>
                  </w:r>
                  <w:r>
                    <w:rPr>
                      <w:rFonts w:hint="eastAsia" w:cs="Times New Roman"/>
                      <w:color w:val="auto"/>
                      <w:kern w:val="0"/>
                      <w:sz w:val="21"/>
                      <w:szCs w:val="21"/>
                      <w:lang w:val="en-US" w:eastAsia="zh-CN" w:bidi="ar"/>
                    </w:rPr>
                    <w:t>、进入土壤或渗入地下污染地下水或土壤</w:t>
                  </w:r>
                  <w:r>
                    <w:rPr>
                      <w:rFonts w:hint="default" w:ascii="Times New Roman" w:hAnsi="Times New Roman" w:eastAsia="宋体" w:cs="Times New Roman"/>
                      <w:color w:val="auto"/>
                      <w:kern w:val="0"/>
                      <w:sz w:val="21"/>
                      <w:szCs w:val="21"/>
                      <w:lang w:val="en-US" w:eastAsia="zh-CN" w:bidi="ar"/>
                    </w:rPr>
                    <w:t>。</w:t>
                  </w:r>
                </w:p>
              </w:tc>
            </w:tr>
          </w:tbl>
          <w:p w14:paraId="395E8242">
            <w:pPr>
              <w:adjustRightInd w:val="0"/>
              <w:spacing w:line="360" w:lineRule="auto"/>
              <w:ind w:firstLine="465"/>
              <w:rPr>
                <w:rFonts w:hint="default" w:ascii="Times New Roman" w:hAnsi="Times New Roman" w:eastAsia="宋体" w:cs="Times New Roman"/>
                <w:bCs/>
                <w:snapToGrid w:val="0"/>
                <w:color w:val="auto"/>
                <w:kern w:val="0"/>
                <w:sz w:val="24"/>
                <w:highlight w:val="none"/>
              </w:rPr>
            </w:pPr>
            <w:r>
              <w:rPr>
                <w:rFonts w:hint="default" w:ascii="Times New Roman" w:hAnsi="Times New Roman" w:eastAsia="宋体" w:cs="Times New Roman"/>
                <w:bCs/>
                <w:snapToGrid w:val="0"/>
                <w:color w:val="auto"/>
                <w:kern w:val="0"/>
                <w:sz w:val="24"/>
                <w:highlight w:val="none"/>
              </w:rPr>
              <w:t>本项目环境风险可能影响的途径如下：</w:t>
            </w:r>
          </w:p>
          <w:p w14:paraId="618F8CE6">
            <w:pPr>
              <w:numPr>
                <w:ilvl w:val="0"/>
                <w:numId w:val="26"/>
              </w:numPr>
              <w:adjustRightInd w:val="0"/>
              <w:spacing w:line="360" w:lineRule="auto"/>
              <w:ind w:firstLine="480" w:firstLineChars="200"/>
              <w:rPr>
                <w:rFonts w:hint="default" w:ascii="Times New Roman" w:hAnsi="Times New Roman" w:eastAsia="宋体" w:cs="Times New Roman"/>
                <w:bCs/>
                <w:snapToGrid w:val="0"/>
                <w:color w:val="auto"/>
                <w:kern w:val="0"/>
                <w:sz w:val="24"/>
                <w:highlight w:val="none"/>
              </w:rPr>
            </w:pPr>
            <w:r>
              <w:rPr>
                <w:rFonts w:hint="default" w:ascii="Times New Roman" w:hAnsi="Times New Roman" w:eastAsia="宋体" w:cs="Times New Roman"/>
                <w:bCs/>
                <w:snapToGrid w:val="0"/>
                <w:color w:val="auto"/>
                <w:kern w:val="0"/>
                <w:sz w:val="24"/>
                <w:highlight w:val="none"/>
              </w:rPr>
              <w:t>泄漏</w:t>
            </w:r>
            <w:r>
              <w:rPr>
                <w:rFonts w:hint="default" w:ascii="Times New Roman" w:hAnsi="Times New Roman" w:eastAsia="宋体" w:cs="Times New Roman"/>
                <w:b w:val="0"/>
                <w:bCs/>
                <w:snapToGrid w:val="0"/>
                <w:color w:val="auto"/>
                <w:kern w:val="0"/>
                <w:sz w:val="24"/>
                <w:highlight w:val="none"/>
              </w:rPr>
              <w:t>：</w:t>
            </w:r>
            <w:r>
              <w:rPr>
                <w:rFonts w:hint="eastAsia" w:cs="Times New Roman"/>
                <w:b w:val="0"/>
                <w:bCs/>
                <w:snapToGrid w:val="0"/>
                <w:color w:val="auto"/>
                <w:kern w:val="0"/>
                <w:sz w:val="24"/>
                <w:highlight w:val="none"/>
                <w:lang w:val="en-US" w:eastAsia="zh-CN"/>
              </w:rPr>
              <w:t>配料间试剂柜贮存的危险化学品、危险废物暂存间贮存的危险废物在操作不当或遇其他事故时发生泄露，如果收集、拦截、吸附不及时，泄露液体进入周边环境污染土壤、地</w:t>
            </w:r>
            <w:r>
              <w:rPr>
                <w:rFonts w:hint="eastAsia" w:cs="Times New Roman"/>
                <w:bCs/>
                <w:snapToGrid w:val="0"/>
                <w:color w:val="auto"/>
                <w:kern w:val="0"/>
                <w:sz w:val="24"/>
                <w:highlight w:val="none"/>
                <w:lang w:val="en-US" w:eastAsia="zh-CN"/>
              </w:rPr>
              <w:t>表水、地下水，挥发性物质挥发污染大气环境，同时对周边人员健康造成不良影响</w:t>
            </w:r>
            <w:r>
              <w:rPr>
                <w:rFonts w:hint="default" w:ascii="Times New Roman" w:hAnsi="Times New Roman" w:eastAsia="宋体" w:cs="Times New Roman"/>
                <w:bCs/>
                <w:snapToGrid w:val="0"/>
                <w:color w:val="auto"/>
                <w:kern w:val="0"/>
                <w:sz w:val="24"/>
                <w:highlight w:val="none"/>
              </w:rPr>
              <w:t>。</w:t>
            </w:r>
          </w:p>
          <w:p w14:paraId="34240ED3">
            <w:pPr>
              <w:numPr>
                <w:ilvl w:val="0"/>
                <w:numId w:val="26"/>
              </w:numPr>
              <w:adjustRightInd w:val="0"/>
              <w:spacing w:line="360" w:lineRule="auto"/>
              <w:ind w:firstLine="480" w:firstLineChars="200"/>
              <w:rPr>
                <w:rFonts w:hint="default" w:ascii="Times New Roman" w:hAnsi="Times New Roman" w:eastAsia="宋体" w:cs="Times New Roman"/>
                <w:bCs/>
                <w:snapToGrid w:val="0"/>
                <w:color w:val="auto"/>
                <w:kern w:val="0"/>
                <w:sz w:val="24"/>
                <w:highlight w:val="none"/>
              </w:rPr>
            </w:pPr>
            <w:r>
              <w:rPr>
                <w:rFonts w:hint="default" w:ascii="Times New Roman" w:hAnsi="Times New Roman" w:eastAsia="宋体" w:cs="Times New Roman"/>
                <w:bCs/>
                <w:snapToGrid w:val="0"/>
                <w:color w:val="auto"/>
                <w:kern w:val="0"/>
                <w:sz w:val="24"/>
                <w:highlight w:val="none"/>
              </w:rPr>
              <w:t>火灾</w:t>
            </w:r>
            <w:r>
              <w:rPr>
                <w:rFonts w:hint="eastAsia" w:cs="Times New Roman"/>
                <w:bCs/>
                <w:snapToGrid w:val="0"/>
                <w:color w:val="auto"/>
                <w:kern w:val="0"/>
                <w:sz w:val="24"/>
                <w:highlight w:val="none"/>
                <w:lang w:eastAsia="zh-CN"/>
              </w:rPr>
              <w:t>、</w:t>
            </w:r>
            <w:r>
              <w:rPr>
                <w:rFonts w:hint="eastAsia" w:cs="Times New Roman"/>
                <w:bCs/>
                <w:snapToGrid w:val="0"/>
                <w:color w:val="auto"/>
                <w:kern w:val="0"/>
                <w:sz w:val="24"/>
                <w:highlight w:val="none"/>
                <w:lang w:val="en-US" w:eastAsia="zh-CN"/>
              </w:rPr>
              <w:t>爆炸</w:t>
            </w:r>
            <w:r>
              <w:rPr>
                <w:rFonts w:hint="default" w:ascii="Times New Roman" w:hAnsi="Times New Roman" w:eastAsia="宋体" w:cs="Times New Roman"/>
                <w:bCs/>
                <w:snapToGrid w:val="0"/>
                <w:color w:val="auto"/>
                <w:kern w:val="0"/>
                <w:sz w:val="24"/>
                <w:highlight w:val="none"/>
              </w:rPr>
              <w:t>：本项目乙醇、</w:t>
            </w:r>
            <w:r>
              <w:rPr>
                <w:rFonts w:hint="eastAsia" w:cs="Times New Roman"/>
                <w:bCs/>
                <w:snapToGrid w:val="0"/>
                <w:color w:val="auto"/>
                <w:kern w:val="0"/>
                <w:sz w:val="24"/>
                <w:highlight w:val="none"/>
                <w:lang w:val="en-US" w:eastAsia="zh-CN"/>
              </w:rPr>
              <w:t>碳酸二乙酯、碳酸丙烯酯、部分</w:t>
            </w:r>
            <w:r>
              <w:rPr>
                <w:rFonts w:hint="default" w:ascii="Times New Roman" w:hAnsi="Times New Roman" w:eastAsia="宋体" w:cs="Times New Roman"/>
                <w:bCs/>
                <w:snapToGrid w:val="0"/>
                <w:color w:val="auto"/>
                <w:kern w:val="0"/>
                <w:sz w:val="24"/>
                <w:highlight w:val="none"/>
              </w:rPr>
              <w:t>实验废液</w:t>
            </w:r>
            <w:r>
              <w:rPr>
                <w:rFonts w:hint="eastAsia" w:cs="Times New Roman"/>
                <w:bCs/>
                <w:snapToGrid w:val="0"/>
                <w:color w:val="auto"/>
                <w:kern w:val="0"/>
                <w:sz w:val="24"/>
                <w:highlight w:val="none"/>
                <w:lang w:eastAsia="zh-CN"/>
              </w:rPr>
              <w:t>、</w:t>
            </w:r>
            <w:r>
              <w:rPr>
                <w:rFonts w:hint="eastAsia" w:cs="Times New Roman"/>
                <w:bCs/>
                <w:snapToGrid w:val="0"/>
                <w:color w:val="auto"/>
                <w:kern w:val="0"/>
                <w:sz w:val="24"/>
                <w:highlight w:val="none"/>
                <w:lang w:val="en-US" w:eastAsia="zh-CN"/>
              </w:rPr>
              <w:t>实验过程的实验试液</w:t>
            </w:r>
            <w:r>
              <w:rPr>
                <w:rFonts w:hint="default" w:ascii="Times New Roman" w:hAnsi="Times New Roman" w:eastAsia="宋体" w:cs="Times New Roman"/>
                <w:bCs/>
                <w:snapToGrid w:val="0"/>
                <w:color w:val="auto"/>
                <w:kern w:val="0"/>
                <w:sz w:val="24"/>
                <w:highlight w:val="none"/>
              </w:rPr>
              <w:t>遇高温、高热、明火易引起燃烧而引发火灾</w:t>
            </w:r>
            <w:r>
              <w:rPr>
                <w:rFonts w:hint="eastAsia" w:cs="Times New Roman"/>
                <w:bCs/>
                <w:snapToGrid w:val="0"/>
                <w:color w:val="auto"/>
                <w:kern w:val="0"/>
                <w:sz w:val="24"/>
                <w:highlight w:val="none"/>
                <w:lang w:val="en-US" w:eastAsia="zh-CN"/>
              </w:rPr>
              <w:t>或爆炸</w:t>
            </w:r>
            <w:r>
              <w:rPr>
                <w:rFonts w:hint="default" w:ascii="Times New Roman" w:hAnsi="Times New Roman" w:eastAsia="宋体" w:cs="Times New Roman"/>
                <w:bCs/>
                <w:snapToGrid w:val="0"/>
                <w:color w:val="auto"/>
                <w:kern w:val="0"/>
                <w:sz w:val="24"/>
                <w:highlight w:val="none"/>
              </w:rPr>
              <w:t>，</w:t>
            </w:r>
            <w:r>
              <w:rPr>
                <w:rFonts w:hint="eastAsia" w:cs="Times New Roman"/>
                <w:bCs/>
                <w:snapToGrid w:val="0"/>
                <w:color w:val="auto"/>
                <w:kern w:val="0"/>
                <w:sz w:val="24"/>
                <w:highlight w:val="none"/>
                <w:lang w:val="en-US" w:eastAsia="zh-CN"/>
              </w:rPr>
              <w:t>部分设备在操作不当引发事故可能</w:t>
            </w:r>
            <w:r>
              <w:rPr>
                <w:rFonts w:hint="default" w:ascii="Times New Roman" w:hAnsi="Times New Roman" w:eastAsia="宋体" w:cs="Times New Roman"/>
                <w:bCs/>
                <w:snapToGrid w:val="0"/>
                <w:color w:val="auto"/>
                <w:kern w:val="0"/>
                <w:sz w:val="24"/>
                <w:highlight w:val="none"/>
              </w:rPr>
              <w:t>引发火灾，</w:t>
            </w:r>
            <w:r>
              <w:rPr>
                <w:rFonts w:hint="eastAsia" w:cs="Times New Roman"/>
                <w:bCs/>
                <w:snapToGrid w:val="0"/>
                <w:color w:val="auto"/>
                <w:kern w:val="0"/>
                <w:sz w:val="24"/>
                <w:highlight w:val="none"/>
                <w:lang w:val="en-US" w:eastAsia="zh-CN"/>
              </w:rPr>
              <w:t>火灾</w:t>
            </w:r>
            <w:r>
              <w:rPr>
                <w:rFonts w:hint="default" w:ascii="Times New Roman" w:hAnsi="Times New Roman" w:eastAsia="宋体" w:cs="Times New Roman"/>
                <w:bCs/>
                <w:snapToGrid w:val="0"/>
                <w:color w:val="auto"/>
                <w:kern w:val="0"/>
                <w:sz w:val="24"/>
                <w:highlight w:val="none"/>
              </w:rPr>
              <w:t>次生污染物主要为CO、烟尘，会对环境空气带来污染。CO、烟尘等扩散到实验室外，会对厂区周边一定区域内的居民身体健康造成影响。</w:t>
            </w:r>
          </w:p>
          <w:p w14:paraId="23C82985">
            <w:pPr>
              <w:numPr>
                <w:ilvl w:val="0"/>
                <w:numId w:val="26"/>
              </w:numPr>
              <w:adjustRightInd w:val="0"/>
              <w:spacing w:line="360" w:lineRule="auto"/>
              <w:ind w:firstLine="480" w:firstLineChars="200"/>
              <w:rPr>
                <w:rFonts w:hint="default" w:ascii="Times New Roman" w:hAnsi="Times New Roman" w:eastAsia="宋体" w:cs="Times New Roman"/>
                <w:bCs/>
                <w:snapToGrid w:val="0"/>
                <w:color w:val="auto"/>
                <w:kern w:val="0"/>
                <w:sz w:val="24"/>
                <w:highlight w:val="none"/>
              </w:rPr>
            </w:pPr>
            <w:r>
              <w:rPr>
                <w:rFonts w:hint="eastAsia" w:cs="Times New Roman"/>
                <w:bCs/>
                <w:snapToGrid w:val="0"/>
                <w:color w:val="auto"/>
                <w:kern w:val="0"/>
                <w:sz w:val="24"/>
                <w:highlight w:val="none"/>
                <w:lang w:val="en-US" w:eastAsia="zh-CN"/>
              </w:rPr>
              <w:t>操作事故：如果操作不当，不相容危险废物在一起可能发生放热、释放气体或其他事故等。</w:t>
            </w:r>
          </w:p>
          <w:p w14:paraId="263C562B">
            <w:pPr>
              <w:numPr>
                <w:ilvl w:val="0"/>
                <w:numId w:val="26"/>
              </w:numPr>
              <w:adjustRightInd w:val="0"/>
              <w:spacing w:line="360" w:lineRule="auto"/>
              <w:ind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bCs/>
                <w:snapToGrid w:val="0"/>
                <w:color w:val="auto"/>
                <w:kern w:val="0"/>
                <w:sz w:val="24"/>
                <w:highlight w:val="none"/>
              </w:rPr>
              <w:t>火灾</w:t>
            </w:r>
            <w:r>
              <w:rPr>
                <w:rFonts w:hint="eastAsia" w:cs="Times New Roman"/>
                <w:bCs/>
                <w:snapToGrid w:val="0"/>
                <w:color w:val="auto"/>
                <w:kern w:val="0"/>
                <w:sz w:val="24"/>
                <w:highlight w:val="none"/>
                <w:lang w:eastAsia="zh-CN"/>
              </w:rPr>
              <w:t>、</w:t>
            </w:r>
            <w:r>
              <w:rPr>
                <w:rFonts w:hint="eastAsia" w:cs="Times New Roman"/>
                <w:bCs/>
                <w:snapToGrid w:val="0"/>
                <w:color w:val="auto"/>
                <w:kern w:val="0"/>
                <w:sz w:val="24"/>
                <w:highlight w:val="none"/>
                <w:lang w:val="en-US" w:eastAsia="zh-CN"/>
              </w:rPr>
              <w:t>爆炸等</w:t>
            </w:r>
            <w:r>
              <w:rPr>
                <w:rFonts w:hint="default" w:ascii="Times New Roman" w:hAnsi="Times New Roman" w:eastAsia="宋体" w:cs="Times New Roman"/>
                <w:bCs/>
                <w:snapToGrid w:val="0"/>
                <w:color w:val="auto"/>
                <w:kern w:val="0"/>
                <w:sz w:val="24"/>
                <w:highlight w:val="none"/>
              </w:rPr>
              <w:t>事故次生含水环境风险物质的消防废水，可能会经雨水排放</w:t>
            </w:r>
            <w:r>
              <w:rPr>
                <w:rFonts w:hint="eastAsia" w:cs="Times New Roman"/>
                <w:bCs/>
                <w:snapToGrid w:val="0"/>
                <w:color w:val="auto"/>
                <w:kern w:val="0"/>
                <w:sz w:val="24"/>
                <w:highlight w:val="none"/>
                <w:lang w:val="en-US" w:eastAsia="zh-CN"/>
              </w:rPr>
              <w:t>系统</w:t>
            </w:r>
            <w:r>
              <w:rPr>
                <w:rFonts w:hint="default" w:ascii="Times New Roman" w:hAnsi="Times New Roman" w:eastAsia="宋体" w:cs="Times New Roman"/>
                <w:bCs/>
                <w:snapToGrid w:val="0"/>
                <w:color w:val="auto"/>
                <w:kern w:val="0"/>
                <w:sz w:val="24"/>
                <w:highlight w:val="none"/>
              </w:rPr>
              <w:t>进入</w:t>
            </w:r>
            <w:r>
              <w:rPr>
                <w:rFonts w:hint="eastAsia" w:cs="Times New Roman"/>
                <w:bCs/>
                <w:snapToGrid w:val="0"/>
                <w:color w:val="auto"/>
                <w:kern w:val="0"/>
                <w:sz w:val="24"/>
                <w:highlight w:val="none"/>
                <w:lang w:val="en-US" w:eastAsia="zh-CN"/>
              </w:rPr>
              <w:t>地表水环境污染地表水、进入土壤或渗入地下污染土壤或地下水</w:t>
            </w:r>
            <w:r>
              <w:rPr>
                <w:rFonts w:hint="default" w:ascii="Times New Roman" w:hAnsi="Times New Roman" w:eastAsia="宋体" w:cs="Times New Roman"/>
                <w:bCs/>
                <w:snapToGrid w:val="0"/>
                <w:color w:val="auto"/>
                <w:kern w:val="0"/>
                <w:sz w:val="24"/>
                <w:highlight w:val="none"/>
              </w:rPr>
              <w:t>。</w:t>
            </w:r>
          </w:p>
          <w:p w14:paraId="3C832BA9">
            <w:pPr>
              <w:adjustRightInd w:val="0"/>
              <w:spacing w:line="360" w:lineRule="auto"/>
              <w:ind w:firstLine="465"/>
              <w:rPr>
                <w:rFonts w:hint="default" w:ascii="Times New Roman" w:hAnsi="Times New Roman" w:eastAsia="宋体" w:cs="Times New Roman"/>
                <w:b w:val="0"/>
                <w:bCs/>
                <w:color w:val="auto"/>
                <w:spacing w:val="-2"/>
                <w:sz w:val="24"/>
                <w:szCs w:val="32"/>
                <w:highlight w:val="none"/>
              </w:rPr>
            </w:pPr>
            <w:r>
              <w:rPr>
                <w:rFonts w:hint="default" w:ascii="Times New Roman" w:hAnsi="Times New Roman" w:eastAsia="宋体" w:cs="Times New Roman"/>
                <w:b w:val="0"/>
                <w:bCs/>
                <w:snapToGrid w:val="0"/>
                <w:color w:val="auto"/>
                <w:kern w:val="0"/>
                <w:sz w:val="24"/>
                <w:highlight w:val="none"/>
              </w:rPr>
              <w:t>（3）</w:t>
            </w:r>
            <w:r>
              <w:rPr>
                <w:rFonts w:hint="default" w:ascii="Times New Roman" w:hAnsi="Times New Roman" w:eastAsia="宋体" w:cs="Times New Roman"/>
                <w:b w:val="0"/>
                <w:bCs/>
                <w:color w:val="auto"/>
                <w:spacing w:val="-2"/>
                <w:sz w:val="24"/>
                <w:szCs w:val="32"/>
                <w:highlight w:val="none"/>
              </w:rPr>
              <w:t>环境风险防范措施</w:t>
            </w:r>
          </w:p>
          <w:p w14:paraId="09A19D79">
            <w:pPr>
              <w:widowControl/>
              <w:numPr>
                <w:ilvl w:val="0"/>
                <w:numId w:val="27"/>
              </w:numPr>
              <w:spacing w:line="360" w:lineRule="auto"/>
              <w:ind w:firstLine="480" w:firstLineChars="200"/>
              <w:jc w:val="left"/>
              <w:rPr>
                <w:rFonts w:hint="default" w:ascii="Times New Roman" w:hAnsi="Times New Roman" w:eastAsia="宋体" w:cs="Times New Roman"/>
                <w:color w:val="auto"/>
                <w:kern w:val="0"/>
                <w:sz w:val="24"/>
                <w:highlight w:val="none"/>
              </w:rPr>
            </w:pPr>
            <w:r>
              <w:rPr>
                <w:rFonts w:hint="default" w:ascii="Times New Roman" w:hAnsi="Times New Roman" w:eastAsia="宋体" w:cs="Times New Roman"/>
                <w:color w:val="auto"/>
                <w:kern w:val="0"/>
                <w:sz w:val="24"/>
                <w:highlight w:val="none"/>
              </w:rPr>
              <w:t>建设单位应制定突发环境事件应急预案</w:t>
            </w:r>
            <w:r>
              <w:rPr>
                <w:rFonts w:hint="eastAsia" w:cs="Times New Roman"/>
                <w:color w:val="auto"/>
                <w:kern w:val="0"/>
                <w:sz w:val="24"/>
                <w:highlight w:val="none"/>
                <w:lang w:val="en-US" w:eastAsia="zh-CN"/>
              </w:rPr>
              <w:t>，包括预案适用范围、环境事件分类与分级、组织机构与职责、监控和预警、应急响应、应急保障、善后处置、预案管理与演练等内容。应急预案要明确本单位、煤炭科学研究总院、地方主管部门环境风险应急体系。突发环境事件应急预案应体现分级响应、区域联动的原则，与地方主管部门突发环境事件应急预案相衔接，明确分级响应程序。</w:t>
            </w:r>
          </w:p>
          <w:p w14:paraId="6F5C1928">
            <w:pPr>
              <w:widowControl/>
              <w:numPr>
                <w:ilvl w:val="0"/>
                <w:numId w:val="27"/>
              </w:numPr>
              <w:spacing w:line="360" w:lineRule="auto"/>
              <w:ind w:firstLine="480" w:firstLineChars="200"/>
              <w:jc w:val="left"/>
              <w:rPr>
                <w:rFonts w:hint="default" w:ascii="Times New Roman" w:hAnsi="Times New Roman" w:eastAsia="宋体" w:cs="Times New Roman"/>
                <w:color w:val="auto"/>
                <w:kern w:val="0"/>
                <w:sz w:val="24"/>
                <w:highlight w:val="none"/>
              </w:rPr>
            </w:pPr>
            <w:r>
              <w:rPr>
                <w:rFonts w:hint="default" w:ascii="Times New Roman" w:hAnsi="Times New Roman" w:eastAsia="宋体" w:cs="Times New Roman"/>
                <w:color w:val="auto"/>
                <w:kern w:val="0"/>
                <w:sz w:val="24"/>
                <w:highlight w:val="none"/>
              </w:rPr>
              <w:t>定期检查危险化学品和</w:t>
            </w:r>
            <w:r>
              <w:rPr>
                <w:rFonts w:hint="eastAsia" w:cs="Times New Roman"/>
                <w:color w:val="auto"/>
                <w:kern w:val="0"/>
                <w:sz w:val="24"/>
                <w:highlight w:val="none"/>
                <w:lang w:val="en-US" w:eastAsia="zh-CN"/>
              </w:rPr>
              <w:t>危险废物贮存</w:t>
            </w:r>
            <w:r>
              <w:rPr>
                <w:rFonts w:hint="default" w:ascii="Times New Roman" w:hAnsi="Times New Roman" w:eastAsia="宋体" w:cs="Times New Roman"/>
                <w:color w:val="auto"/>
                <w:kern w:val="0"/>
                <w:sz w:val="24"/>
                <w:highlight w:val="none"/>
              </w:rPr>
              <w:t>状态，禁止跑、冒、滴、漏。</w:t>
            </w:r>
          </w:p>
          <w:p w14:paraId="2BA269BB">
            <w:pPr>
              <w:widowControl/>
              <w:numPr>
                <w:ilvl w:val="0"/>
                <w:numId w:val="27"/>
              </w:numPr>
              <w:spacing w:line="360" w:lineRule="auto"/>
              <w:ind w:firstLine="480" w:firstLineChars="200"/>
              <w:jc w:val="left"/>
              <w:rPr>
                <w:rFonts w:hint="default" w:ascii="Times New Roman" w:hAnsi="Times New Roman" w:eastAsia="宋体" w:cs="Times New Roman"/>
                <w:color w:val="auto"/>
                <w:kern w:val="0"/>
                <w:sz w:val="24"/>
                <w:highlight w:val="none"/>
              </w:rPr>
            </w:pPr>
            <w:r>
              <w:rPr>
                <w:rFonts w:hint="default" w:ascii="Times New Roman" w:hAnsi="Times New Roman" w:eastAsia="宋体" w:cs="Times New Roman"/>
                <w:color w:val="auto"/>
                <w:kern w:val="0"/>
                <w:sz w:val="24"/>
                <w:highlight w:val="none"/>
              </w:rPr>
              <w:t>在风险源场所设置消防栓、灭火器</w:t>
            </w:r>
            <w:r>
              <w:rPr>
                <w:rFonts w:hint="eastAsia" w:cs="Times New Roman"/>
                <w:color w:val="auto"/>
                <w:kern w:val="0"/>
                <w:sz w:val="24"/>
                <w:highlight w:val="none"/>
                <w:lang w:val="en-US" w:eastAsia="zh-CN"/>
              </w:rPr>
              <w:t>等灭火设施</w:t>
            </w:r>
            <w:r>
              <w:rPr>
                <w:rFonts w:hint="default" w:ascii="Times New Roman" w:hAnsi="Times New Roman" w:eastAsia="宋体" w:cs="Times New Roman"/>
                <w:color w:val="auto"/>
                <w:kern w:val="0"/>
                <w:sz w:val="24"/>
                <w:highlight w:val="none"/>
              </w:rPr>
              <w:t>，配备一定数量的自给式呼吸器、消防防护服、消防沙等，并设置明显的</w:t>
            </w:r>
            <w:r>
              <w:rPr>
                <w:rFonts w:hint="eastAsia" w:cs="Times New Roman"/>
                <w:color w:val="auto"/>
                <w:kern w:val="0"/>
                <w:sz w:val="24"/>
                <w:highlight w:val="none"/>
                <w:lang w:eastAsia="zh-CN"/>
              </w:rPr>
              <w:t>“</w:t>
            </w:r>
            <w:r>
              <w:rPr>
                <w:rFonts w:hint="default" w:ascii="Times New Roman" w:hAnsi="Times New Roman" w:eastAsia="宋体" w:cs="Times New Roman"/>
                <w:color w:val="auto"/>
                <w:kern w:val="0"/>
                <w:sz w:val="24"/>
                <w:highlight w:val="none"/>
              </w:rPr>
              <w:t>危险</w:t>
            </w:r>
            <w:r>
              <w:rPr>
                <w:rFonts w:hint="eastAsia" w:cs="Times New Roman"/>
                <w:color w:val="auto"/>
                <w:kern w:val="0"/>
                <w:sz w:val="24"/>
                <w:highlight w:val="none"/>
                <w:lang w:eastAsia="zh-CN"/>
              </w:rPr>
              <w:t>”</w:t>
            </w:r>
            <w:r>
              <w:rPr>
                <w:rFonts w:hint="default" w:ascii="Times New Roman" w:hAnsi="Times New Roman" w:eastAsia="宋体" w:cs="Times New Roman"/>
                <w:color w:val="auto"/>
                <w:kern w:val="0"/>
                <w:sz w:val="24"/>
                <w:highlight w:val="none"/>
              </w:rPr>
              <w:t>警示标识和</w:t>
            </w:r>
            <w:r>
              <w:rPr>
                <w:rFonts w:hint="eastAsia" w:cs="Times New Roman"/>
                <w:color w:val="auto"/>
                <w:kern w:val="0"/>
                <w:sz w:val="24"/>
                <w:highlight w:val="none"/>
                <w:lang w:eastAsia="zh-CN"/>
              </w:rPr>
              <w:t>“</w:t>
            </w:r>
            <w:r>
              <w:rPr>
                <w:rFonts w:hint="default" w:ascii="Times New Roman" w:hAnsi="Times New Roman" w:eastAsia="宋体" w:cs="Times New Roman"/>
                <w:color w:val="auto"/>
                <w:kern w:val="0"/>
                <w:sz w:val="24"/>
                <w:highlight w:val="none"/>
              </w:rPr>
              <w:t>禁止吸烟</w:t>
            </w:r>
            <w:r>
              <w:rPr>
                <w:rFonts w:hint="eastAsia" w:cs="Times New Roman"/>
                <w:color w:val="auto"/>
                <w:kern w:val="0"/>
                <w:sz w:val="24"/>
                <w:highlight w:val="none"/>
                <w:lang w:eastAsia="zh-CN"/>
              </w:rPr>
              <w:t>”</w:t>
            </w:r>
            <w:r>
              <w:rPr>
                <w:rFonts w:hint="default" w:ascii="Times New Roman" w:hAnsi="Times New Roman" w:eastAsia="宋体" w:cs="Times New Roman"/>
                <w:color w:val="auto"/>
                <w:kern w:val="0"/>
                <w:sz w:val="24"/>
                <w:highlight w:val="none"/>
              </w:rPr>
              <w:t>的警示标识。</w:t>
            </w:r>
          </w:p>
          <w:p w14:paraId="75F5F184">
            <w:pPr>
              <w:widowControl/>
              <w:numPr>
                <w:ilvl w:val="0"/>
                <w:numId w:val="27"/>
              </w:numPr>
              <w:spacing w:line="360" w:lineRule="auto"/>
              <w:ind w:firstLine="480" w:firstLineChars="200"/>
              <w:jc w:val="left"/>
              <w:rPr>
                <w:rFonts w:hint="default" w:ascii="Times New Roman" w:hAnsi="Times New Roman" w:eastAsia="宋体" w:cs="Times New Roman"/>
                <w:color w:val="auto"/>
                <w:kern w:val="0"/>
                <w:sz w:val="24"/>
                <w:highlight w:val="none"/>
              </w:rPr>
            </w:pPr>
            <w:r>
              <w:rPr>
                <w:rFonts w:hint="eastAsia" w:cs="Times New Roman"/>
                <w:color w:val="auto"/>
                <w:kern w:val="0"/>
                <w:sz w:val="24"/>
                <w:highlight w:val="none"/>
                <w:lang w:val="en-US" w:eastAsia="zh-CN"/>
              </w:rPr>
              <w:t>加强教育和培训，严禁将危险废物随便倾倒，严格按照危险废物的类别分类收集，做好危险废物识别标志和台账。</w:t>
            </w:r>
          </w:p>
          <w:p w14:paraId="1A1BFCAD">
            <w:pPr>
              <w:widowControl/>
              <w:numPr>
                <w:ilvl w:val="0"/>
                <w:numId w:val="27"/>
              </w:numPr>
              <w:spacing w:line="360" w:lineRule="auto"/>
              <w:ind w:firstLine="480" w:firstLineChars="200"/>
              <w:jc w:val="left"/>
              <w:rPr>
                <w:rFonts w:hint="default" w:ascii="Times New Roman" w:hAnsi="Times New Roman" w:eastAsia="宋体" w:cs="Times New Roman"/>
                <w:color w:val="auto"/>
                <w:kern w:val="0"/>
                <w:sz w:val="24"/>
                <w:highlight w:val="none"/>
              </w:rPr>
            </w:pPr>
            <w:r>
              <w:rPr>
                <w:rFonts w:hint="default" w:ascii="Times New Roman" w:hAnsi="Times New Roman" w:eastAsia="宋体" w:cs="Times New Roman"/>
                <w:color w:val="auto"/>
                <w:kern w:val="0"/>
                <w:sz w:val="24"/>
                <w:highlight w:val="none"/>
              </w:rPr>
              <w:t>制定操作规程，</w:t>
            </w:r>
            <w:r>
              <w:rPr>
                <w:rFonts w:hint="eastAsia" w:cs="Times New Roman"/>
                <w:color w:val="auto"/>
                <w:kern w:val="0"/>
                <w:sz w:val="24"/>
                <w:highlight w:val="none"/>
                <w:lang w:val="en-US" w:eastAsia="zh-CN"/>
              </w:rPr>
              <w:t>严格按照规程进行各项实验操作，密切关注实验现象，实验期间不得擅自离岗，发现问题及时处理。</w:t>
            </w:r>
            <w:r>
              <w:rPr>
                <w:rFonts w:hint="default" w:ascii="Times New Roman" w:hAnsi="Times New Roman" w:eastAsia="宋体" w:cs="Times New Roman"/>
                <w:color w:val="auto"/>
                <w:kern w:val="0"/>
                <w:sz w:val="24"/>
                <w:highlight w:val="none"/>
              </w:rPr>
              <w:t>定期进行消防安全知识培训，重点培训岗位防火技术、灭火器的使用办法、疏散逃生知识等，加强员工防火意识，确保每位员工都掌握安全防火技能，一旦发生事故能采取正确的应急措施。</w:t>
            </w:r>
          </w:p>
          <w:p w14:paraId="2E5D4DB6">
            <w:pPr>
              <w:widowControl/>
              <w:numPr>
                <w:ilvl w:val="0"/>
                <w:numId w:val="27"/>
              </w:numPr>
              <w:spacing w:line="360" w:lineRule="auto"/>
              <w:ind w:firstLine="480" w:firstLineChars="200"/>
              <w:jc w:val="left"/>
              <w:rPr>
                <w:rFonts w:hint="default" w:ascii="Times New Roman" w:hAnsi="Times New Roman" w:eastAsia="宋体" w:cs="Times New Roman"/>
                <w:color w:val="auto"/>
                <w:kern w:val="0"/>
                <w:sz w:val="24"/>
                <w:highlight w:val="none"/>
              </w:rPr>
            </w:pPr>
            <w:r>
              <w:rPr>
                <w:rFonts w:hint="default" w:ascii="Times New Roman" w:hAnsi="Times New Roman" w:eastAsia="宋体" w:cs="Times New Roman"/>
                <w:color w:val="auto"/>
                <w:kern w:val="0"/>
                <w:sz w:val="24"/>
                <w:highlight w:val="none"/>
              </w:rPr>
              <w:t>建立安全管理制度，制定岗位责任制度，定期对设备</w:t>
            </w:r>
            <w:r>
              <w:rPr>
                <w:rFonts w:hint="eastAsia" w:cs="Times New Roman"/>
                <w:color w:val="auto"/>
                <w:kern w:val="0"/>
                <w:sz w:val="24"/>
                <w:highlight w:val="none"/>
                <w:lang w:val="en-US" w:eastAsia="zh-CN"/>
              </w:rPr>
              <w:t>设施检查维护</w:t>
            </w:r>
            <w:r>
              <w:rPr>
                <w:rFonts w:hint="default" w:ascii="Times New Roman" w:hAnsi="Times New Roman" w:eastAsia="宋体" w:cs="Times New Roman"/>
                <w:color w:val="auto"/>
                <w:kern w:val="0"/>
                <w:sz w:val="24"/>
                <w:highlight w:val="none"/>
              </w:rPr>
              <w:t>，发现</w:t>
            </w:r>
            <w:r>
              <w:rPr>
                <w:rFonts w:hint="eastAsia" w:cs="Times New Roman"/>
                <w:color w:val="auto"/>
                <w:kern w:val="0"/>
                <w:sz w:val="24"/>
                <w:highlight w:val="none"/>
                <w:lang w:val="en-US" w:eastAsia="zh-CN"/>
              </w:rPr>
              <w:t>问题及时处理</w:t>
            </w:r>
            <w:r>
              <w:rPr>
                <w:rFonts w:hint="default" w:ascii="Times New Roman" w:hAnsi="Times New Roman" w:eastAsia="宋体" w:cs="Times New Roman"/>
                <w:color w:val="auto"/>
                <w:kern w:val="0"/>
                <w:sz w:val="24"/>
                <w:highlight w:val="none"/>
              </w:rPr>
              <w:t>。</w:t>
            </w:r>
          </w:p>
          <w:p w14:paraId="0A4D7FCB">
            <w:pPr>
              <w:widowControl/>
              <w:numPr>
                <w:ilvl w:val="0"/>
                <w:numId w:val="27"/>
              </w:numPr>
              <w:spacing w:line="360" w:lineRule="auto"/>
              <w:ind w:firstLine="480" w:firstLineChars="200"/>
              <w:jc w:val="left"/>
              <w:rPr>
                <w:rFonts w:hint="default" w:ascii="Times New Roman" w:hAnsi="Times New Roman" w:eastAsia="宋体" w:cs="Times New Roman"/>
                <w:color w:val="auto"/>
                <w:kern w:val="0"/>
                <w:sz w:val="24"/>
                <w:highlight w:val="none"/>
              </w:rPr>
            </w:pPr>
            <w:r>
              <w:rPr>
                <w:rFonts w:hint="eastAsia" w:cs="Times New Roman"/>
                <w:color w:val="auto"/>
                <w:kern w:val="0"/>
                <w:sz w:val="24"/>
                <w:highlight w:val="none"/>
                <w:lang w:val="en-US" w:eastAsia="zh-CN"/>
              </w:rPr>
              <w:t>定期做好安全风险辨识评估和隐患排查，明确隐患排查的责任人，做好排查记录</w:t>
            </w:r>
            <w:r>
              <w:rPr>
                <w:rFonts w:hint="default" w:ascii="Times New Roman" w:hAnsi="Times New Roman" w:eastAsia="宋体" w:cs="Times New Roman"/>
                <w:color w:val="auto"/>
                <w:kern w:val="0"/>
                <w:sz w:val="24"/>
                <w:highlight w:val="none"/>
              </w:rPr>
              <w:t>。</w:t>
            </w:r>
          </w:p>
          <w:p w14:paraId="12F3DFC1">
            <w:pPr>
              <w:adjustRightInd w:val="0"/>
              <w:spacing w:line="360" w:lineRule="auto"/>
              <w:ind w:firstLine="465"/>
              <w:rPr>
                <w:rFonts w:hint="default" w:ascii="Times New Roman" w:hAnsi="Times New Roman" w:eastAsia="宋体" w:cs="Times New Roman"/>
                <w:color w:val="auto"/>
                <w:kern w:val="0"/>
                <w:sz w:val="24"/>
                <w:highlight w:val="none"/>
              </w:rPr>
            </w:pPr>
            <w:r>
              <w:rPr>
                <w:rFonts w:hint="default" w:ascii="Times New Roman" w:hAnsi="Times New Roman" w:eastAsia="宋体" w:cs="Times New Roman"/>
                <w:color w:val="auto"/>
                <w:kern w:val="0"/>
                <w:sz w:val="24"/>
                <w:highlight w:val="none"/>
              </w:rPr>
              <w:t>若发生火灾事故，火灾对水体的污染主要体现在灭火过程中，一般在火灾的扑救过程中会使用大量的水来冷却可燃物或扑灭火，控制不当，进入周边地表水体可能导致次生水环境风险事故，应在日常营运中注意避免火灾的发生，便可避免消防废水等对水体的污染。</w:t>
            </w:r>
            <w:r>
              <w:rPr>
                <w:rFonts w:hint="eastAsia" w:cs="Times New Roman"/>
                <w:color w:val="auto"/>
                <w:kern w:val="0"/>
                <w:sz w:val="24"/>
                <w:highlight w:val="none"/>
                <w:lang w:val="en-US" w:eastAsia="zh-CN"/>
              </w:rPr>
              <w:t>在</w:t>
            </w:r>
            <w:r>
              <w:rPr>
                <w:rFonts w:hint="default" w:ascii="Times New Roman" w:hAnsi="Times New Roman" w:eastAsia="宋体" w:cs="Times New Roman"/>
                <w:color w:val="auto"/>
                <w:kern w:val="0"/>
                <w:sz w:val="24"/>
                <w:highlight w:val="none"/>
              </w:rPr>
              <w:t>雨水排放口末端设置紧急切断闸门，一旦发生火灾、水体污染事故，需关闭雨水总排口，将事故控制在厂界内，</w:t>
            </w:r>
            <w:r>
              <w:rPr>
                <w:rFonts w:hint="eastAsia" w:ascii="Times New Roman" w:hAnsi="Times New Roman" w:eastAsia="宋体" w:cs="Times New Roman"/>
                <w:color w:val="auto"/>
                <w:kern w:val="0"/>
                <w:sz w:val="24"/>
                <w:highlight w:val="none"/>
                <w:lang w:val="en-US" w:eastAsia="zh-CN"/>
              </w:rPr>
              <w:t>防止消防废水经雨污水管网排入外环境，污染地表水。灭火后残留的有机废液、废吸附剂和消防废水应及时分类收集，有机废液、废吸附剂作危险废物收集处置，消防废水委托有能力的检测单位进行检测，符合排放标准要求时排入管网，不符合排放标准按要求进行处理至符合排放标准后排入管网，严禁私自进入实验室污水管道或进入雨水管网。</w:t>
            </w:r>
          </w:p>
          <w:p w14:paraId="5CF5A97B">
            <w:pPr>
              <w:adjustRightInd w:val="0"/>
              <w:spacing w:line="360" w:lineRule="auto"/>
              <w:ind w:firstLine="465"/>
              <w:rPr>
                <w:rFonts w:hint="default" w:ascii="Times New Roman" w:hAnsi="Times New Roman" w:eastAsia="宋体" w:cs="Times New Roman"/>
                <w:b w:val="0"/>
                <w:bCs w:val="0"/>
                <w:color w:val="auto"/>
                <w:spacing w:val="-2"/>
                <w:sz w:val="24"/>
                <w:szCs w:val="32"/>
                <w:highlight w:val="none"/>
              </w:rPr>
            </w:pPr>
            <w:r>
              <w:rPr>
                <w:rFonts w:hint="default" w:ascii="Times New Roman" w:hAnsi="Times New Roman" w:eastAsia="宋体" w:cs="Times New Roman"/>
                <w:b w:val="0"/>
                <w:bCs w:val="0"/>
                <w:color w:val="auto"/>
                <w:spacing w:val="-2"/>
                <w:sz w:val="24"/>
                <w:szCs w:val="32"/>
                <w:highlight w:val="none"/>
              </w:rPr>
              <w:t>（</w:t>
            </w:r>
            <w:r>
              <w:rPr>
                <w:rFonts w:hint="default" w:ascii="Times New Roman" w:hAnsi="Times New Roman" w:eastAsia="宋体" w:cs="Times New Roman"/>
                <w:b w:val="0"/>
                <w:bCs w:val="0"/>
                <w:color w:val="auto"/>
                <w:spacing w:val="-2"/>
                <w:sz w:val="24"/>
                <w:szCs w:val="32"/>
                <w:highlight w:val="none"/>
                <w:lang w:val="en-US" w:eastAsia="zh-CN"/>
              </w:rPr>
              <w:t>4</w:t>
            </w:r>
            <w:r>
              <w:rPr>
                <w:rFonts w:hint="default" w:ascii="Times New Roman" w:hAnsi="Times New Roman" w:eastAsia="宋体" w:cs="Times New Roman"/>
                <w:b w:val="0"/>
                <w:bCs w:val="0"/>
                <w:color w:val="auto"/>
                <w:spacing w:val="-2"/>
                <w:sz w:val="24"/>
                <w:szCs w:val="32"/>
                <w:highlight w:val="none"/>
              </w:rPr>
              <w:t>）环境风险评价结论</w:t>
            </w:r>
          </w:p>
          <w:p w14:paraId="38F7328F">
            <w:pPr>
              <w:adjustRightInd w:val="0"/>
              <w:spacing w:line="360" w:lineRule="auto"/>
              <w:ind w:firstLine="465"/>
              <w:rPr>
                <w:rFonts w:hint="default" w:ascii="Times New Roman" w:hAnsi="Times New Roman" w:eastAsia="宋体" w:cs="Times New Roman"/>
                <w:color w:val="auto"/>
                <w:kern w:val="0"/>
                <w:sz w:val="24"/>
                <w:highlight w:val="none"/>
              </w:rPr>
            </w:pPr>
            <w:r>
              <w:rPr>
                <w:rFonts w:hint="default" w:ascii="Times New Roman" w:hAnsi="Times New Roman" w:eastAsia="宋体" w:cs="Times New Roman"/>
                <w:color w:val="auto"/>
                <w:kern w:val="0"/>
                <w:sz w:val="24"/>
                <w:highlight w:val="none"/>
              </w:rPr>
              <w:t>综上分析，本项目环境风险潜势为I级，风险评价等级为简单分析，存在泄漏、火灾</w:t>
            </w:r>
            <w:r>
              <w:rPr>
                <w:rFonts w:hint="eastAsia" w:cs="Times New Roman"/>
                <w:color w:val="auto"/>
                <w:kern w:val="0"/>
                <w:sz w:val="24"/>
                <w:highlight w:val="none"/>
                <w:lang w:eastAsia="zh-CN"/>
              </w:rPr>
              <w:t>、</w:t>
            </w:r>
            <w:r>
              <w:rPr>
                <w:rFonts w:hint="eastAsia" w:cs="Times New Roman"/>
                <w:color w:val="auto"/>
                <w:kern w:val="0"/>
                <w:sz w:val="24"/>
                <w:highlight w:val="none"/>
                <w:lang w:val="en-US" w:eastAsia="zh-CN"/>
              </w:rPr>
              <w:t>爆炸</w:t>
            </w:r>
            <w:r>
              <w:rPr>
                <w:rFonts w:hint="default" w:ascii="Times New Roman" w:hAnsi="Times New Roman" w:eastAsia="宋体" w:cs="Times New Roman"/>
                <w:color w:val="auto"/>
                <w:kern w:val="0"/>
                <w:sz w:val="24"/>
                <w:highlight w:val="none"/>
              </w:rPr>
              <w:t>事故类型，本</w:t>
            </w:r>
            <w:r>
              <w:rPr>
                <w:rFonts w:hint="eastAsia" w:cs="Times New Roman"/>
                <w:color w:val="auto"/>
                <w:kern w:val="0"/>
                <w:sz w:val="24"/>
                <w:highlight w:val="none"/>
                <w:lang w:val="en-US" w:eastAsia="zh-CN"/>
              </w:rPr>
              <w:t>项目定期开展安全风险辨识评估，制定操作规程并加强培训，定期开展隐患排查</w:t>
            </w:r>
            <w:r>
              <w:rPr>
                <w:rFonts w:hint="default" w:ascii="Times New Roman" w:hAnsi="Times New Roman" w:eastAsia="宋体" w:cs="Times New Roman"/>
                <w:color w:val="auto"/>
                <w:kern w:val="0"/>
                <w:sz w:val="24"/>
                <w:highlight w:val="none"/>
              </w:rPr>
              <w:t>，确保</w:t>
            </w:r>
            <w:r>
              <w:rPr>
                <w:rFonts w:hint="eastAsia" w:cs="Times New Roman"/>
                <w:color w:val="auto"/>
                <w:kern w:val="0"/>
                <w:sz w:val="24"/>
                <w:highlight w:val="none"/>
                <w:lang w:val="en-US" w:eastAsia="zh-CN"/>
              </w:rPr>
              <w:t>项目</w:t>
            </w:r>
            <w:r>
              <w:rPr>
                <w:rFonts w:hint="default" w:ascii="Times New Roman" w:hAnsi="Times New Roman" w:eastAsia="宋体" w:cs="Times New Roman"/>
                <w:color w:val="auto"/>
                <w:kern w:val="0"/>
                <w:sz w:val="24"/>
                <w:highlight w:val="none"/>
              </w:rPr>
              <w:t>运行的安全性；同时在严格执行国家相关法律、法规</w:t>
            </w:r>
            <w:r>
              <w:rPr>
                <w:rFonts w:hint="eastAsia" w:cs="Times New Roman"/>
                <w:color w:val="auto"/>
                <w:kern w:val="0"/>
                <w:sz w:val="24"/>
                <w:highlight w:val="none"/>
                <w:lang w:eastAsia="zh-CN"/>
              </w:rPr>
              <w:t>、</w:t>
            </w:r>
            <w:r>
              <w:rPr>
                <w:rFonts w:hint="default" w:ascii="Times New Roman" w:hAnsi="Times New Roman" w:eastAsia="宋体" w:cs="Times New Roman"/>
                <w:color w:val="auto"/>
                <w:kern w:val="0"/>
                <w:sz w:val="24"/>
                <w:highlight w:val="none"/>
              </w:rPr>
              <w:t>规范</w:t>
            </w:r>
            <w:r>
              <w:rPr>
                <w:rFonts w:hint="eastAsia" w:cs="Times New Roman"/>
                <w:color w:val="auto"/>
                <w:kern w:val="0"/>
                <w:sz w:val="24"/>
                <w:highlight w:val="none"/>
                <w:lang w:val="en-US" w:eastAsia="zh-CN"/>
              </w:rPr>
              <w:t>和标准</w:t>
            </w:r>
            <w:r>
              <w:rPr>
                <w:rFonts w:hint="default" w:ascii="Times New Roman" w:hAnsi="Times New Roman" w:eastAsia="宋体" w:cs="Times New Roman"/>
                <w:color w:val="auto"/>
                <w:kern w:val="0"/>
                <w:sz w:val="24"/>
                <w:highlight w:val="none"/>
              </w:rPr>
              <w:t>，</w:t>
            </w:r>
            <w:r>
              <w:rPr>
                <w:rFonts w:hint="eastAsia" w:cs="Times New Roman"/>
                <w:color w:val="auto"/>
                <w:kern w:val="0"/>
                <w:sz w:val="24"/>
                <w:highlight w:val="none"/>
                <w:lang w:val="en-US" w:eastAsia="zh-CN"/>
              </w:rPr>
              <w:t>严格</w:t>
            </w:r>
            <w:r>
              <w:rPr>
                <w:rFonts w:hint="default" w:ascii="Times New Roman" w:hAnsi="Times New Roman" w:eastAsia="宋体" w:cs="Times New Roman"/>
                <w:color w:val="auto"/>
                <w:kern w:val="0"/>
                <w:sz w:val="24"/>
                <w:highlight w:val="none"/>
              </w:rPr>
              <w:t>按相关操作规章操作的前提下，通过采用相应的控制措施后，本项目环境风险可控。本项目环境风险简单分析内容表见下表。</w:t>
            </w:r>
          </w:p>
          <w:p w14:paraId="108E83FA">
            <w:pPr>
              <w:numPr>
                <w:ilvl w:val="0"/>
                <w:numId w:val="21"/>
              </w:numPr>
              <w:adjustRightInd w:val="0"/>
              <w:spacing w:line="360" w:lineRule="auto"/>
              <w:ind w:left="425" w:leftChars="0" w:hanging="425" w:firstLineChars="0"/>
              <w:jc w:val="center"/>
              <w:rPr>
                <w:rFonts w:hint="default" w:ascii="Times New Roman" w:hAnsi="Times New Roman" w:eastAsia="宋体" w:cs="Times New Roman"/>
                <w:b/>
                <w:bCs/>
                <w:color w:val="auto"/>
                <w:kern w:val="0"/>
                <w:sz w:val="24"/>
                <w:highlight w:val="none"/>
              </w:rPr>
            </w:pPr>
            <w:r>
              <w:rPr>
                <w:rFonts w:hint="default" w:ascii="Times New Roman" w:hAnsi="Times New Roman" w:eastAsia="宋体" w:cs="Times New Roman"/>
                <w:b/>
                <w:color w:val="auto"/>
                <w:sz w:val="24"/>
                <w:highlight w:val="none"/>
              </w:rPr>
              <w:t>建设</w:t>
            </w:r>
            <w:r>
              <w:rPr>
                <w:rFonts w:hint="default" w:ascii="Times New Roman" w:hAnsi="Times New Roman" w:eastAsia="宋体" w:cs="Times New Roman"/>
                <w:b/>
                <w:bCs/>
                <w:color w:val="auto"/>
                <w:kern w:val="0"/>
                <w:sz w:val="24"/>
                <w:highlight w:val="none"/>
              </w:rPr>
              <w:t>项目环境风险简单分析内容表</w:t>
            </w:r>
          </w:p>
          <w:tbl>
            <w:tblPr>
              <w:tblStyle w:val="50"/>
              <w:tblW w:w="7599" w:type="dxa"/>
              <w:jc w:val="center"/>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Layout w:type="fixed"/>
              <w:tblCellMar>
                <w:top w:w="0" w:type="dxa"/>
                <w:left w:w="57" w:type="dxa"/>
                <w:bottom w:w="0" w:type="dxa"/>
                <w:right w:w="57" w:type="dxa"/>
              </w:tblCellMar>
            </w:tblPr>
            <w:tblGrid>
              <w:gridCol w:w="2117"/>
              <w:gridCol w:w="666"/>
              <w:gridCol w:w="2089"/>
              <w:gridCol w:w="564"/>
              <w:gridCol w:w="2163"/>
            </w:tblGrid>
            <w:tr w14:paraId="7FFB0CD1">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57" w:type="dxa"/>
                  <w:bottom w:w="0" w:type="dxa"/>
                  <w:right w:w="57" w:type="dxa"/>
                </w:tblCellMar>
              </w:tblPrEx>
              <w:trPr>
                <w:trHeight w:val="437" w:hRule="atLeast"/>
                <w:jc w:val="center"/>
              </w:trPr>
              <w:tc>
                <w:tcPr>
                  <w:tcW w:w="2117" w:type="dxa"/>
                  <w:tcBorders>
                    <w:tl2br w:val="nil"/>
                    <w:tr2bl w:val="nil"/>
                  </w:tcBorders>
                  <w:vAlign w:val="center"/>
                </w:tcPr>
                <w:p w14:paraId="6C1B6770">
                  <w:pPr>
                    <w:snapToGrid w:val="0"/>
                    <w:jc w:val="center"/>
                    <w:rPr>
                      <w:rFonts w:hint="default" w:ascii="Times New Roman" w:hAnsi="Times New Roman" w:eastAsia="宋体" w:cs="Times New Roman"/>
                      <w:b/>
                      <w:bCs w:val="0"/>
                      <w:color w:val="auto"/>
                      <w:szCs w:val="21"/>
                      <w:highlight w:val="none"/>
                    </w:rPr>
                  </w:pPr>
                  <w:r>
                    <w:rPr>
                      <w:rFonts w:hint="default" w:ascii="Times New Roman" w:hAnsi="Times New Roman" w:eastAsia="宋体" w:cs="Times New Roman"/>
                      <w:b/>
                      <w:bCs w:val="0"/>
                      <w:color w:val="auto"/>
                      <w:szCs w:val="21"/>
                      <w:highlight w:val="none"/>
                    </w:rPr>
                    <w:t>建设项目名称</w:t>
                  </w:r>
                </w:p>
              </w:tc>
              <w:tc>
                <w:tcPr>
                  <w:tcW w:w="5482" w:type="dxa"/>
                  <w:gridSpan w:val="4"/>
                  <w:tcBorders>
                    <w:tl2br w:val="nil"/>
                    <w:tr2bl w:val="nil"/>
                  </w:tcBorders>
                  <w:vAlign w:val="center"/>
                </w:tcPr>
                <w:p w14:paraId="71E16A55">
                  <w:pPr>
                    <w:snapToGrid w:val="0"/>
                    <w:jc w:val="center"/>
                    <w:rPr>
                      <w:rFonts w:hint="default" w:ascii="Times New Roman" w:hAnsi="Times New Roman" w:eastAsia="宋体" w:cs="Times New Roman"/>
                      <w:color w:val="auto"/>
                      <w:szCs w:val="21"/>
                      <w:highlight w:val="none"/>
                    </w:rPr>
                  </w:pPr>
                  <w:r>
                    <w:rPr>
                      <w:rFonts w:hint="eastAsia" w:cs="Times New Roman"/>
                      <w:color w:val="auto"/>
                      <w:szCs w:val="21"/>
                      <w:highlight w:val="none"/>
                      <w:lang w:val="en-US" w:eastAsia="zh-CN"/>
                    </w:rPr>
                    <w:t>电池材料研发实验室</w:t>
                  </w:r>
                </w:p>
              </w:tc>
            </w:tr>
            <w:tr w14:paraId="48FC6AC4">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57" w:type="dxa"/>
                  <w:bottom w:w="0" w:type="dxa"/>
                  <w:right w:w="57" w:type="dxa"/>
                </w:tblCellMar>
              </w:tblPrEx>
              <w:trPr>
                <w:trHeight w:val="90" w:hRule="atLeast"/>
                <w:jc w:val="center"/>
              </w:trPr>
              <w:tc>
                <w:tcPr>
                  <w:tcW w:w="2117" w:type="dxa"/>
                  <w:tcBorders>
                    <w:tl2br w:val="nil"/>
                    <w:tr2bl w:val="nil"/>
                  </w:tcBorders>
                  <w:vAlign w:val="center"/>
                </w:tcPr>
                <w:p w14:paraId="5DCE80A3">
                  <w:pPr>
                    <w:snapToGrid w:val="0"/>
                    <w:jc w:val="center"/>
                    <w:rPr>
                      <w:rFonts w:hint="default" w:ascii="Times New Roman" w:hAnsi="Times New Roman" w:eastAsia="宋体" w:cs="Times New Roman"/>
                      <w:b/>
                      <w:bCs w:val="0"/>
                      <w:color w:val="auto"/>
                      <w:szCs w:val="21"/>
                      <w:highlight w:val="none"/>
                    </w:rPr>
                  </w:pPr>
                  <w:r>
                    <w:rPr>
                      <w:rFonts w:hint="default" w:ascii="Times New Roman" w:hAnsi="Times New Roman" w:eastAsia="宋体" w:cs="Times New Roman"/>
                      <w:b/>
                      <w:bCs w:val="0"/>
                      <w:color w:val="auto"/>
                      <w:szCs w:val="21"/>
                      <w:highlight w:val="none"/>
                    </w:rPr>
                    <w:t>建设地点</w:t>
                  </w:r>
                </w:p>
              </w:tc>
              <w:tc>
                <w:tcPr>
                  <w:tcW w:w="5482" w:type="dxa"/>
                  <w:gridSpan w:val="4"/>
                  <w:tcBorders>
                    <w:tl2br w:val="nil"/>
                    <w:tr2bl w:val="nil"/>
                  </w:tcBorders>
                  <w:vAlign w:val="center"/>
                </w:tcPr>
                <w:p w14:paraId="3D39ED7A">
                  <w:pPr>
                    <w:snapToGrid w:val="0"/>
                    <w:jc w:val="center"/>
                    <w:rPr>
                      <w:rFonts w:hint="default" w:ascii="Times New Roman" w:hAnsi="Times New Roman" w:eastAsia="宋体" w:cs="Times New Roman"/>
                      <w:color w:val="auto"/>
                      <w:szCs w:val="21"/>
                      <w:highlight w:val="none"/>
                      <w:lang w:val="en-US"/>
                    </w:rPr>
                  </w:pPr>
                  <w:r>
                    <w:rPr>
                      <w:rFonts w:hint="eastAsia" w:cs="Times New Roman"/>
                      <w:color w:val="auto"/>
                      <w:szCs w:val="21"/>
                      <w:highlight w:val="none"/>
                      <w:lang w:val="en-US" w:eastAsia="zh-CN"/>
                    </w:rPr>
                    <w:t>北京市朝阳区和平里青年沟东路5号45号楼</w:t>
                  </w:r>
                </w:p>
              </w:tc>
            </w:tr>
            <w:tr w14:paraId="33E81BFA">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57" w:type="dxa"/>
                  <w:bottom w:w="0" w:type="dxa"/>
                  <w:right w:w="57" w:type="dxa"/>
                </w:tblCellMar>
              </w:tblPrEx>
              <w:trPr>
                <w:trHeight w:val="429" w:hRule="atLeast"/>
                <w:jc w:val="center"/>
              </w:trPr>
              <w:tc>
                <w:tcPr>
                  <w:tcW w:w="2117" w:type="dxa"/>
                  <w:tcBorders>
                    <w:tl2br w:val="nil"/>
                    <w:tr2bl w:val="nil"/>
                  </w:tcBorders>
                  <w:vAlign w:val="center"/>
                </w:tcPr>
                <w:p w14:paraId="0510BA63">
                  <w:pPr>
                    <w:snapToGrid w:val="0"/>
                    <w:jc w:val="center"/>
                    <w:rPr>
                      <w:rFonts w:hint="default" w:ascii="Times New Roman" w:hAnsi="Times New Roman" w:eastAsia="宋体" w:cs="Times New Roman"/>
                      <w:b/>
                      <w:bCs w:val="0"/>
                      <w:color w:val="auto"/>
                      <w:szCs w:val="21"/>
                      <w:highlight w:val="none"/>
                    </w:rPr>
                  </w:pPr>
                  <w:r>
                    <w:rPr>
                      <w:rFonts w:hint="default" w:ascii="Times New Roman" w:hAnsi="Times New Roman" w:eastAsia="宋体" w:cs="Times New Roman"/>
                      <w:b/>
                      <w:bCs w:val="0"/>
                      <w:color w:val="auto"/>
                      <w:szCs w:val="21"/>
                      <w:highlight w:val="none"/>
                    </w:rPr>
                    <w:t>地理坐标</w:t>
                  </w:r>
                </w:p>
              </w:tc>
              <w:tc>
                <w:tcPr>
                  <w:tcW w:w="666" w:type="dxa"/>
                  <w:tcBorders>
                    <w:tl2br w:val="nil"/>
                    <w:tr2bl w:val="nil"/>
                  </w:tcBorders>
                  <w:vAlign w:val="center"/>
                </w:tcPr>
                <w:p w14:paraId="6B0882C0">
                  <w:pPr>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经度</w:t>
                  </w:r>
                </w:p>
              </w:tc>
              <w:tc>
                <w:tcPr>
                  <w:tcW w:w="2089" w:type="dxa"/>
                  <w:tcBorders>
                    <w:tl2br w:val="nil"/>
                    <w:tr2bl w:val="nil"/>
                  </w:tcBorders>
                  <w:vAlign w:val="center"/>
                </w:tcPr>
                <w:p w14:paraId="5CF0CBFA">
                  <w:pPr>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东经</w:t>
                  </w:r>
                  <w:r>
                    <w:rPr>
                      <w:rFonts w:hint="eastAsia" w:cs="Times New Roman"/>
                      <w:color w:val="auto"/>
                      <w:szCs w:val="21"/>
                      <w:highlight w:val="none"/>
                      <w:lang w:val="en-US" w:eastAsia="zh-CN"/>
                    </w:rPr>
                    <w:t>116.423315</w:t>
                  </w:r>
                  <w:r>
                    <w:rPr>
                      <w:rFonts w:hint="eastAsia" w:cs="Times New Roman"/>
                      <w:color w:val="auto"/>
                      <w:sz w:val="28"/>
                      <w:szCs w:val="28"/>
                      <w:highlight w:val="none"/>
                      <w:vertAlign w:val="superscript"/>
                      <w:lang w:val="en-US" w:eastAsia="zh-CN"/>
                    </w:rPr>
                    <w:t>。</w:t>
                  </w:r>
                </w:p>
              </w:tc>
              <w:tc>
                <w:tcPr>
                  <w:tcW w:w="564" w:type="dxa"/>
                  <w:tcBorders>
                    <w:tl2br w:val="nil"/>
                    <w:tr2bl w:val="nil"/>
                  </w:tcBorders>
                  <w:vAlign w:val="center"/>
                </w:tcPr>
                <w:p w14:paraId="74EF9973">
                  <w:pPr>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纬度</w:t>
                  </w:r>
                </w:p>
              </w:tc>
              <w:tc>
                <w:tcPr>
                  <w:tcW w:w="2163" w:type="dxa"/>
                  <w:tcBorders>
                    <w:tl2br w:val="nil"/>
                    <w:tr2bl w:val="nil"/>
                  </w:tcBorders>
                  <w:vAlign w:val="center"/>
                </w:tcPr>
                <w:p w14:paraId="2E6D3D63">
                  <w:pPr>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北纬39</w:t>
                  </w:r>
                  <w:r>
                    <w:rPr>
                      <w:rFonts w:hint="eastAsia" w:cs="Times New Roman"/>
                      <w:color w:val="auto"/>
                      <w:szCs w:val="21"/>
                      <w:highlight w:val="none"/>
                      <w:lang w:val="en-US" w:eastAsia="zh-CN"/>
                    </w:rPr>
                    <w:t>.962337</w:t>
                  </w:r>
                  <w:r>
                    <w:rPr>
                      <w:rFonts w:hint="eastAsia" w:cs="Times New Roman"/>
                      <w:color w:val="auto"/>
                      <w:sz w:val="28"/>
                      <w:szCs w:val="28"/>
                      <w:highlight w:val="none"/>
                      <w:vertAlign w:val="superscript"/>
                      <w:lang w:val="en-US" w:eastAsia="zh-CN"/>
                    </w:rPr>
                    <w:t>。</w:t>
                  </w:r>
                </w:p>
              </w:tc>
            </w:tr>
            <w:tr w14:paraId="1EF986B3">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57" w:type="dxa"/>
                  <w:bottom w:w="0" w:type="dxa"/>
                  <w:right w:w="57" w:type="dxa"/>
                </w:tblCellMar>
              </w:tblPrEx>
              <w:trPr>
                <w:trHeight w:val="556" w:hRule="atLeast"/>
                <w:jc w:val="center"/>
              </w:trPr>
              <w:tc>
                <w:tcPr>
                  <w:tcW w:w="2117" w:type="dxa"/>
                  <w:tcBorders>
                    <w:tl2br w:val="nil"/>
                    <w:tr2bl w:val="nil"/>
                  </w:tcBorders>
                  <w:vAlign w:val="center"/>
                </w:tcPr>
                <w:p w14:paraId="79BA2A5C">
                  <w:pPr>
                    <w:snapToGrid w:val="0"/>
                    <w:jc w:val="center"/>
                    <w:rPr>
                      <w:rFonts w:hint="default" w:ascii="Times New Roman" w:hAnsi="Times New Roman" w:eastAsia="宋体" w:cs="Times New Roman"/>
                      <w:b/>
                      <w:bCs w:val="0"/>
                      <w:color w:val="auto"/>
                      <w:szCs w:val="21"/>
                      <w:highlight w:val="none"/>
                    </w:rPr>
                  </w:pPr>
                  <w:r>
                    <w:rPr>
                      <w:rFonts w:hint="default" w:ascii="Times New Roman" w:hAnsi="Times New Roman" w:eastAsia="宋体" w:cs="Times New Roman"/>
                      <w:b/>
                      <w:bCs w:val="0"/>
                      <w:color w:val="auto"/>
                      <w:szCs w:val="21"/>
                      <w:highlight w:val="none"/>
                    </w:rPr>
                    <w:t>主要危险物质及分布</w:t>
                  </w:r>
                </w:p>
              </w:tc>
              <w:tc>
                <w:tcPr>
                  <w:tcW w:w="5482" w:type="dxa"/>
                  <w:gridSpan w:val="4"/>
                  <w:tcBorders>
                    <w:tl2br w:val="nil"/>
                    <w:tr2bl w:val="nil"/>
                  </w:tcBorders>
                  <w:vAlign w:val="center"/>
                </w:tcPr>
                <w:p w14:paraId="0591A3B5">
                  <w:pPr>
                    <w:snapToGrid w:val="0"/>
                    <w:jc w:val="left"/>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主要风险物质为危险化学品、</w:t>
                  </w:r>
                  <w:r>
                    <w:rPr>
                      <w:rFonts w:hint="default" w:ascii="Times New Roman" w:hAnsi="Times New Roman" w:eastAsia="宋体" w:cs="Times New Roman"/>
                      <w:color w:val="auto"/>
                      <w:szCs w:val="21"/>
                      <w:highlight w:val="none"/>
                      <w:lang w:val="en-US" w:eastAsia="zh-CN"/>
                    </w:rPr>
                    <w:t>危险废物</w:t>
                  </w:r>
                  <w:r>
                    <w:rPr>
                      <w:rFonts w:hint="eastAsia" w:ascii="Times New Roman" w:hAnsi="Times New Roman" w:eastAsia="宋体" w:cs="Times New Roman"/>
                      <w:color w:val="auto"/>
                      <w:szCs w:val="21"/>
                      <w:highlight w:val="none"/>
                      <w:lang w:val="en-US" w:eastAsia="zh-CN"/>
                    </w:rPr>
                    <w:t>，分别分布于</w:t>
                  </w:r>
                  <w:r>
                    <w:rPr>
                      <w:rFonts w:hint="eastAsia" w:cs="Times New Roman"/>
                      <w:color w:val="auto"/>
                      <w:szCs w:val="21"/>
                      <w:highlight w:val="none"/>
                      <w:lang w:val="en-US" w:eastAsia="zh-CN"/>
                    </w:rPr>
                    <w:t>配料间试剂柜、</w:t>
                  </w:r>
                  <w:r>
                    <w:rPr>
                      <w:rFonts w:hint="default" w:ascii="Times New Roman" w:hAnsi="Times New Roman" w:eastAsia="宋体" w:cs="Times New Roman"/>
                      <w:color w:val="auto"/>
                      <w:szCs w:val="21"/>
                      <w:highlight w:val="none"/>
                      <w:lang w:val="en-US" w:eastAsia="zh-CN"/>
                    </w:rPr>
                    <w:t>危险废物暂存间。</w:t>
                  </w:r>
                </w:p>
              </w:tc>
            </w:tr>
            <w:tr w14:paraId="3F698D02">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57" w:type="dxa"/>
                  <w:bottom w:w="0" w:type="dxa"/>
                  <w:right w:w="57" w:type="dxa"/>
                </w:tblCellMar>
              </w:tblPrEx>
              <w:trPr>
                <w:trHeight w:val="272" w:hRule="atLeast"/>
                <w:jc w:val="center"/>
              </w:trPr>
              <w:tc>
                <w:tcPr>
                  <w:tcW w:w="2117" w:type="dxa"/>
                  <w:tcBorders>
                    <w:tl2br w:val="nil"/>
                    <w:tr2bl w:val="nil"/>
                  </w:tcBorders>
                  <w:vAlign w:val="center"/>
                </w:tcPr>
                <w:p w14:paraId="407FA49D">
                  <w:pPr>
                    <w:snapToGrid w:val="0"/>
                    <w:jc w:val="center"/>
                    <w:rPr>
                      <w:rFonts w:hint="default" w:ascii="Times New Roman" w:hAnsi="Times New Roman" w:eastAsia="宋体" w:cs="Times New Roman"/>
                      <w:b/>
                      <w:bCs w:val="0"/>
                      <w:color w:val="auto"/>
                      <w:szCs w:val="21"/>
                      <w:highlight w:val="none"/>
                    </w:rPr>
                  </w:pPr>
                  <w:r>
                    <w:rPr>
                      <w:rFonts w:hint="default" w:ascii="Times New Roman" w:hAnsi="Times New Roman" w:eastAsia="宋体" w:cs="Times New Roman"/>
                      <w:b/>
                      <w:bCs w:val="0"/>
                      <w:color w:val="auto"/>
                      <w:szCs w:val="21"/>
                      <w:highlight w:val="none"/>
                    </w:rPr>
                    <w:t>环境影响途径及危害后果（大气、地表水、地下水）</w:t>
                  </w:r>
                </w:p>
              </w:tc>
              <w:tc>
                <w:tcPr>
                  <w:tcW w:w="5482" w:type="dxa"/>
                  <w:gridSpan w:val="4"/>
                  <w:tcBorders>
                    <w:tl2br w:val="nil"/>
                    <w:tr2bl w:val="nil"/>
                  </w:tcBorders>
                  <w:vAlign w:val="center"/>
                </w:tcPr>
                <w:p w14:paraId="2A5DA5A8">
                  <w:pPr>
                    <w:keepNext w:val="0"/>
                    <w:keepLines w:val="0"/>
                    <w:widowControl/>
                    <w:suppressLineNumbers w:val="0"/>
                    <w:jc w:val="left"/>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kern w:val="0"/>
                      <w:sz w:val="21"/>
                      <w:szCs w:val="21"/>
                      <w:lang w:val="en-US" w:eastAsia="zh-CN" w:bidi="ar"/>
                    </w:rPr>
                    <w:t>风险物质泄漏，挥发性化学物质</w:t>
                  </w:r>
                  <w:r>
                    <w:rPr>
                      <w:rFonts w:hint="eastAsia" w:ascii="Times New Roman" w:hAnsi="Times New Roman" w:eastAsia="宋体" w:cs="Times New Roman"/>
                      <w:color w:val="auto"/>
                      <w:kern w:val="0"/>
                      <w:sz w:val="21"/>
                      <w:szCs w:val="21"/>
                      <w:lang w:val="en-US" w:eastAsia="zh-CN" w:bidi="ar"/>
                    </w:rPr>
                    <w:t>进入大气环境</w:t>
                  </w:r>
                  <w:r>
                    <w:rPr>
                      <w:rFonts w:hint="default" w:ascii="Times New Roman" w:hAnsi="Times New Roman" w:eastAsia="宋体" w:cs="Times New Roman"/>
                      <w:color w:val="auto"/>
                      <w:kern w:val="0"/>
                      <w:sz w:val="21"/>
                      <w:szCs w:val="21"/>
                      <w:lang w:val="en-US" w:eastAsia="zh-CN" w:bidi="ar"/>
                    </w:rPr>
                    <w:t>污染</w:t>
                  </w:r>
                  <w:r>
                    <w:rPr>
                      <w:rFonts w:hint="eastAsia" w:ascii="Times New Roman" w:hAnsi="Times New Roman" w:eastAsia="宋体" w:cs="Times New Roman"/>
                      <w:color w:val="auto"/>
                      <w:kern w:val="0"/>
                      <w:sz w:val="21"/>
                      <w:szCs w:val="21"/>
                      <w:lang w:val="en-US" w:eastAsia="zh-CN" w:bidi="ar"/>
                    </w:rPr>
                    <w:t>环境空气，进入地表水、土壤</w:t>
                  </w:r>
                  <w:r>
                    <w:rPr>
                      <w:rFonts w:hint="default" w:ascii="Times New Roman" w:hAnsi="Times New Roman" w:eastAsia="宋体" w:cs="Times New Roman"/>
                      <w:color w:val="auto"/>
                      <w:kern w:val="0"/>
                      <w:sz w:val="21"/>
                      <w:szCs w:val="21"/>
                      <w:lang w:val="en-US" w:eastAsia="zh-CN" w:bidi="ar"/>
                    </w:rPr>
                    <w:t>污染地表水、地下水、土壤环境</w:t>
                  </w:r>
                  <w:r>
                    <w:rPr>
                      <w:rFonts w:hint="eastAsia" w:ascii="Times New Roman" w:hAnsi="Times New Roman" w:eastAsia="宋体" w:cs="Times New Roman"/>
                      <w:color w:val="auto"/>
                      <w:kern w:val="0"/>
                      <w:sz w:val="21"/>
                      <w:szCs w:val="21"/>
                      <w:lang w:val="en-US" w:eastAsia="zh-CN" w:bidi="ar"/>
                    </w:rPr>
                    <w:t>；</w:t>
                  </w:r>
                  <w:r>
                    <w:rPr>
                      <w:rFonts w:hint="default" w:ascii="Times New Roman" w:hAnsi="Times New Roman" w:eastAsia="宋体" w:cs="Times New Roman"/>
                      <w:color w:val="auto"/>
                      <w:kern w:val="0"/>
                      <w:sz w:val="21"/>
                      <w:szCs w:val="21"/>
                      <w:lang w:val="en-US" w:eastAsia="zh-CN" w:bidi="ar"/>
                    </w:rPr>
                    <w:t>风险物质泄漏，遇明火，引起火灾、爆炸事故，火灾、爆炸时伴生烟雾进入大气环境</w:t>
                  </w:r>
                  <w:r>
                    <w:rPr>
                      <w:rFonts w:hint="eastAsia" w:ascii="Times New Roman" w:hAnsi="Times New Roman" w:eastAsia="宋体" w:cs="Times New Roman"/>
                      <w:color w:val="auto"/>
                      <w:kern w:val="0"/>
                      <w:sz w:val="21"/>
                      <w:szCs w:val="21"/>
                      <w:lang w:val="en-US" w:eastAsia="zh-CN" w:bidi="ar"/>
                    </w:rPr>
                    <w:t>污染环境空气</w:t>
                  </w:r>
                  <w:r>
                    <w:rPr>
                      <w:rFonts w:hint="default" w:ascii="Times New Roman" w:hAnsi="Times New Roman" w:eastAsia="宋体" w:cs="Times New Roman"/>
                      <w:color w:val="auto"/>
                      <w:kern w:val="0"/>
                      <w:sz w:val="21"/>
                      <w:szCs w:val="21"/>
                      <w:lang w:val="en-US" w:eastAsia="zh-CN" w:bidi="ar"/>
                    </w:rPr>
                    <w:t>，次生的消防废水进入</w:t>
                  </w:r>
                  <w:r>
                    <w:rPr>
                      <w:rFonts w:hint="eastAsia" w:ascii="Times New Roman" w:hAnsi="Times New Roman" w:eastAsia="宋体" w:cs="Times New Roman"/>
                      <w:color w:val="auto"/>
                      <w:kern w:val="0"/>
                      <w:sz w:val="21"/>
                      <w:szCs w:val="21"/>
                      <w:lang w:val="en-US" w:eastAsia="zh-CN" w:bidi="ar"/>
                    </w:rPr>
                    <w:t>地表水、土壤</w:t>
                  </w:r>
                  <w:r>
                    <w:rPr>
                      <w:rFonts w:hint="default" w:ascii="Times New Roman" w:hAnsi="Times New Roman" w:eastAsia="宋体" w:cs="Times New Roman"/>
                      <w:color w:val="auto"/>
                      <w:kern w:val="0"/>
                      <w:sz w:val="21"/>
                      <w:szCs w:val="21"/>
                      <w:lang w:val="en-US" w:eastAsia="zh-CN" w:bidi="ar"/>
                    </w:rPr>
                    <w:t>污染地表水、地下水、土壤环境。</w:t>
                  </w:r>
                </w:p>
              </w:tc>
            </w:tr>
            <w:tr w14:paraId="38ECE06D">
              <w:tblPrEx>
                <w:tblBorders>
                  <w:top w:val="single" w:color="000000" w:sz="8" w:space="0"/>
                  <w:left w:val="none" w:color="auto" w:sz="0" w:space="0"/>
                  <w:bottom w:val="single" w:color="000000" w:sz="8" w:space="0"/>
                  <w:right w:val="none" w:color="auto" w:sz="0" w:space="0"/>
                  <w:insideH w:val="single" w:color="000000" w:sz="4" w:space="0"/>
                  <w:insideV w:val="single" w:color="000000" w:sz="4" w:space="0"/>
                </w:tblBorders>
                <w:tblCellMar>
                  <w:top w:w="0" w:type="dxa"/>
                  <w:left w:w="57" w:type="dxa"/>
                  <w:bottom w:w="0" w:type="dxa"/>
                  <w:right w:w="57" w:type="dxa"/>
                </w:tblCellMar>
              </w:tblPrEx>
              <w:trPr>
                <w:trHeight w:val="860" w:hRule="atLeast"/>
                <w:jc w:val="center"/>
              </w:trPr>
              <w:tc>
                <w:tcPr>
                  <w:tcW w:w="2117" w:type="dxa"/>
                  <w:tcBorders>
                    <w:tl2br w:val="nil"/>
                    <w:tr2bl w:val="nil"/>
                  </w:tcBorders>
                  <w:shd w:val="clear" w:color="auto" w:fill="auto"/>
                  <w:vAlign w:val="center"/>
                </w:tcPr>
                <w:p w14:paraId="2220B6BD">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bCs/>
                      <w:color w:val="auto"/>
                      <w:kern w:val="2"/>
                      <w:sz w:val="21"/>
                      <w:szCs w:val="24"/>
                      <w:highlight w:val="none"/>
                      <w:lang w:val="en-US" w:eastAsia="zh-CN" w:bidi="ar-SA"/>
                    </w:rPr>
                  </w:pPr>
                  <w:r>
                    <w:rPr>
                      <w:rFonts w:hint="eastAsia" w:ascii="Times New Roman" w:hAnsi="Times New Roman" w:eastAsia="宋体"/>
                      <w:b/>
                      <w:bCs/>
                      <w:color w:val="auto"/>
                      <w:highlight w:val="none"/>
                      <w:lang w:val="en-US"/>
                    </w:rPr>
                    <w:t>风险防范措施</w:t>
                  </w:r>
                </w:p>
              </w:tc>
              <w:tc>
                <w:tcPr>
                  <w:tcW w:w="5482" w:type="dxa"/>
                  <w:gridSpan w:val="4"/>
                  <w:tcBorders>
                    <w:tl2br w:val="nil"/>
                    <w:tr2bl w:val="nil"/>
                  </w:tcBorders>
                  <w:shd w:val="clear" w:color="auto" w:fill="auto"/>
                  <w:vAlign w:val="center"/>
                </w:tcPr>
                <w:p w14:paraId="52DA4C3F">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jc w:val="left"/>
                    <w:textAlignment w:val="auto"/>
                    <w:rPr>
                      <w:rFonts w:hint="eastAsia" w:ascii="Times New Roman" w:hAnsi="Times New Roman" w:eastAsia="宋体"/>
                      <w:b w:val="0"/>
                      <w:bCs w:val="0"/>
                      <w:color w:val="auto"/>
                      <w:highlight w:val="none"/>
                      <w:lang w:val="en-US" w:eastAsia="zh-CN"/>
                    </w:rPr>
                  </w:pPr>
                  <w:r>
                    <w:rPr>
                      <w:rFonts w:hint="eastAsia"/>
                      <w:b w:val="0"/>
                      <w:bCs w:val="0"/>
                      <w:color w:val="auto"/>
                      <w:highlight w:val="none"/>
                      <w:lang w:val="en-US" w:eastAsia="zh-CN"/>
                    </w:rPr>
                    <w:t>1.</w:t>
                  </w:r>
                  <w:r>
                    <w:rPr>
                      <w:rFonts w:hint="eastAsia" w:ascii="Times New Roman" w:hAnsi="Times New Roman" w:eastAsia="宋体"/>
                      <w:b w:val="0"/>
                      <w:bCs w:val="0"/>
                      <w:color w:val="auto"/>
                      <w:highlight w:val="none"/>
                      <w:lang w:val="en-US" w:eastAsia="zh-CN"/>
                    </w:rPr>
                    <w:t>制定突发环境事故应急预案，并于</w:t>
                  </w:r>
                  <w:r>
                    <w:rPr>
                      <w:rFonts w:hint="eastAsia"/>
                      <w:b w:val="0"/>
                      <w:bCs w:val="0"/>
                      <w:color w:val="auto"/>
                      <w:highlight w:val="none"/>
                      <w:lang w:val="en-US" w:eastAsia="zh-CN"/>
                    </w:rPr>
                    <w:t>煤炭科学研究总院</w:t>
                  </w:r>
                  <w:r>
                    <w:rPr>
                      <w:rFonts w:hint="eastAsia" w:ascii="Times New Roman" w:hAnsi="Times New Roman" w:eastAsia="宋体"/>
                      <w:b w:val="0"/>
                      <w:bCs w:val="0"/>
                      <w:color w:val="auto"/>
                      <w:highlight w:val="none"/>
                      <w:lang w:val="en-US" w:eastAsia="zh-CN"/>
                    </w:rPr>
                    <w:t>、</w:t>
                  </w:r>
                  <w:r>
                    <w:rPr>
                      <w:rFonts w:hint="eastAsia"/>
                      <w:b w:val="0"/>
                      <w:bCs w:val="0"/>
                      <w:color w:val="auto"/>
                      <w:highlight w:val="none"/>
                      <w:lang w:val="en-US" w:eastAsia="zh-CN"/>
                    </w:rPr>
                    <w:t>地方主管部门</w:t>
                  </w:r>
                  <w:r>
                    <w:rPr>
                      <w:rFonts w:hint="eastAsia" w:ascii="Times New Roman" w:hAnsi="Times New Roman" w:eastAsia="宋体"/>
                      <w:b w:val="0"/>
                      <w:bCs w:val="0"/>
                      <w:color w:val="auto"/>
                      <w:highlight w:val="none"/>
                      <w:lang w:val="en-US" w:eastAsia="zh-CN"/>
                    </w:rPr>
                    <w:t>做好衔接。</w:t>
                  </w:r>
                </w:p>
                <w:p w14:paraId="1DE89E56">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jc w:val="left"/>
                    <w:textAlignment w:val="auto"/>
                    <w:rPr>
                      <w:rFonts w:hint="eastAsia" w:ascii="Times New Roman" w:hAnsi="Times New Roman" w:eastAsia="宋体"/>
                      <w:b w:val="0"/>
                      <w:bCs w:val="0"/>
                      <w:color w:val="auto"/>
                      <w:highlight w:val="none"/>
                      <w:lang w:val="en-US" w:eastAsia="zh-CN"/>
                    </w:rPr>
                  </w:pPr>
                  <w:r>
                    <w:rPr>
                      <w:rFonts w:hint="eastAsia" w:ascii="Times New Roman" w:hAnsi="Times New Roman" w:eastAsia="宋体"/>
                      <w:b w:val="0"/>
                      <w:bCs w:val="0"/>
                      <w:color w:val="auto"/>
                      <w:highlight w:val="none"/>
                      <w:lang w:val="en-US" w:eastAsia="zh-CN"/>
                    </w:rPr>
                    <w:t>2.做好</w:t>
                  </w:r>
                  <w:r>
                    <w:rPr>
                      <w:rFonts w:hint="eastAsia"/>
                      <w:b w:val="0"/>
                      <w:bCs w:val="0"/>
                      <w:color w:val="auto"/>
                      <w:highlight w:val="none"/>
                      <w:lang w:val="en-US" w:eastAsia="zh-CN"/>
                    </w:rPr>
                    <w:t>环境安全</w:t>
                  </w:r>
                  <w:r>
                    <w:rPr>
                      <w:rFonts w:hint="eastAsia" w:ascii="Times New Roman" w:hAnsi="Times New Roman" w:eastAsia="宋体"/>
                      <w:b w:val="0"/>
                      <w:bCs w:val="0"/>
                      <w:color w:val="auto"/>
                      <w:highlight w:val="none"/>
                      <w:lang w:val="en-US" w:eastAsia="zh-CN"/>
                    </w:rPr>
                    <w:t>隐患排查，建立隐患排查档案。</w:t>
                  </w:r>
                </w:p>
                <w:p w14:paraId="19A78E69">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jc w:val="left"/>
                    <w:textAlignment w:val="auto"/>
                    <w:rPr>
                      <w:rFonts w:hint="eastAsia" w:ascii="Times New Roman" w:hAnsi="Times New Roman" w:eastAsia="宋体"/>
                      <w:b w:val="0"/>
                      <w:bCs w:val="0"/>
                      <w:color w:val="auto"/>
                      <w:highlight w:val="none"/>
                      <w:lang w:val="en-US" w:eastAsia="zh-CN"/>
                    </w:rPr>
                  </w:pPr>
                  <w:r>
                    <w:rPr>
                      <w:rFonts w:hint="eastAsia" w:ascii="Times New Roman" w:hAnsi="Times New Roman" w:eastAsia="宋体"/>
                      <w:b w:val="0"/>
                      <w:bCs w:val="0"/>
                      <w:color w:val="auto"/>
                      <w:highlight w:val="none"/>
                      <w:lang w:val="en-US" w:eastAsia="zh-CN"/>
                    </w:rPr>
                    <w:t>3.加强环境安全培训、教育，提高环境安全意识。</w:t>
                  </w:r>
                </w:p>
                <w:p w14:paraId="71A1C4EB">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jc w:val="left"/>
                    <w:textAlignment w:val="auto"/>
                    <w:rPr>
                      <w:rFonts w:hint="eastAsia"/>
                      <w:b w:val="0"/>
                      <w:bCs w:val="0"/>
                      <w:color w:val="auto"/>
                      <w:highlight w:val="none"/>
                      <w:lang w:val="en-US" w:eastAsia="zh-CN"/>
                    </w:rPr>
                  </w:pPr>
                  <w:r>
                    <w:rPr>
                      <w:rFonts w:hint="eastAsia" w:ascii="Times New Roman" w:hAnsi="Times New Roman" w:eastAsia="宋体"/>
                      <w:b w:val="0"/>
                      <w:bCs w:val="0"/>
                      <w:color w:val="auto"/>
                      <w:highlight w:val="none"/>
                      <w:lang w:val="en-US" w:eastAsia="zh-CN"/>
                    </w:rPr>
                    <w:t>4</w:t>
                  </w:r>
                  <w:r>
                    <w:rPr>
                      <w:rFonts w:hint="eastAsia"/>
                      <w:b w:val="0"/>
                      <w:bCs w:val="0"/>
                      <w:color w:val="auto"/>
                      <w:highlight w:val="none"/>
                      <w:lang w:val="en-US" w:eastAsia="zh-CN"/>
                    </w:rPr>
                    <w:t>.</w:t>
                  </w:r>
                  <w:r>
                    <w:rPr>
                      <w:rFonts w:hint="eastAsia" w:ascii="Times New Roman" w:hAnsi="Times New Roman" w:eastAsia="宋体"/>
                      <w:b w:val="0"/>
                      <w:bCs w:val="0"/>
                      <w:color w:val="auto"/>
                      <w:highlight w:val="none"/>
                      <w:lang w:val="en-US" w:eastAsia="zh-CN"/>
                    </w:rPr>
                    <w:t>健全</w:t>
                  </w:r>
                  <w:r>
                    <w:rPr>
                      <w:rFonts w:hint="default" w:ascii="Times New Roman" w:hAnsi="Times New Roman" w:eastAsia="宋体"/>
                      <w:b w:val="0"/>
                      <w:bCs w:val="0"/>
                      <w:color w:val="auto"/>
                      <w:highlight w:val="none"/>
                      <w:lang w:val="en-US" w:eastAsia="zh-CN"/>
                    </w:rPr>
                    <w:t>安全管理制度</w:t>
                  </w:r>
                  <w:r>
                    <w:rPr>
                      <w:rFonts w:hint="eastAsia" w:ascii="Times New Roman" w:hAnsi="Times New Roman" w:eastAsia="宋体"/>
                      <w:b w:val="0"/>
                      <w:bCs w:val="0"/>
                      <w:color w:val="auto"/>
                      <w:highlight w:val="none"/>
                      <w:lang w:val="en-US" w:eastAsia="zh-CN"/>
                    </w:rPr>
                    <w:t>、</w:t>
                  </w:r>
                  <w:r>
                    <w:rPr>
                      <w:rFonts w:hint="default" w:ascii="Times New Roman" w:hAnsi="Times New Roman" w:eastAsia="宋体"/>
                      <w:b w:val="0"/>
                      <w:bCs w:val="0"/>
                      <w:color w:val="auto"/>
                      <w:highlight w:val="none"/>
                      <w:lang w:val="en-US" w:eastAsia="zh-CN"/>
                    </w:rPr>
                    <w:t>岗位责任制度</w:t>
                  </w:r>
                  <w:r>
                    <w:rPr>
                      <w:rFonts w:hint="eastAsia"/>
                      <w:b w:val="0"/>
                      <w:bCs w:val="0"/>
                      <w:color w:val="auto"/>
                      <w:highlight w:val="none"/>
                      <w:lang w:val="en-US" w:eastAsia="zh-CN"/>
                    </w:rPr>
                    <w:t>，明确各类人员的安全环境执照。</w:t>
                  </w:r>
                </w:p>
                <w:p w14:paraId="17FAAC92">
                  <w:pPr>
                    <w:pStyle w:val="58"/>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Times New Roman" w:hAnsi="Times New Roman" w:eastAsia="宋体" w:cs="Times New Roman"/>
                      <w:color w:val="auto"/>
                      <w:kern w:val="2"/>
                      <w:sz w:val="21"/>
                      <w:szCs w:val="24"/>
                      <w:lang w:val="en-US" w:eastAsia="zh-CN" w:bidi="ar-SA"/>
                    </w:rPr>
                  </w:pPr>
                  <w:r>
                    <w:rPr>
                      <w:rFonts w:hint="eastAsia"/>
                      <w:b w:val="0"/>
                      <w:bCs w:val="0"/>
                      <w:color w:val="auto"/>
                      <w:highlight w:val="none"/>
                      <w:lang w:val="en-US" w:eastAsia="zh-CN"/>
                    </w:rPr>
                    <w:t>5、建立</w:t>
                  </w:r>
                  <w:r>
                    <w:rPr>
                      <w:rFonts w:hint="eastAsia" w:ascii="Times New Roman" w:hAnsi="Times New Roman" w:eastAsia="宋体"/>
                      <w:b w:val="0"/>
                      <w:bCs w:val="0"/>
                      <w:color w:val="auto"/>
                      <w:highlight w:val="none"/>
                      <w:lang w:val="en-US" w:eastAsia="zh-CN"/>
                    </w:rPr>
                    <w:t>操作规程，</w:t>
                  </w:r>
                  <w:r>
                    <w:rPr>
                      <w:rFonts w:hint="eastAsia"/>
                      <w:b w:val="0"/>
                      <w:bCs w:val="0"/>
                      <w:color w:val="auto"/>
                      <w:highlight w:val="none"/>
                      <w:lang w:val="en-US" w:eastAsia="zh-CN"/>
                    </w:rPr>
                    <w:t>严格按照规程操作，避免操作事故的发生。</w:t>
                  </w:r>
                </w:p>
              </w:tc>
            </w:tr>
          </w:tbl>
          <w:p w14:paraId="02F0AD83">
            <w:pPr>
              <w:numPr>
                <w:ilvl w:val="0"/>
                <w:numId w:val="19"/>
              </w:numPr>
              <w:adjustRightInd w:val="0"/>
              <w:snapToGrid w:val="0"/>
              <w:spacing w:line="360" w:lineRule="auto"/>
              <w:rPr>
                <w:rFonts w:hint="default" w:ascii="Times New Roman" w:hAnsi="Times New Roman" w:eastAsia="宋体" w:cs="Times New Roman"/>
                <w:b/>
                <w:color w:val="auto"/>
                <w:spacing w:val="-4"/>
                <w:kern w:val="0"/>
                <w:sz w:val="24"/>
                <w:highlight w:val="none"/>
              </w:rPr>
            </w:pPr>
            <w:r>
              <w:rPr>
                <w:rFonts w:hint="default" w:ascii="Times New Roman" w:hAnsi="Times New Roman" w:eastAsia="宋体" w:cs="Times New Roman"/>
                <w:b/>
                <w:color w:val="auto"/>
                <w:spacing w:val="-4"/>
                <w:kern w:val="0"/>
                <w:sz w:val="24"/>
                <w:highlight w:val="none"/>
              </w:rPr>
              <w:t>环保投资</w:t>
            </w:r>
          </w:p>
          <w:p w14:paraId="6B949421">
            <w:pPr>
              <w:adjustRightInd w:val="0"/>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本项目总投资</w:t>
            </w:r>
            <w:r>
              <w:rPr>
                <w:rFonts w:hint="eastAsia" w:cs="Times New Roman"/>
                <w:color w:val="auto"/>
                <w:sz w:val="24"/>
                <w:highlight w:val="none"/>
                <w:lang w:val="en-US" w:eastAsia="zh-CN"/>
              </w:rPr>
              <w:t>3400</w:t>
            </w:r>
            <w:r>
              <w:rPr>
                <w:rFonts w:hint="default" w:ascii="Times New Roman" w:hAnsi="Times New Roman" w:eastAsia="宋体" w:cs="Times New Roman"/>
                <w:color w:val="auto"/>
                <w:sz w:val="24"/>
                <w:highlight w:val="none"/>
              </w:rPr>
              <w:t>万元，其中环保投资</w:t>
            </w:r>
            <w:r>
              <w:rPr>
                <w:rFonts w:hint="eastAsia" w:cs="Times New Roman"/>
                <w:color w:val="auto"/>
                <w:sz w:val="24"/>
                <w:highlight w:val="none"/>
                <w:lang w:val="en-US" w:eastAsia="zh-CN"/>
              </w:rPr>
              <w:t>30</w:t>
            </w:r>
            <w:r>
              <w:rPr>
                <w:rFonts w:hint="default" w:ascii="Times New Roman" w:hAnsi="Times New Roman" w:eastAsia="宋体" w:cs="Times New Roman"/>
                <w:color w:val="auto"/>
                <w:sz w:val="24"/>
                <w:highlight w:val="none"/>
              </w:rPr>
              <w:t>万元，占总投资</w:t>
            </w:r>
            <w:r>
              <w:rPr>
                <w:rFonts w:hint="eastAsia" w:cs="Times New Roman"/>
                <w:color w:val="auto"/>
                <w:sz w:val="24"/>
                <w:highlight w:val="none"/>
                <w:lang w:val="en-US" w:eastAsia="zh-CN"/>
              </w:rPr>
              <w:t>的1.47</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。环保投资清单见下表。</w:t>
            </w:r>
          </w:p>
          <w:p w14:paraId="1B3E36B8">
            <w:pPr>
              <w:numPr>
                <w:ilvl w:val="0"/>
                <w:numId w:val="21"/>
              </w:numPr>
              <w:adjustRightInd w:val="0"/>
              <w:spacing w:line="360" w:lineRule="auto"/>
              <w:ind w:left="425" w:leftChars="0" w:hanging="425" w:firstLineChars="0"/>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color w:val="auto"/>
                <w:sz w:val="24"/>
                <w:highlight w:val="none"/>
              </w:rPr>
              <w:t>环保</w:t>
            </w:r>
            <w:r>
              <w:rPr>
                <w:rFonts w:hint="default" w:ascii="Times New Roman" w:hAnsi="Times New Roman" w:eastAsia="宋体" w:cs="Times New Roman"/>
                <w:b/>
                <w:bCs/>
                <w:color w:val="auto"/>
                <w:sz w:val="24"/>
                <w:highlight w:val="none"/>
              </w:rPr>
              <w:t>设施及投资清单</w:t>
            </w:r>
          </w:p>
          <w:tbl>
            <w:tblPr>
              <w:tblStyle w:val="23"/>
              <w:tblW w:w="7618" w:type="dxa"/>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22"/>
              <w:gridCol w:w="1969"/>
              <w:gridCol w:w="2639"/>
              <w:gridCol w:w="2288"/>
            </w:tblGrid>
            <w:tr w14:paraId="57F2283B">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3" w:hRule="atLeast"/>
                <w:jc w:val="center"/>
              </w:trPr>
              <w:tc>
                <w:tcPr>
                  <w:tcW w:w="722" w:type="dxa"/>
                  <w:tcBorders>
                    <w:tl2br w:val="nil"/>
                    <w:tr2bl w:val="nil"/>
                  </w:tcBorders>
                  <w:vAlign w:val="center"/>
                </w:tcPr>
                <w:p w14:paraId="133759A1">
                  <w:pPr>
                    <w:snapToGrid w:val="0"/>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序号</w:t>
                  </w:r>
                </w:p>
              </w:tc>
              <w:tc>
                <w:tcPr>
                  <w:tcW w:w="1969" w:type="dxa"/>
                  <w:tcBorders>
                    <w:tl2br w:val="nil"/>
                    <w:tr2bl w:val="nil"/>
                  </w:tcBorders>
                  <w:vAlign w:val="center"/>
                </w:tcPr>
                <w:p w14:paraId="43753253">
                  <w:pPr>
                    <w:snapToGrid w:val="0"/>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项目</w:t>
                  </w:r>
                </w:p>
              </w:tc>
              <w:tc>
                <w:tcPr>
                  <w:tcW w:w="2639" w:type="dxa"/>
                  <w:tcBorders>
                    <w:tl2br w:val="nil"/>
                    <w:tr2bl w:val="nil"/>
                  </w:tcBorders>
                  <w:vAlign w:val="center"/>
                </w:tcPr>
                <w:p w14:paraId="51605AC8">
                  <w:pPr>
                    <w:snapToGrid w:val="0"/>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治理措施</w:t>
                  </w:r>
                </w:p>
              </w:tc>
              <w:tc>
                <w:tcPr>
                  <w:tcW w:w="2288" w:type="dxa"/>
                  <w:tcBorders>
                    <w:tl2br w:val="nil"/>
                    <w:tr2bl w:val="nil"/>
                  </w:tcBorders>
                  <w:vAlign w:val="center"/>
                </w:tcPr>
                <w:p w14:paraId="78EBE64E">
                  <w:pPr>
                    <w:snapToGrid w:val="0"/>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投资金额（万元）</w:t>
                  </w:r>
                </w:p>
              </w:tc>
            </w:tr>
            <w:tr w14:paraId="18AC4CFD">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2" w:hRule="atLeast"/>
                <w:jc w:val="center"/>
              </w:trPr>
              <w:tc>
                <w:tcPr>
                  <w:tcW w:w="722" w:type="dxa"/>
                  <w:tcBorders>
                    <w:tl2br w:val="nil"/>
                    <w:tr2bl w:val="nil"/>
                  </w:tcBorders>
                  <w:vAlign w:val="center"/>
                </w:tcPr>
                <w:p w14:paraId="4EE5C003">
                  <w:pPr>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w:t>
                  </w:r>
                </w:p>
              </w:tc>
              <w:tc>
                <w:tcPr>
                  <w:tcW w:w="1969" w:type="dxa"/>
                  <w:tcBorders>
                    <w:tl2br w:val="nil"/>
                    <w:tr2bl w:val="nil"/>
                  </w:tcBorders>
                  <w:vAlign w:val="center"/>
                </w:tcPr>
                <w:p w14:paraId="3DB1883F">
                  <w:pPr>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噪声污染防治</w:t>
                  </w:r>
                </w:p>
              </w:tc>
              <w:tc>
                <w:tcPr>
                  <w:tcW w:w="2639" w:type="dxa"/>
                  <w:tcBorders>
                    <w:tl2br w:val="nil"/>
                    <w:tr2bl w:val="nil"/>
                  </w:tcBorders>
                  <w:vAlign w:val="center"/>
                </w:tcPr>
                <w:p w14:paraId="4429FEBA">
                  <w:pPr>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基础减振</w:t>
                  </w:r>
                </w:p>
              </w:tc>
              <w:tc>
                <w:tcPr>
                  <w:tcW w:w="2288" w:type="dxa"/>
                  <w:tcBorders>
                    <w:tl2br w:val="nil"/>
                    <w:tr2bl w:val="nil"/>
                  </w:tcBorders>
                  <w:vAlign w:val="center"/>
                </w:tcPr>
                <w:p w14:paraId="78E081A2">
                  <w:pPr>
                    <w:snapToGrid w:val="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10</w:t>
                  </w:r>
                </w:p>
              </w:tc>
            </w:tr>
            <w:tr w14:paraId="59F7EAF3">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2" w:hRule="atLeast"/>
                <w:jc w:val="center"/>
              </w:trPr>
              <w:tc>
                <w:tcPr>
                  <w:tcW w:w="722" w:type="dxa"/>
                  <w:tcBorders>
                    <w:tl2br w:val="nil"/>
                    <w:tr2bl w:val="nil"/>
                  </w:tcBorders>
                  <w:shd w:val="clear" w:color="auto" w:fill="auto"/>
                  <w:vAlign w:val="center"/>
                </w:tcPr>
                <w:p w14:paraId="4513EEC8">
                  <w:pPr>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2</w:t>
                  </w:r>
                </w:p>
              </w:tc>
              <w:tc>
                <w:tcPr>
                  <w:tcW w:w="1969" w:type="dxa"/>
                  <w:tcBorders>
                    <w:tl2br w:val="nil"/>
                    <w:tr2bl w:val="nil"/>
                  </w:tcBorders>
                  <w:shd w:val="clear" w:color="auto" w:fill="auto"/>
                  <w:vAlign w:val="center"/>
                </w:tcPr>
                <w:p w14:paraId="3DF55EDC">
                  <w:pPr>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大气污染物防治</w:t>
                  </w:r>
                </w:p>
              </w:tc>
              <w:tc>
                <w:tcPr>
                  <w:tcW w:w="2639" w:type="dxa"/>
                  <w:tcBorders>
                    <w:tl2br w:val="nil"/>
                    <w:tr2bl w:val="nil"/>
                  </w:tcBorders>
                  <w:shd w:val="clear" w:color="auto" w:fill="auto"/>
                  <w:vAlign w:val="center"/>
                </w:tcPr>
                <w:p w14:paraId="492BBD60">
                  <w:pPr>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Cs w:val="21"/>
                      <w:highlight w:val="none"/>
                      <w:lang w:val="en-US" w:eastAsia="zh-CN"/>
                    </w:rPr>
                    <w:t>废气收集处理设施</w:t>
                  </w:r>
                </w:p>
              </w:tc>
              <w:tc>
                <w:tcPr>
                  <w:tcW w:w="2288" w:type="dxa"/>
                  <w:tcBorders>
                    <w:tl2br w:val="nil"/>
                    <w:tr2bl w:val="nil"/>
                  </w:tcBorders>
                  <w:shd w:val="clear" w:color="auto" w:fill="auto"/>
                  <w:vAlign w:val="center"/>
                </w:tcPr>
                <w:p w14:paraId="29D5DA99">
                  <w:pPr>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Cs w:val="21"/>
                      <w:highlight w:val="none"/>
                      <w:lang w:val="en-US" w:eastAsia="zh-CN"/>
                    </w:rPr>
                    <w:t>25</w:t>
                  </w:r>
                </w:p>
              </w:tc>
            </w:tr>
            <w:tr w14:paraId="13127626">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5" w:hRule="atLeast"/>
                <w:jc w:val="center"/>
              </w:trPr>
              <w:tc>
                <w:tcPr>
                  <w:tcW w:w="722" w:type="dxa"/>
                  <w:tcBorders>
                    <w:tl2br w:val="nil"/>
                    <w:tr2bl w:val="nil"/>
                  </w:tcBorders>
                  <w:shd w:val="clear" w:color="auto" w:fill="auto"/>
                  <w:vAlign w:val="center"/>
                </w:tcPr>
                <w:p w14:paraId="279B81A3">
                  <w:pPr>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3</w:t>
                  </w:r>
                </w:p>
              </w:tc>
              <w:tc>
                <w:tcPr>
                  <w:tcW w:w="1969" w:type="dxa"/>
                  <w:tcBorders>
                    <w:tl2br w:val="nil"/>
                    <w:tr2bl w:val="nil"/>
                  </w:tcBorders>
                  <w:shd w:val="clear" w:color="auto" w:fill="auto"/>
                  <w:vAlign w:val="center"/>
                </w:tcPr>
                <w:p w14:paraId="54644B84">
                  <w:pPr>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固体废物防治</w:t>
                  </w:r>
                </w:p>
              </w:tc>
              <w:tc>
                <w:tcPr>
                  <w:tcW w:w="2639" w:type="dxa"/>
                  <w:tcBorders>
                    <w:tl2br w:val="nil"/>
                    <w:tr2bl w:val="nil"/>
                  </w:tcBorders>
                  <w:shd w:val="clear" w:color="auto" w:fill="auto"/>
                  <w:vAlign w:val="center"/>
                </w:tcPr>
                <w:p w14:paraId="696C10D3">
                  <w:pPr>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规范的危险废物暂存间、一般固废间</w:t>
                  </w:r>
                </w:p>
              </w:tc>
              <w:tc>
                <w:tcPr>
                  <w:tcW w:w="2288" w:type="dxa"/>
                  <w:tcBorders>
                    <w:tl2br w:val="nil"/>
                    <w:tr2bl w:val="nil"/>
                  </w:tcBorders>
                  <w:shd w:val="clear" w:color="auto" w:fill="auto"/>
                  <w:vAlign w:val="center"/>
                </w:tcPr>
                <w:p w14:paraId="20853AD4">
                  <w:pPr>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Cs w:val="21"/>
                      <w:highlight w:val="none"/>
                      <w:lang w:val="en-US" w:eastAsia="zh-CN"/>
                    </w:rPr>
                    <w:t>5</w:t>
                  </w:r>
                </w:p>
              </w:tc>
            </w:tr>
            <w:tr w14:paraId="2E1EDC2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5" w:hRule="atLeast"/>
                <w:jc w:val="center"/>
              </w:trPr>
              <w:tc>
                <w:tcPr>
                  <w:tcW w:w="722" w:type="dxa"/>
                  <w:tcBorders>
                    <w:tl2br w:val="nil"/>
                    <w:tr2bl w:val="nil"/>
                  </w:tcBorders>
                  <w:shd w:val="clear" w:color="auto" w:fill="auto"/>
                  <w:vAlign w:val="center"/>
                </w:tcPr>
                <w:p w14:paraId="578660B2">
                  <w:pPr>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4</w:t>
                  </w:r>
                </w:p>
              </w:tc>
              <w:tc>
                <w:tcPr>
                  <w:tcW w:w="1969" w:type="dxa"/>
                  <w:tcBorders>
                    <w:tl2br w:val="nil"/>
                    <w:tr2bl w:val="nil"/>
                  </w:tcBorders>
                  <w:shd w:val="clear" w:color="auto" w:fill="auto"/>
                  <w:vAlign w:val="center"/>
                </w:tcPr>
                <w:p w14:paraId="0C19CC80">
                  <w:pPr>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Cs w:val="21"/>
                      <w:highlight w:val="none"/>
                      <w:lang w:val="en-US" w:eastAsia="zh-CN"/>
                    </w:rPr>
                    <w:t>环境应急防范</w:t>
                  </w:r>
                </w:p>
              </w:tc>
              <w:tc>
                <w:tcPr>
                  <w:tcW w:w="2639" w:type="dxa"/>
                  <w:tcBorders>
                    <w:tl2br w:val="nil"/>
                    <w:tr2bl w:val="nil"/>
                  </w:tcBorders>
                  <w:shd w:val="clear" w:color="auto" w:fill="auto"/>
                  <w:vAlign w:val="center"/>
                </w:tcPr>
                <w:p w14:paraId="2D1762CA">
                  <w:pPr>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Cs w:val="21"/>
                      <w:highlight w:val="none"/>
                      <w:lang w:val="en-US" w:eastAsia="zh-CN"/>
                    </w:rPr>
                    <w:t>应急预案、应急物资</w:t>
                  </w:r>
                </w:p>
              </w:tc>
              <w:tc>
                <w:tcPr>
                  <w:tcW w:w="2288" w:type="dxa"/>
                  <w:tcBorders>
                    <w:tl2br w:val="nil"/>
                    <w:tr2bl w:val="nil"/>
                  </w:tcBorders>
                  <w:shd w:val="clear" w:color="auto" w:fill="auto"/>
                  <w:vAlign w:val="center"/>
                </w:tcPr>
                <w:p w14:paraId="772933B0">
                  <w:pPr>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Cs w:val="21"/>
                      <w:highlight w:val="none"/>
                      <w:lang w:val="en-US" w:eastAsia="zh-CN"/>
                    </w:rPr>
                    <w:t>10</w:t>
                  </w:r>
                </w:p>
              </w:tc>
            </w:tr>
            <w:tr w14:paraId="0050DC35">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2691" w:type="dxa"/>
                  <w:gridSpan w:val="2"/>
                  <w:tcBorders>
                    <w:tl2br w:val="nil"/>
                    <w:tr2bl w:val="nil"/>
                  </w:tcBorders>
                  <w:vAlign w:val="center"/>
                </w:tcPr>
                <w:p w14:paraId="5D8BF5F0">
                  <w:pPr>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总计</w:t>
                  </w:r>
                </w:p>
              </w:tc>
              <w:tc>
                <w:tcPr>
                  <w:tcW w:w="2639" w:type="dxa"/>
                  <w:tcBorders>
                    <w:tl2br w:val="nil"/>
                    <w:tr2bl w:val="nil"/>
                  </w:tcBorders>
                  <w:vAlign w:val="center"/>
                </w:tcPr>
                <w:p w14:paraId="7BFA1528">
                  <w:pPr>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w:t>
                  </w:r>
                </w:p>
              </w:tc>
              <w:tc>
                <w:tcPr>
                  <w:tcW w:w="2288" w:type="dxa"/>
                  <w:tcBorders>
                    <w:tl2br w:val="nil"/>
                    <w:tr2bl w:val="nil"/>
                  </w:tcBorders>
                  <w:vAlign w:val="center"/>
                </w:tcPr>
                <w:p w14:paraId="59C2BD0D">
                  <w:pPr>
                    <w:snapToGrid w:val="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50</w:t>
                  </w:r>
                </w:p>
              </w:tc>
            </w:tr>
          </w:tbl>
          <w:p w14:paraId="1DA00567">
            <w:pPr>
              <w:widowControl/>
              <w:numPr>
                <w:ilvl w:val="0"/>
                <w:numId w:val="0"/>
              </w:numPr>
              <w:spacing w:line="360" w:lineRule="auto"/>
              <w:ind w:firstLine="480" w:firstLineChars="200"/>
              <w:jc w:val="left"/>
              <w:rPr>
                <w:rFonts w:hint="default" w:ascii="Times New Roman" w:hAnsi="Times New Roman" w:eastAsia="宋体" w:cs="Times New Roman"/>
                <w:color w:val="auto"/>
                <w:sz w:val="24"/>
                <w:highlight w:val="none"/>
                <w:lang w:val="en-US" w:eastAsia="zh-CN"/>
              </w:rPr>
            </w:pPr>
          </w:p>
        </w:tc>
      </w:tr>
    </w:tbl>
    <w:p w14:paraId="4AFAE51A">
      <w:pPr>
        <w:widowControl/>
        <w:jc w:val="left"/>
        <w:rPr>
          <w:rFonts w:hint="default" w:ascii="Times New Roman" w:hAnsi="Times New Roman" w:eastAsia="宋体" w:cs="Times New Roman"/>
          <w:color w:val="auto"/>
          <w:sz w:val="24"/>
          <w:szCs w:val="32"/>
          <w:highlight w:val="none"/>
        </w:rPr>
      </w:pPr>
      <w:r>
        <w:rPr>
          <w:rFonts w:hint="default" w:ascii="Times New Roman" w:hAnsi="Times New Roman" w:eastAsia="宋体" w:cs="Times New Roman"/>
          <w:color w:val="auto"/>
          <w:sz w:val="24"/>
          <w:szCs w:val="32"/>
          <w:highlight w:val="none"/>
        </w:rPr>
        <w:br w:type="page"/>
      </w:r>
    </w:p>
    <w:p w14:paraId="1633F30F">
      <w:pPr>
        <w:pStyle w:val="2"/>
        <w:jc w:val="center"/>
        <w:rPr>
          <w:rFonts w:hint="default" w:ascii="Times New Roman" w:hAnsi="Times New Roman" w:eastAsia="宋体" w:cs="Times New Roman"/>
          <w:b w:val="0"/>
          <w:bCs w:val="0"/>
          <w:color w:val="auto"/>
          <w:sz w:val="36"/>
          <w:szCs w:val="36"/>
          <w:highlight w:val="none"/>
        </w:rPr>
      </w:pPr>
      <w:r>
        <w:rPr>
          <w:rFonts w:hint="default" w:ascii="Times New Roman" w:hAnsi="Times New Roman" w:eastAsia="宋体" w:cs="Times New Roman"/>
          <w:b w:val="0"/>
          <w:bCs w:val="0"/>
          <w:color w:val="auto"/>
          <w:sz w:val="36"/>
          <w:szCs w:val="36"/>
          <w:highlight w:val="none"/>
        </w:rPr>
        <w:t>五、</w:t>
      </w:r>
      <w:bookmarkStart w:id="4" w:name="_Hlk54167917"/>
      <w:r>
        <w:rPr>
          <w:rFonts w:hint="default" w:ascii="Times New Roman" w:hAnsi="Times New Roman" w:eastAsia="宋体" w:cs="Times New Roman"/>
          <w:b w:val="0"/>
          <w:bCs w:val="0"/>
          <w:color w:val="auto"/>
          <w:sz w:val="36"/>
          <w:szCs w:val="36"/>
          <w:highlight w:val="none"/>
        </w:rPr>
        <w:t>环境保护措施监督检查清单</w:t>
      </w:r>
      <w:bookmarkEnd w:id="4"/>
    </w:p>
    <w:tbl>
      <w:tblPr>
        <w:tblStyle w:val="23"/>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
      <w:tblGrid>
        <w:gridCol w:w="1229"/>
        <w:gridCol w:w="1419"/>
        <w:gridCol w:w="2080"/>
        <w:gridCol w:w="2310"/>
        <w:gridCol w:w="1762"/>
      </w:tblGrid>
      <w:tr w14:paraId="1D40B0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13" w:hRule="atLeast"/>
          <w:jc w:val="center"/>
        </w:trPr>
        <w:tc>
          <w:tcPr>
            <w:tcW w:w="1229" w:type="dxa"/>
            <w:tcBorders>
              <w:tl2br w:val="single" w:color="auto" w:sz="4" w:space="0"/>
            </w:tcBorders>
          </w:tcPr>
          <w:p w14:paraId="40A66925">
            <w:pPr>
              <w:adjustRightInd w:val="0"/>
              <w:snapToGrid w:val="0"/>
              <w:ind w:firstLine="482" w:firstLineChars="200"/>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内容</w:t>
            </w:r>
          </w:p>
          <w:p w14:paraId="18C88CF6">
            <w:pPr>
              <w:adjustRightInd w:val="0"/>
              <w:snapToGrid w:val="0"/>
              <w:rPr>
                <w:rFonts w:hint="default" w:ascii="Times New Roman" w:hAnsi="Times New Roman" w:eastAsia="宋体" w:cs="Times New Roman"/>
                <w:b/>
                <w:color w:val="auto"/>
                <w:sz w:val="24"/>
                <w:highlight w:val="none"/>
              </w:rPr>
            </w:pPr>
          </w:p>
          <w:p w14:paraId="4B1C8C87">
            <w:pPr>
              <w:adjustRightInd w:val="0"/>
              <w:snapToGrid w:val="0"/>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要素</w:t>
            </w:r>
          </w:p>
        </w:tc>
        <w:tc>
          <w:tcPr>
            <w:tcW w:w="1419" w:type="dxa"/>
            <w:vAlign w:val="center"/>
          </w:tcPr>
          <w:p w14:paraId="2147F9F3">
            <w:pPr>
              <w:adjustRightInd w:val="0"/>
              <w:snapToGrid w:val="0"/>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排放口(编号、名称)/污染源</w:t>
            </w:r>
          </w:p>
        </w:tc>
        <w:tc>
          <w:tcPr>
            <w:tcW w:w="2080" w:type="dxa"/>
            <w:vAlign w:val="center"/>
          </w:tcPr>
          <w:p w14:paraId="614CB020">
            <w:pPr>
              <w:adjustRightInd w:val="0"/>
              <w:snapToGrid w:val="0"/>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污染物项目</w:t>
            </w:r>
          </w:p>
        </w:tc>
        <w:tc>
          <w:tcPr>
            <w:tcW w:w="2310" w:type="dxa"/>
            <w:vAlign w:val="center"/>
          </w:tcPr>
          <w:p w14:paraId="560D9517">
            <w:pPr>
              <w:adjustRightInd w:val="0"/>
              <w:snapToGrid w:val="0"/>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环境保护措施</w:t>
            </w:r>
          </w:p>
        </w:tc>
        <w:tc>
          <w:tcPr>
            <w:tcW w:w="1762" w:type="dxa"/>
            <w:vAlign w:val="center"/>
          </w:tcPr>
          <w:p w14:paraId="621D688C">
            <w:pPr>
              <w:adjustRightInd w:val="0"/>
              <w:snapToGrid w:val="0"/>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执行标准</w:t>
            </w:r>
          </w:p>
        </w:tc>
      </w:tr>
      <w:tr w14:paraId="52E974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1229" w:type="dxa"/>
            <w:vAlign w:val="center"/>
          </w:tcPr>
          <w:p w14:paraId="421C7C61">
            <w:pPr>
              <w:adjustRightInd w:val="0"/>
              <w:snapToGrid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大气环境</w:t>
            </w:r>
          </w:p>
        </w:tc>
        <w:tc>
          <w:tcPr>
            <w:tcW w:w="1419" w:type="dxa"/>
            <w:vAlign w:val="center"/>
          </w:tcPr>
          <w:p w14:paraId="78D7A159">
            <w:pPr>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无组织</w:t>
            </w:r>
          </w:p>
        </w:tc>
        <w:tc>
          <w:tcPr>
            <w:tcW w:w="2080" w:type="dxa"/>
            <w:shd w:val="clear" w:color="auto" w:fill="auto"/>
            <w:vAlign w:val="center"/>
          </w:tcPr>
          <w:p w14:paraId="0DB54B20">
            <w:pPr>
              <w:rPr>
                <w:rFonts w:hint="default" w:ascii="Times New Roman" w:hAnsi="Times New Roman" w:eastAsia="宋体" w:cs="Times New Roman"/>
                <w:color w:val="auto"/>
                <w:kern w:val="0"/>
                <w:sz w:val="21"/>
                <w:szCs w:val="21"/>
                <w:lang w:val="en-US" w:eastAsia="zh-CN" w:bidi="ar"/>
              </w:rPr>
            </w:pPr>
            <w:r>
              <w:rPr>
                <w:rFonts w:hint="eastAsia" w:cs="Times New Roman"/>
                <w:color w:val="auto"/>
                <w:kern w:val="0"/>
                <w:sz w:val="21"/>
                <w:szCs w:val="21"/>
                <w:highlight w:val="none"/>
                <w:vertAlign w:val="baseline"/>
                <w:lang w:val="en-US" w:eastAsia="zh-CN"/>
              </w:rPr>
              <w:t>非甲烷总烃、颗粒物</w:t>
            </w:r>
          </w:p>
        </w:tc>
        <w:tc>
          <w:tcPr>
            <w:tcW w:w="2310" w:type="dxa"/>
            <w:vAlign w:val="center"/>
          </w:tcPr>
          <w:p w14:paraId="30EF6325">
            <w:pPr>
              <w:rPr>
                <w:rFonts w:hint="default" w:ascii="Times New Roman" w:hAnsi="Times New Roman" w:eastAsia="宋体" w:cs="Times New Roman"/>
                <w:color w:val="auto"/>
                <w:szCs w:val="21"/>
                <w:highlight w:val="none"/>
                <w:lang w:val="en-US"/>
              </w:rPr>
            </w:pPr>
            <w:r>
              <w:rPr>
                <w:rFonts w:hint="eastAsia" w:cs="Times New Roman"/>
                <w:color w:val="auto"/>
                <w:kern w:val="0"/>
                <w:sz w:val="21"/>
                <w:szCs w:val="21"/>
                <w:lang w:val="en-US" w:eastAsia="zh-CN" w:bidi="ar"/>
              </w:rPr>
              <w:t>喷雾干燥产生的废气经设备自带的旋风+布袋收集；正负极浆料制浆、涂布干燥产生的挥发性有机物经收集后由转轮式NMP系统回收处理。</w:t>
            </w:r>
          </w:p>
        </w:tc>
        <w:tc>
          <w:tcPr>
            <w:tcW w:w="1762" w:type="dxa"/>
            <w:vAlign w:val="center"/>
          </w:tcPr>
          <w:p w14:paraId="19DD1E8B">
            <w:pPr>
              <w:keepNext w:val="0"/>
              <w:keepLines w:val="0"/>
              <w:pageBreakBefore w:val="0"/>
              <w:widowControl w:val="0"/>
              <w:kinsoku/>
              <w:wordWrap w:val="0"/>
              <w:overflowPunct/>
              <w:topLinePunct w:val="0"/>
              <w:autoSpaceDE/>
              <w:autoSpaceDN/>
              <w:bidi w:val="0"/>
              <w:adjustRightInd w:val="0"/>
              <w:snapToGrid w:val="0"/>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zh-CN"/>
              </w:rPr>
              <w:t>北京市《大气污染物综合排放标准》（DB11/501-2017）中Ⅱ时段相应限值要求。</w:t>
            </w:r>
          </w:p>
        </w:tc>
      </w:tr>
      <w:tr w14:paraId="799105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1982" w:hRule="atLeast"/>
          <w:jc w:val="center"/>
        </w:trPr>
        <w:tc>
          <w:tcPr>
            <w:tcW w:w="1229" w:type="dxa"/>
            <w:shd w:val="clear" w:color="auto" w:fill="auto"/>
            <w:vAlign w:val="center"/>
          </w:tcPr>
          <w:p w14:paraId="6DA8E225">
            <w:pPr>
              <w:adjustRightInd w:val="0"/>
              <w:snapToGrid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地表水</w:t>
            </w:r>
          </w:p>
          <w:p w14:paraId="7F6E6DBA">
            <w:pPr>
              <w:adjustRightInd w:val="0"/>
              <w:snapToGrid w:val="0"/>
              <w:jc w:val="center"/>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sz w:val="24"/>
                <w:highlight w:val="none"/>
              </w:rPr>
              <w:t>环境</w:t>
            </w:r>
          </w:p>
        </w:tc>
        <w:tc>
          <w:tcPr>
            <w:tcW w:w="1419" w:type="dxa"/>
            <w:shd w:val="clear" w:color="auto" w:fill="auto"/>
            <w:vAlign w:val="center"/>
          </w:tcPr>
          <w:p w14:paraId="24275F7D">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DW001</w:t>
            </w:r>
          </w:p>
        </w:tc>
        <w:tc>
          <w:tcPr>
            <w:tcW w:w="2080" w:type="dxa"/>
            <w:shd w:val="clear" w:color="auto" w:fill="auto"/>
            <w:vAlign w:val="center"/>
          </w:tcPr>
          <w:p w14:paraId="476680AD">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eastAsia="zh-CN"/>
              </w:rPr>
              <w:t>pH</w:t>
            </w:r>
            <w:r>
              <w:rPr>
                <w:rFonts w:hint="default" w:ascii="Times New Roman" w:hAnsi="Times New Roman" w:eastAsia="宋体" w:cs="Times New Roman"/>
                <w:color w:val="auto"/>
                <w:szCs w:val="21"/>
                <w:highlight w:val="none"/>
              </w:rPr>
              <w:t>、COD</w:t>
            </w:r>
            <w:r>
              <w:rPr>
                <w:rFonts w:hint="default" w:ascii="Times New Roman" w:hAnsi="Times New Roman" w:eastAsia="宋体" w:cs="Times New Roman"/>
                <w:color w:val="auto"/>
                <w:szCs w:val="21"/>
                <w:highlight w:val="none"/>
                <w:vertAlign w:val="subscript"/>
              </w:rPr>
              <w:t>Cr</w:t>
            </w:r>
            <w:r>
              <w:rPr>
                <w:rFonts w:hint="default" w:ascii="Times New Roman" w:hAnsi="Times New Roman" w:eastAsia="宋体" w:cs="Times New Roman"/>
                <w:color w:val="auto"/>
                <w:szCs w:val="21"/>
                <w:highlight w:val="none"/>
              </w:rPr>
              <w:t>、</w:t>
            </w:r>
          </w:p>
          <w:p w14:paraId="451953AF">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BOD</w:t>
            </w:r>
            <w:r>
              <w:rPr>
                <w:rFonts w:hint="default" w:ascii="Times New Roman" w:hAnsi="Times New Roman" w:eastAsia="宋体" w:cs="Times New Roman"/>
                <w:color w:val="auto"/>
                <w:szCs w:val="21"/>
                <w:highlight w:val="none"/>
                <w:vertAlign w:val="subscript"/>
              </w:rPr>
              <w:t>5</w:t>
            </w:r>
            <w:r>
              <w:rPr>
                <w:rFonts w:hint="default" w:ascii="Times New Roman" w:hAnsi="Times New Roman" w:eastAsia="宋体" w:cs="Times New Roman"/>
                <w:color w:val="auto"/>
                <w:szCs w:val="21"/>
                <w:highlight w:val="none"/>
              </w:rPr>
              <w:t>、SS、氨氮</w:t>
            </w:r>
            <w:r>
              <w:rPr>
                <w:rFonts w:hint="eastAsia" w:cs="Times New Roman"/>
                <w:color w:val="auto"/>
                <w:szCs w:val="21"/>
                <w:highlight w:val="none"/>
                <w:lang w:eastAsia="zh-CN"/>
              </w:rPr>
              <w:t>、</w:t>
            </w:r>
            <w:r>
              <w:rPr>
                <w:rFonts w:hint="eastAsia" w:cs="Times New Roman"/>
                <w:color w:val="auto"/>
                <w:szCs w:val="21"/>
                <w:highlight w:val="none"/>
                <w:lang w:val="en-US" w:eastAsia="zh-CN"/>
              </w:rPr>
              <w:t>可溶性固体总量</w:t>
            </w:r>
          </w:p>
        </w:tc>
        <w:tc>
          <w:tcPr>
            <w:tcW w:w="2310" w:type="dxa"/>
            <w:shd w:val="clear" w:color="auto" w:fill="auto"/>
            <w:vAlign w:val="center"/>
          </w:tcPr>
          <w:p w14:paraId="31FCBA6A">
            <w:pPr>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设备容器第二次清洗废水、</w:t>
            </w:r>
            <w:r>
              <w:rPr>
                <w:rFonts w:hint="eastAsia" w:ascii="Times New Roman" w:hAnsi="Times New Roman" w:eastAsia="宋体" w:cs="Times New Roman"/>
                <w:color w:val="auto"/>
                <w:szCs w:val="21"/>
                <w:highlight w:val="none"/>
                <w:lang w:val="en-US" w:eastAsia="zh-CN"/>
              </w:rPr>
              <w:t>生活污水一起进</w:t>
            </w:r>
            <w:r>
              <w:rPr>
                <w:rFonts w:hint="eastAsia" w:cs="Times New Roman"/>
                <w:color w:val="auto"/>
                <w:szCs w:val="21"/>
                <w:highlight w:val="none"/>
                <w:lang w:val="en-US" w:eastAsia="zh-CN"/>
              </w:rPr>
              <w:t>化粪池</w:t>
            </w:r>
            <w:r>
              <w:rPr>
                <w:rFonts w:hint="eastAsia" w:ascii="Times New Roman" w:hAnsi="Times New Roman" w:eastAsia="宋体" w:cs="Times New Roman"/>
                <w:color w:val="auto"/>
                <w:szCs w:val="21"/>
                <w:highlight w:val="none"/>
                <w:lang w:val="en-US" w:eastAsia="zh-CN"/>
              </w:rPr>
              <w:t>，最后经市政管网排入</w:t>
            </w:r>
            <w:r>
              <w:rPr>
                <w:rFonts w:hint="eastAsia" w:cs="Times New Roman"/>
                <w:color w:val="auto"/>
                <w:szCs w:val="21"/>
                <w:highlight w:val="none"/>
                <w:lang w:eastAsia="zh-CN"/>
              </w:rPr>
              <w:t>高碑店再生水厂</w:t>
            </w:r>
            <w:r>
              <w:rPr>
                <w:rFonts w:hint="eastAsia" w:ascii="Times New Roman" w:hAnsi="Times New Roman" w:eastAsia="宋体" w:cs="Times New Roman"/>
                <w:color w:val="auto"/>
                <w:szCs w:val="21"/>
                <w:highlight w:val="none"/>
                <w:lang w:eastAsia="zh-CN"/>
              </w:rPr>
              <w:t>。</w:t>
            </w:r>
          </w:p>
        </w:tc>
        <w:tc>
          <w:tcPr>
            <w:tcW w:w="1762" w:type="dxa"/>
            <w:shd w:val="clear" w:color="auto" w:fill="auto"/>
            <w:vAlign w:val="center"/>
          </w:tcPr>
          <w:p w14:paraId="7DFF8898">
            <w:pPr>
              <w:keepNext w:val="0"/>
              <w:keepLines w:val="0"/>
              <w:pageBreakBefore w:val="0"/>
              <w:widowControl w:val="0"/>
              <w:kinsoku/>
              <w:wordWrap w:val="0"/>
              <w:overflowPunct/>
              <w:topLinePunct w:val="0"/>
              <w:autoSpaceDE/>
              <w:autoSpaceDN/>
              <w:bidi w:val="0"/>
              <w:adjustRightInd w:val="0"/>
              <w:snapToGrid w:val="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北京市《水污染物综合排放标准》（DB11/307-2013）</w:t>
            </w:r>
            <w:r>
              <w:rPr>
                <w:rFonts w:hint="eastAsia" w:cs="Times New Roman"/>
                <w:color w:val="auto"/>
                <w:szCs w:val="21"/>
                <w:highlight w:val="none"/>
                <w:lang w:eastAsia="zh-CN"/>
              </w:rPr>
              <w:t>“</w:t>
            </w:r>
            <w:r>
              <w:rPr>
                <w:rFonts w:hint="default" w:ascii="Times New Roman" w:hAnsi="Times New Roman" w:eastAsia="宋体" w:cs="Times New Roman"/>
                <w:color w:val="auto"/>
                <w:szCs w:val="21"/>
                <w:highlight w:val="none"/>
              </w:rPr>
              <w:t>表3排入公共污水处理系统的水污染物排放限值</w:t>
            </w:r>
            <w:r>
              <w:rPr>
                <w:rFonts w:hint="eastAsia" w:cs="Times New Roman"/>
                <w:color w:val="auto"/>
                <w:szCs w:val="21"/>
                <w:highlight w:val="none"/>
                <w:lang w:eastAsia="zh-CN"/>
              </w:rPr>
              <w:t>”</w:t>
            </w:r>
          </w:p>
        </w:tc>
      </w:tr>
      <w:tr w14:paraId="4B7823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25" w:hRule="atLeast"/>
          <w:jc w:val="center"/>
        </w:trPr>
        <w:tc>
          <w:tcPr>
            <w:tcW w:w="1229" w:type="dxa"/>
            <w:vAlign w:val="center"/>
          </w:tcPr>
          <w:p w14:paraId="6129AFBF">
            <w:pPr>
              <w:adjustRightInd w:val="0"/>
              <w:snapToGrid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声环境</w:t>
            </w:r>
          </w:p>
        </w:tc>
        <w:tc>
          <w:tcPr>
            <w:tcW w:w="1419" w:type="dxa"/>
            <w:vAlign w:val="center"/>
          </w:tcPr>
          <w:p w14:paraId="53D9FAB2">
            <w:pPr>
              <w:adjustRightInd w:val="0"/>
              <w:snapToGrid w:val="0"/>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厂界噪声</w:t>
            </w:r>
          </w:p>
        </w:tc>
        <w:tc>
          <w:tcPr>
            <w:tcW w:w="2080" w:type="dxa"/>
            <w:vAlign w:val="center"/>
          </w:tcPr>
          <w:p w14:paraId="451D7B4F">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等效连续A声级</w:t>
            </w:r>
          </w:p>
        </w:tc>
        <w:tc>
          <w:tcPr>
            <w:tcW w:w="2310" w:type="dxa"/>
            <w:vAlign w:val="center"/>
          </w:tcPr>
          <w:p w14:paraId="17104E75">
            <w:pPr>
              <w:adjustRightInd w:val="0"/>
              <w:snapToGrid w:val="0"/>
              <w:jc w:val="center"/>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rPr>
              <w:t>低噪声设备</w:t>
            </w:r>
            <w:r>
              <w:rPr>
                <w:rFonts w:hint="default"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lang w:val="en-US" w:eastAsia="zh-CN"/>
              </w:rPr>
              <w:t>基础减震、</w:t>
            </w:r>
            <w:r>
              <w:rPr>
                <w:rFonts w:hint="default" w:ascii="Times New Roman" w:hAnsi="Times New Roman" w:eastAsia="宋体" w:cs="Times New Roman"/>
                <w:color w:val="auto"/>
                <w:szCs w:val="21"/>
                <w:highlight w:val="none"/>
              </w:rPr>
              <w:t>墙体隔音</w:t>
            </w:r>
            <w:r>
              <w:rPr>
                <w:rFonts w:hint="default" w:ascii="Times New Roman" w:hAnsi="Times New Roman" w:eastAsia="宋体" w:cs="Times New Roman"/>
                <w:color w:val="auto"/>
                <w:szCs w:val="21"/>
                <w:highlight w:val="none"/>
                <w:lang w:eastAsia="zh-CN"/>
              </w:rPr>
              <w:t>。</w:t>
            </w:r>
          </w:p>
        </w:tc>
        <w:tc>
          <w:tcPr>
            <w:tcW w:w="1762" w:type="dxa"/>
            <w:vAlign w:val="center"/>
          </w:tcPr>
          <w:p w14:paraId="679EA04A">
            <w:pPr>
              <w:keepNext w:val="0"/>
              <w:keepLines w:val="0"/>
              <w:pageBreakBefore w:val="0"/>
              <w:widowControl w:val="0"/>
              <w:kinsoku/>
              <w:wordWrap w:val="0"/>
              <w:overflowPunct/>
              <w:topLinePunct/>
              <w:autoSpaceDE/>
              <w:autoSpaceDN/>
              <w:bidi w:val="0"/>
              <w:adjustRightInd w:val="0"/>
              <w:snapToGrid w:val="0"/>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《工业企业厂界环境噪声排放标准》（GB12348-2008）</w:t>
            </w:r>
            <w:r>
              <w:rPr>
                <w:rFonts w:hint="eastAsia" w:cs="Times New Roman"/>
                <w:color w:val="auto"/>
                <w:szCs w:val="21"/>
                <w:highlight w:val="none"/>
                <w:lang w:val="en-US" w:eastAsia="zh-CN"/>
              </w:rPr>
              <w:t>1</w:t>
            </w:r>
            <w:r>
              <w:rPr>
                <w:rFonts w:hint="default" w:ascii="Times New Roman" w:hAnsi="Times New Roman" w:eastAsia="宋体" w:cs="Times New Roman"/>
                <w:color w:val="auto"/>
                <w:szCs w:val="21"/>
                <w:highlight w:val="none"/>
                <w:lang w:val="en-US" w:eastAsia="zh-CN"/>
              </w:rPr>
              <w:t>类</w:t>
            </w:r>
            <w:r>
              <w:rPr>
                <w:rFonts w:hint="default" w:ascii="Times New Roman" w:hAnsi="Times New Roman" w:eastAsia="宋体" w:cs="Times New Roman"/>
                <w:color w:val="auto"/>
                <w:szCs w:val="21"/>
                <w:highlight w:val="none"/>
              </w:rPr>
              <w:t>标准</w:t>
            </w:r>
          </w:p>
        </w:tc>
      </w:tr>
      <w:tr w14:paraId="7A30A0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219" w:hRule="atLeast"/>
          <w:jc w:val="center"/>
        </w:trPr>
        <w:tc>
          <w:tcPr>
            <w:tcW w:w="1229" w:type="dxa"/>
            <w:vAlign w:val="center"/>
          </w:tcPr>
          <w:p w14:paraId="5AE97B10">
            <w:pPr>
              <w:adjustRightInd w:val="0"/>
              <w:snapToGrid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电磁辐射</w:t>
            </w:r>
          </w:p>
        </w:tc>
        <w:tc>
          <w:tcPr>
            <w:tcW w:w="1419" w:type="dxa"/>
            <w:vAlign w:val="center"/>
          </w:tcPr>
          <w:p w14:paraId="4A23043B">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w:t>
            </w:r>
          </w:p>
        </w:tc>
        <w:tc>
          <w:tcPr>
            <w:tcW w:w="2080" w:type="dxa"/>
            <w:vAlign w:val="center"/>
          </w:tcPr>
          <w:p w14:paraId="3C662918">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w:t>
            </w:r>
          </w:p>
        </w:tc>
        <w:tc>
          <w:tcPr>
            <w:tcW w:w="2310" w:type="dxa"/>
            <w:vAlign w:val="center"/>
          </w:tcPr>
          <w:p w14:paraId="36435982">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w:t>
            </w:r>
          </w:p>
        </w:tc>
        <w:tc>
          <w:tcPr>
            <w:tcW w:w="1762" w:type="dxa"/>
            <w:vAlign w:val="center"/>
          </w:tcPr>
          <w:p w14:paraId="50CD9742">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w:t>
            </w:r>
          </w:p>
        </w:tc>
      </w:tr>
      <w:tr w14:paraId="28AD82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42" w:hRule="atLeast"/>
          <w:jc w:val="center"/>
        </w:trPr>
        <w:tc>
          <w:tcPr>
            <w:tcW w:w="1229" w:type="dxa"/>
            <w:vAlign w:val="center"/>
          </w:tcPr>
          <w:p w14:paraId="3682CEAA">
            <w:pPr>
              <w:adjustRightInd w:val="0"/>
              <w:snapToGrid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固体废物</w:t>
            </w:r>
          </w:p>
        </w:tc>
        <w:tc>
          <w:tcPr>
            <w:tcW w:w="7571" w:type="dxa"/>
            <w:gridSpan w:val="4"/>
            <w:vAlign w:val="center"/>
          </w:tcPr>
          <w:p w14:paraId="3E11427F">
            <w:pPr>
              <w:snapToGrid w:val="0"/>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项目产生的一般工业固体废物统一收集后交由物资</w:t>
            </w:r>
            <w:r>
              <w:rPr>
                <w:rFonts w:hint="eastAsia" w:cs="Times New Roman"/>
                <w:color w:val="auto"/>
                <w:sz w:val="24"/>
                <w:highlight w:val="none"/>
                <w:lang w:val="en-US" w:eastAsia="zh-CN"/>
              </w:rPr>
              <w:t>回收</w:t>
            </w:r>
            <w:r>
              <w:rPr>
                <w:rFonts w:hint="default" w:ascii="Times New Roman" w:hAnsi="Times New Roman" w:eastAsia="宋体" w:cs="Times New Roman"/>
                <w:color w:val="auto"/>
                <w:sz w:val="24"/>
                <w:highlight w:val="none"/>
                <w:lang w:val="en-US" w:eastAsia="zh-CN"/>
              </w:rPr>
              <w:t>部门回收再利用；危险废物统一收集后暂存于危险废物暂存间，定期交由</w:t>
            </w:r>
            <w:r>
              <w:rPr>
                <w:rFonts w:hint="eastAsia" w:cs="Times New Roman"/>
                <w:color w:val="auto"/>
                <w:sz w:val="24"/>
                <w:highlight w:val="none"/>
                <w:lang w:val="en-US" w:eastAsia="zh-CN"/>
              </w:rPr>
              <w:t>资质单位</w:t>
            </w:r>
            <w:r>
              <w:rPr>
                <w:rFonts w:hint="default" w:ascii="Times New Roman" w:hAnsi="Times New Roman" w:eastAsia="宋体" w:cs="Times New Roman"/>
                <w:color w:val="auto"/>
                <w:sz w:val="24"/>
                <w:highlight w:val="none"/>
                <w:lang w:val="en-US" w:eastAsia="zh-CN"/>
              </w:rPr>
              <w:t>处置</w:t>
            </w:r>
            <w:r>
              <w:rPr>
                <w:rFonts w:hint="eastAsia"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生活垃圾统一收集后交环卫部门定期清运。</w:t>
            </w:r>
          </w:p>
          <w:p w14:paraId="3A9B93B3">
            <w:pPr>
              <w:snapToGrid w:val="0"/>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生活垃圾处理执行《中华人民共和国固体废物污染环境防治法》（2020年版）及《北京市生活垃圾管理条例》（2020年5月1日起施行，2020年9月25日第二次修正）中的有关规定。</w:t>
            </w:r>
          </w:p>
          <w:p w14:paraId="7D7E1D01">
            <w:pPr>
              <w:snapToGrid w:val="0"/>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一般工业固体废物处置执行《中华人民共和国固体废物污染环境防治法》（2020年9月1日起施行）、《一般工业固体废物贮存和填埋污染控制标准》（GB18599-2020）中的有关规定。</w:t>
            </w:r>
          </w:p>
          <w:p w14:paraId="6A2BAD8A">
            <w:pPr>
              <w:snapToGrid w:val="0"/>
              <w:spacing w:line="360" w:lineRule="auto"/>
              <w:ind w:firstLine="480" w:firstLineChars="200"/>
              <w:rPr>
                <w:rFonts w:hint="default" w:ascii="Times New Roman" w:hAnsi="Times New Roman" w:eastAsia="宋体" w:cs="Times New Roman"/>
                <w:color w:val="auto"/>
                <w:szCs w:val="21"/>
                <w:highlight w:val="none"/>
              </w:rPr>
            </w:pPr>
            <w:r>
              <w:rPr>
                <w:rFonts w:hint="default" w:ascii="Times New Roman" w:hAnsi="Times New Roman" w:eastAsia="宋体" w:cs="Times New Roman"/>
                <w:bCs/>
                <w:color w:val="auto"/>
                <w:sz w:val="24"/>
                <w:highlight w:val="none"/>
              </w:rPr>
              <w:t>危险废物收集、储存、转运执行《北京市危险废物污染环境防治条例》、（2020年9月1日实施）、《危险废物收集贮存运输技术规范》（HJ2025-2012）、《危险废物贮存污染控制标准》（GB18597-2023）、《危险废物污染防治技术政策》（环发[2021]199号）和《危险废物转移管理办法》（2022年1月1日起施行）、《实验室危险废物污染防治技术规范》（DB11/T1368—2016）中的有关规定。</w:t>
            </w:r>
          </w:p>
        </w:tc>
      </w:tr>
      <w:tr w14:paraId="014B44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1229" w:type="dxa"/>
            <w:vAlign w:val="center"/>
          </w:tcPr>
          <w:p w14:paraId="238147AD">
            <w:pPr>
              <w:adjustRightInd w:val="0"/>
              <w:snapToGrid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土壤及地下水污染防治措施</w:t>
            </w:r>
          </w:p>
        </w:tc>
        <w:tc>
          <w:tcPr>
            <w:tcW w:w="7571" w:type="dxa"/>
            <w:gridSpan w:val="4"/>
            <w:vAlign w:val="center"/>
          </w:tcPr>
          <w:p w14:paraId="31A77BF5">
            <w:pPr>
              <w:snapToGrid w:val="0"/>
              <w:spacing w:line="360" w:lineRule="auto"/>
              <w:ind w:firstLine="480" w:firstLineChars="200"/>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 w:val="24"/>
                <w:highlight w:val="none"/>
                <w:lang w:val="en-US" w:eastAsia="zh-CN"/>
              </w:rPr>
              <w:t>本项目防渗分区划分为重点防渗区、一般防渗区。危险废物暂存间、</w:t>
            </w:r>
            <w:r>
              <w:rPr>
                <w:rFonts w:hint="eastAsia" w:cs="Times New Roman"/>
                <w:color w:val="auto"/>
                <w:sz w:val="24"/>
                <w:highlight w:val="none"/>
                <w:lang w:val="en-US" w:eastAsia="zh-CN"/>
              </w:rPr>
              <w:t>配料间</w:t>
            </w:r>
            <w:r>
              <w:rPr>
                <w:rFonts w:hint="default" w:ascii="Times New Roman" w:hAnsi="Times New Roman" w:eastAsia="宋体" w:cs="Times New Roman"/>
                <w:color w:val="auto"/>
                <w:sz w:val="24"/>
                <w:highlight w:val="none"/>
                <w:lang w:val="en-US" w:eastAsia="zh-CN"/>
              </w:rPr>
              <w:t>为重点防渗区，危险废物暂存间地面与裙脚采取表面防渗措施，使用2mm厚高密度聚乙烯膜或其他防渗材料（渗透系数不大于10</w:t>
            </w:r>
            <w:r>
              <w:rPr>
                <w:rFonts w:hint="default" w:ascii="Times New Roman" w:hAnsi="Times New Roman" w:eastAsia="宋体" w:cs="Times New Roman"/>
                <w:color w:val="auto"/>
                <w:sz w:val="24"/>
                <w:highlight w:val="none"/>
                <w:vertAlign w:val="superscript"/>
                <w:lang w:val="en-US" w:eastAsia="zh-CN"/>
              </w:rPr>
              <w:t>-10</w:t>
            </w:r>
            <w:r>
              <w:rPr>
                <w:rFonts w:hint="default" w:ascii="Times New Roman" w:hAnsi="Times New Roman" w:eastAsia="宋体" w:cs="Times New Roman"/>
                <w:color w:val="auto"/>
                <w:sz w:val="24"/>
                <w:highlight w:val="none"/>
                <w:lang w:val="en-US" w:eastAsia="zh-CN"/>
              </w:rPr>
              <w:t>cm/s）；其他实验贮存区域为一般防渗区，采取等效黏土防渗层Mb≥1.5m，K≤1.0×10</w:t>
            </w:r>
            <w:r>
              <w:rPr>
                <w:rFonts w:hint="default" w:ascii="Times New Roman" w:hAnsi="Times New Roman" w:eastAsia="宋体" w:cs="Times New Roman"/>
                <w:color w:val="auto"/>
                <w:sz w:val="24"/>
                <w:highlight w:val="none"/>
                <w:vertAlign w:val="superscript"/>
                <w:lang w:val="en-US" w:eastAsia="zh-CN"/>
              </w:rPr>
              <w:t>-7</w:t>
            </w:r>
            <w:r>
              <w:rPr>
                <w:rFonts w:hint="default" w:ascii="Times New Roman" w:hAnsi="Times New Roman" w:eastAsia="宋体" w:cs="Times New Roman"/>
                <w:color w:val="auto"/>
                <w:sz w:val="24"/>
                <w:highlight w:val="none"/>
                <w:lang w:val="en-US" w:eastAsia="zh-CN"/>
              </w:rPr>
              <w:t>cm/s</w:t>
            </w:r>
            <w:r>
              <w:rPr>
                <w:rFonts w:hint="eastAsia" w:cs="Times New Roman"/>
                <w:color w:val="auto"/>
                <w:sz w:val="24"/>
                <w:highlight w:val="none"/>
                <w:lang w:val="en-US" w:eastAsia="zh-CN"/>
              </w:rPr>
              <w:t>进行防渗</w:t>
            </w:r>
            <w:r>
              <w:rPr>
                <w:rFonts w:hint="default" w:ascii="Times New Roman" w:hAnsi="Times New Roman" w:eastAsia="宋体" w:cs="Times New Roman"/>
                <w:color w:val="auto"/>
                <w:sz w:val="24"/>
                <w:highlight w:val="none"/>
                <w:lang w:val="en-US" w:eastAsia="zh-CN"/>
              </w:rPr>
              <w:t>。</w:t>
            </w:r>
          </w:p>
        </w:tc>
      </w:tr>
      <w:tr w14:paraId="218C21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69" w:hRule="atLeast"/>
          <w:jc w:val="center"/>
        </w:trPr>
        <w:tc>
          <w:tcPr>
            <w:tcW w:w="1229" w:type="dxa"/>
            <w:vAlign w:val="center"/>
          </w:tcPr>
          <w:p w14:paraId="3F80EBC5">
            <w:pPr>
              <w:adjustRightInd w:val="0"/>
              <w:snapToGrid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生态保护措施</w:t>
            </w:r>
          </w:p>
        </w:tc>
        <w:tc>
          <w:tcPr>
            <w:tcW w:w="7571" w:type="dxa"/>
            <w:gridSpan w:val="4"/>
            <w:vAlign w:val="center"/>
          </w:tcPr>
          <w:p w14:paraId="4FE1B93C">
            <w:pPr>
              <w:adjustRightInd w:val="0"/>
              <w:snapToGrid w:val="0"/>
              <w:jc w:val="center"/>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w:t>
            </w:r>
          </w:p>
        </w:tc>
      </w:tr>
      <w:tr w14:paraId="0279A2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1229" w:type="dxa"/>
            <w:vAlign w:val="center"/>
          </w:tcPr>
          <w:p w14:paraId="17FB164A">
            <w:pPr>
              <w:adjustRightInd w:val="0"/>
              <w:snapToGrid w:val="0"/>
              <w:jc w:val="center"/>
              <w:rPr>
                <w:rFonts w:hint="default" w:ascii="Times New Roman" w:hAnsi="Times New Roman" w:eastAsia="宋体" w:cs="Times New Roman"/>
                <w:color w:val="auto"/>
                <w:spacing w:val="-8"/>
                <w:sz w:val="24"/>
                <w:highlight w:val="none"/>
              </w:rPr>
            </w:pPr>
            <w:r>
              <w:rPr>
                <w:rFonts w:hint="default" w:ascii="Times New Roman" w:hAnsi="Times New Roman" w:eastAsia="宋体" w:cs="Times New Roman"/>
                <w:color w:val="auto"/>
                <w:spacing w:val="-8"/>
                <w:sz w:val="24"/>
                <w:highlight w:val="none"/>
              </w:rPr>
              <w:t>环境风险防范措施</w:t>
            </w:r>
          </w:p>
        </w:tc>
        <w:tc>
          <w:tcPr>
            <w:tcW w:w="7571" w:type="dxa"/>
            <w:gridSpan w:val="4"/>
            <w:vAlign w:val="center"/>
          </w:tcPr>
          <w:p w14:paraId="0705DBD5">
            <w:pPr>
              <w:snapToGrid w:val="0"/>
              <w:spacing w:line="360" w:lineRule="auto"/>
              <w:ind w:left="0" w:leftChars="0" w:firstLine="0" w:firstLineChars="0"/>
              <w:rPr>
                <w:rFonts w:hint="eastAsia"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1.制定突发环境事故应急预案，并</w:t>
            </w:r>
            <w:r>
              <w:rPr>
                <w:rFonts w:hint="eastAsia" w:cs="Times New Roman"/>
                <w:color w:val="auto"/>
                <w:sz w:val="24"/>
                <w:highlight w:val="none"/>
                <w:lang w:val="en-US" w:eastAsia="zh-CN"/>
              </w:rPr>
              <w:t>与总院与地方主管部门</w:t>
            </w:r>
            <w:r>
              <w:rPr>
                <w:rFonts w:hint="eastAsia" w:ascii="Times New Roman" w:hAnsi="Times New Roman" w:eastAsia="宋体" w:cs="Times New Roman"/>
                <w:color w:val="auto"/>
                <w:sz w:val="24"/>
                <w:highlight w:val="none"/>
                <w:lang w:val="en-US" w:eastAsia="zh-CN"/>
              </w:rPr>
              <w:t>做好衔接。</w:t>
            </w:r>
          </w:p>
          <w:p w14:paraId="79A8EB0D">
            <w:pPr>
              <w:snapToGrid w:val="0"/>
              <w:spacing w:line="360" w:lineRule="auto"/>
              <w:ind w:left="0" w:leftChars="0" w:firstLine="0" w:firstLineChars="0"/>
              <w:rPr>
                <w:rFonts w:hint="eastAsia"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2.做好环境安全隐患排查，建立隐患排查档案。</w:t>
            </w:r>
          </w:p>
          <w:p w14:paraId="56902D69">
            <w:pPr>
              <w:snapToGrid w:val="0"/>
              <w:spacing w:line="360" w:lineRule="auto"/>
              <w:ind w:left="0" w:leftChars="0" w:firstLine="0" w:firstLineChars="0"/>
              <w:rPr>
                <w:rFonts w:hint="eastAsia"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3.加强环境安全培训、教育，提高环境安全意识。</w:t>
            </w:r>
          </w:p>
          <w:p w14:paraId="117C8D50">
            <w:pPr>
              <w:snapToGrid w:val="0"/>
              <w:spacing w:line="360" w:lineRule="auto"/>
              <w:ind w:left="0" w:leftChars="0" w:firstLine="0" w:firstLineChars="0"/>
              <w:rPr>
                <w:rFonts w:hint="eastAsia"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4.</w:t>
            </w:r>
            <w:r>
              <w:rPr>
                <w:rFonts w:hint="eastAsia" w:cs="Times New Roman"/>
                <w:color w:val="auto"/>
                <w:sz w:val="24"/>
                <w:highlight w:val="none"/>
                <w:lang w:val="en-US" w:eastAsia="zh-CN"/>
              </w:rPr>
              <w:t>建立</w:t>
            </w:r>
            <w:r>
              <w:rPr>
                <w:rFonts w:hint="default" w:ascii="Times New Roman" w:hAnsi="Times New Roman" w:eastAsia="宋体" w:cs="Times New Roman"/>
                <w:color w:val="auto"/>
                <w:sz w:val="24"/>
                <w:highlight w:val="none"/>
                <w:lang w:val="en-US" w:eastAsia="zh-CN"/>
              </w:rPr>
              <w:t>安全管理制度</w:t>
            </w:r>
            <w:r>
              <w:rPr>
                <w:rFonts w:hint="eastAsia"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岗位责任制度</w:t>
            </w:r>
            <w:r>
              <w:rPr>
                <w:rFonts w:hint="eastAsia" w:ascii="Times New Roman" w:hAnsi="Times New Roman" w:eastAsia="宋体" w:cs="Times New Roman"/>
                <w:color w:val="auto"/>
                <w:sz w:val="24"/>
                <w:highlight w:val="none"/>
                <w:lang w:val="en-US" w:eastAsia="zh-CN"/>
              </w:rPr>
              <w:t>，明确各类人员的安全环境</w:t>
            </w:r>
            <w:r>
              <w:rPr>
                <w:rFonts w:hint="eastAsia" w:cs="Times New Roman"/>
                <w:color w:val="auto"/>
                <w:sz w:val="24"/>
                <w:highlight w:val="none"/>
                <w:lang w:val="en-US" w:eastAsia="zh-CN"/>
              </w:rPr>
              <w:t>职责</w:t>
            </w:r>
            <w:r>
              <w:rPr>
                <w:rFonts w:hint="eastAsia" w:ascii="Times New Roman" w:hAnsi="Times New Roman" w:eastAsia="宋体" w:cs="Times New Roman"/>
                <w:color w:val="auto"/>
                <w:sz w:val="24"/>
                <w:highlight w:val="none"/>
                <w:lang w:val="en-US" w:eastAsia="zh-CN"/>
              </w:rPr>
              <w:t>。</w:t>
            </w:r>
          </w:p>
          <w:p w14:paraId="459EA6A9">
            <w:pPr>
              <w:snapToGrid w:val="0"/>
              <w:spacing w:line="360" w:lineRule="auto"/>
              <w:ind w:left="0" w:leftChars="0" w:firstLine="0" w:firstLineChars="0"/>
              <w:rPr>
                <w:rFonts w:hint="default"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lang w:val="en-US" w:eastAsia="zh-CN"/>
              </w:rPr>
              <w:t>5</w:t>
            </w:r>
            <w:r>
              <w:rPr>
                <w:rFonts w:hint="eastAsia" w:ascii="Times New Roman" w:hAnsi="Times New Roman" w:cs="Times New Roman"/>
                <w:color w:val="auto"/>
                <w:sz w:val="24"/>
                <w:highlight w:val="none"/>
                <w:lang w:val="en-US" w:eastAsia="zh-CN"/>
              </w:rPr>
              <w:t>.</w:t>
            </w:r>
            <w:r>
              <w:rPr>
                <w:rFonts w:hint="eastAsia" w:ascii="Times New Roman" w:hAnsi="Times New Roman" w:eastAsia="宋体" w:cs="Times New Roman"/>
                <w:color w:val="auto"/>
                <w:sz w:val="24"/>
                <w:highlight w:val="none"/>
                <w:lang w:val="en-US" w:eastAsia="zh-CN"/>
              </w:rPr>
              <w:t>建立操作规程，严格按照规程操作，工作人员实验操作期间密切关注实验过程，不可擅自离岗，</w:t>
            </w:r>
            <w:r>
              <w:rPr>
                <w:rFonts w:hint="default" w:ascii="Times New Roman" w:hAnsi="Times New Roman" w:eastAsia="宋体" w:cs="Times New Roman"/>
                <w:color w:val="auto"/>
                <w:sz w:val="24"/>
                <w:highlight w:val="none"/>
              </w:rPr>
              <w:t>在危险物质储存场所</w:t>
            </w:r>
            <w:r>
              <w:rPr>
                <w:rFonts w:hint="eastAsia" w:cs="Times New Roman"/>
                <w:color w:val="auto"/>
                <w:sz w:val="24"/>
                <w:highlight w:val="none"/>
                <w:lang w:val="en-US" w:eastAsia="zh-CN"/>
              </w:rPr>
              <w:t>等存在易燃风险的场所</w:t>
            </w:r>
            <w:r>
              <w:rPr>
                <w:rFonts w:hint="default" w:ascii="Times New Roman" w:hAnsi="Times New Roman" w:eastAsia="宋体" w:cs="Times New Roman"/>
                <w:color w:val="auto"/>
                <w:sz w:val="24"/>
                <w:highlight w:val="none"/>
              </w:rPr>
              <w:t>设置灭火器，并配备一定数量的自给式呼吸器、消防防护服等</w:t>
            </w:r>
            <w:r>
              <w:rPr>
                <w:rFonts w:hint="eastAsia" w:cs="Times New Roman"/>
                <w:color w:val="auto"/>
                <w:sz w:val="24"/>
                <w:highlight w:val="none"/>
                <w:lang w:eastAsia="zh-CN"/>
              </w:rPr>
              <w:t>。</w:t>
            </w:r>
          </w:p>
          <w:p w14:paraId="6C210DDE">
            <w:pPr>
              <w:snapToGrid w:val="0"/>
              <w:spacing w:line="360" w:lineRule="auto"/>
              <w:ind w:left="0" w:leftChars="0" w:firstLine="0" w:firstLineChars="0"/>
              <w:rPr>
                <w:rFonts w:hint="eastAsia" w:ascii="Times New Roman" w:hAnsi="Times New Roman" w:eastAsia="宋体" w:cs="Times New Roman"/>
                <w:color w:val="auto"/>
                <w:sz w:val="24"/>
                <w:highlight w:val="none"/>
                <w:lang w:eastAsia="zh-CN"/>
              </w:rPr>
            </w:pPr>
            <w:r>
              <w:rPr>
                <w:rFonts w:hint="eastAsia" w:ascii="Times New Roman" w:hAnsi="Times New Roman" w:cs="Times New Roman"/>
                <w:color w:val="auto"/>
                <w:sz w:val="24"/>
                <w:highlight w:val="none"/>
                <w:lang w:val="en-US" w:eastAsia="zh-CN"/>
              </w:rPr>
              <w:t>6.</w:t>
            </w:r>
            <w:r>
              <w:rPr>
                <w:rFonts w:hint="default" w:ascii="Times New Roman" w:hAnsi="Times New Roman" w:eastAsia="宋体" w:cs="Times New Roman"/>
                <w:color w:val="auto"/>
                <w:sz w:val="24"/>
                <w:highlight w:val="none"/>
              </w:rPr>
              <w:t>加强火源的管理，</w:t>
            </w:r>
            <w:r>
              <w:rPr>
                <w:rFonts w:hint="eastAsia" w:ascii="Times New Roman" w:hAnsi="Times New Roman" w:eastAsia="宋体" w:cs="Times New Roman"/>
                <w:color w:val="auto"/>
                <w:sz w:val="24"/>
                <w:highlight w:val="none"/>
                <w:lang w:val="en-US" w:eastAsia="zh-CN"/>
              </w:rPr>
              <w:t>建设火灾报警装置并定期校验，确保使用效能，</w:t>
            </w:r>
            <w:r>
              <w:rPr>
                <w:rFonts w:hint="default" w:ascii="Times New Roman" w:hAnsi="Times New Roman" w:eastAsia="宋体" w:cs="Times New Roman"/>
                <w:color w:val="auto"/>
                <w:sz w:val="24"/>
                <w:highlight w:val="none"/>
              </w:rPr>
              <w:t>严禁烟火带入</w:t>
            </w:r>
            <w:r>
              <w:rPr>
                <w:rFonts w:hint="eastAsia" w:cs="Times New Roman"/>
                <w:color w:val="auto"/>
                <w:sz w:val="24"/>
                <w:highlight w:val="none"/>
                <w:lang w:eastAsia="zh-CN"/>
              </w:rPr>
              <w:t>，</w:t>
            </w:r>
            <w:r>
              <w:rPr>
                <w:rFonts w:hint="default" w:ascii="Times New Roman" w:hAnsi="Times New Roman" w:eastAsia="宋体" w:cs="Times New Roman"/>
                <w:color w:val="auto"/>
                <w:sz w:val="24"/>
                <w:highlight w:val="none"/>
              </w:rPr>
              <w:t>设有明显的禁止烟火安全标志</w:t>
            </w:r>
            <w:r>
              <w:rPr>
                <w:rFonts w:hint="eastAsia" w:ascii="Times New Roman" w:hAnsi="Times New Roman" w:eastAsia="宋体" w:cs="Times New Roman"/>
                <w:color w:val="auto"/>
                <w:sz w:val="24"/>
                <w:highlight w:val="none"/>
                <w:lang w:eastAsia="zh-CN"/>
              </w:rPr>
              <w:t>。</w:t>
            </w:r>
          </w:p>
          <w:p w14:paraId="3E520990">
            <w:pPr>
              <w:snapToGrid w:val="0"/>
              <w:spacing w:line="360" w:lineRule="auto"/>
              <w:rPr>
                <w:rFonts w:hint="default" w:ascii="Times New Roman" w:hAnsi="Times New Roman" w:eastAsia="宋体" w:cs="Times New Roman"/>
                <w:color w:val="auto"/>
                <w:sz w:val="24"/>
                <w:highlight w:val="none"/>
                <w:lang w:val="en-US" w:eastAsia="zh-CN"/>
              </w:rPr>
            </w:pPr>
            <w:r>
              <w:rPr>
                <w:rFonts w:hint="eastAsia" w:cs="Times New Roman"/>
                <w:color w:val="auto"/>
                <w:sz w:val="24"/>
                <w:highlight w:val="none"/>
                <w:lang w:val="en-US" w:eastAsia="zh-CN"/>
              </w:rPr>
              <w:t>7.</w:t>
            </w:r>
            <w:r>
              <w:rPr>
                <w:rFonts w:hint="default" w:ascii="Times New Roman" w:hAnsi="Times New Roman" w:eastAsia="宋体" w:cs="Times New Roman"/>
                <w:color w:val="auto"/>
                <w:sz w:val="24"/>
                <w:highlight w:val="none"/>
                <w:lang w:val="en-US" w:eastAsia="zh-CN"/>
              </w:rPr>
              <w:t>定期开展安全风险辨识评估，</w:t>
            </w:r>
            <w:r>
              <w:rPr>
                <w:rFonts w:hint="eastAsia" w:cs="Times New Roman"/>
                <w:color w:val="auto"/>
                <w:sz w:val="24"/>
                <w:highlight w:val="none"/>
                <w:lang w:val="en-US" w:eastAsia="zh-CN"/>
              </w:rPr>
              <w:t>完善安全防范设施</w:t>
            </w:r>
            <w:r>
              <w:rPr>
                <w:rFonts w:hint="default" w:ascii="Times New Roman" w:hAnsi="Times New Roman" w:eastAsia="宋体" w:cs="Times New Roman"/>
                <w:color w:val="auto"/>
                <w:sz w:val="24"/>
                <w:highlight w:val="none"/>
                <w:lang w:val="en-US" w:eastAsia="zh-CN"/>
              </w:rPr>
              <w:t>。</w:t>
            </w:r>
          </w:p>
        </w:tc>
      </w:tr>
      <w:tr w14:paraId="757CA5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1229" w:type="dxa"/>
            <w:vAlign w:val="center"/>
          </w:tcPr>
          <w:p w14:paraId="24AA0946">
            <w:pPr>
              <w:adjustRightInd w:val="0"/>
              <w:snapToGrid w:val="0"/>
              <w:jc w:val="center"/>
              <w:rPr>
                <w:rFonts w:hint="default" w:ascii="Times New Roman" w:hAnsi="Times New Roman" w:eastAsia="宋体" w:cs="Times New Roman"/>
                <w:color w:val="auto"/>
                <w:spacing w:val="-8"/>
                <w:sz w:val="24"/>
                <w:highlight w:val="none"/>
              </w:rPr>
            </w:pPr>
            <w:r>
              <w:rPr>
                <w:rFonts w:hint="default" w:ascii="Times New Roman" w:hAnsi="Times New Roman" w:eastAsia="宋体" w:cs="Times New Roman"/>
                <w:color w:val="auto"/>
                <w:spacing w:val="-8"/>
                <w:sz w:val="24"/>
                <w:highlight w:val="none"/>
              </w:rPr>
              <w:t>其他环境管理要求</w:t>
            </w:r>
          </w:p>
        </w:tc>
        <w:tc>
          <w:tcPr>
            <w:tcW w:w="7571" w:type="dxa"/>
            <w:gridSpan w:val="4"/>
            <w:vAlign w:val="center"/>
          </w:tcPr>
          <w:p w14:paraId="794D7C00">
            <w:pPr>
              <w:snapToGrid w:val="0"/>
              <w:spacing w:line="360" w:lineRule="auto"/>
              <w:ind w:firstLine="482" w:firstLineChars="200"/>
              <w:rPr>
                <w:rFonts w:hint="default" w:ascii="Times New Roman" w:hAnsi="Times New Roman" w:eastAsia="宋体" w:cs="Times New Roman"/>
                <w:b/>
                <w:bCs/>
                <w:color w:val="auto"/>
                <w:sz w:val="24"/>
                <w:highlight w:val="none"/>
              </w:rPr>
            </w:pPr>
            <w:r>
              <w:rPr>
                <w:rFonts w:hint="eastAsia" w:cs="Times New Roman"/>
                <w:b/>
                <w:bCs/>
                <w:color w:val="auto"/>
                <w:sz w:val="24"/>
                <w:highlight w:val="none"/>
                <w:lang w:val="en-US" w:eastAsia="zh-CN"/>
              </w:rPr>
              <w:t>1、</w:t>
            </w:r>
            <w:r>
              <w:rPr>
                <w:rFonts w:hint="default" w:ascii="Times New Roman" w:hAnsi="Times New Roman" w:eastAsia="宋体" w:cs="Times New Roman"/>
                <w:b/>
                <w:bCs/>
                <w:color w:val="auto"/>
                <w:sz w:val="24"/>
                <w:highlight w:val="none"/>
              </w:rPr>
              <w:t>与排污许可制衔接要求</w:t>
            </w:r>
          </w:p>
          <w:p w14:paraId="016375BD">
            <w:pPr>
              <w:snapToGrid w:val="0"/>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根据《国民经济行业分类》（GB/T4754-2017），本项目属于</w:t>
            </w:r>
            <w:r>
              <w:rPr>
                <w:rFonts w:hint="eastAsia" w:cs="Times New Roman"/>
                <w:color w:val="auto"/>
                <w:sz w:val="24"/>
                <w:highlight w:val="none"/>
                <w:lang w:eastAsia="zh-CN"/>
              </w:rPr>
              <w:t>“</w:t>
            </w:r>
            <w:r>
              <w:rPr>
                <w:rFonts w:hint="default" w:ascii="Times New Roman" w:hAnsi="Times New Roman" w:cs="Times New Roman"/>
                <w:color w:val="auto"/>
                <w:sz w:val="24"/>
                <w:highlight w:val="none"/>
                <w:lang w:val="en-US" w:eastAsia="zh-CN"/>
              </w:rPr>
              <w:t>M7320工程和技术研究和实验发展</w:t>
            </w:r>
            <w:r>
              <w:rPr>
                <w:rFonts w:hint="eastAsia" w:cs="Times New Roman"/>
                <w:color w:val="auto"/>
                <w:sz w:val="24"/>
                <w:highlight w:val="none"/>
                <w:lang w:eastAsia="zh-CN"/>
              </w:rPr>
              <w:t>”</w:t>
            </w:r>
            <w:r>
              <w:rPr>
                <w:rFonts w:hint="default" w:ascii="Times New Roman" w:hAnsi="Times New Roman" w:eastAsia="宋体" w:cs="Times New Roman"/>
                <w:color w:val="auto"/>
                <w:sz w:val="24"/>
                <w:highlight w:val="none"/>
              </w:rPr>
              <w:t>。对照《固定污染源排污许可分类管理名录》（2019版），本项目暂无相关要求。</w:t>
            </w:r>
          </w:p>
          <w:p w14:paraId="685561DD">
            <w:pPr>
              <w:snapToGrid w:val="0"/>
              <w:spacing w:before="120" w:beforeLines="50" w:line="360" w:lineRule="auto"/>
              <w:ind w:firstLine="482" w:firstLineChars="200"/>
              <w:rPr>
                <w:rFonts w:hint="default" w:ascii="Times New Roman" w:hAnsi="Times New Roman" w:eastAsia="宋体" w:cs="Times New Roman"/>
                <w:b/>
                <w:bCs w:val="0"/>
                <w:color w:val="auto"/>
                <w:sz w:val="24"/>
                <w:highlight w:val="none"/>
              </w:rPr>
            </w:pPr>
            <w:r>
              <w:rPr>
                <w:rFonts w:hint="eastAsia" w:cs="Times New Roman"/>
                <w:b/>
                <w:bCs w:val="0"/>
                <w:color w:val="auto"/>
                <w:sz w:val="24"/>
                <w:highlight w:val="none"/>
                <w:lang w:val="en-US" w:eastAsia="zh-CN"/>
              </w:rPr>
              <w:t>2、</w:t>
            </w:r>
            <w:r>
              <w:rPr>
                <w:rFonts w:hint="eastAsia" w:cs="Times New Roman"/>
                <w:b/>
                <w:bCs/>
                <w:color w:val="auto"/>
                <w:sz w:val="24"/>
                <w:highlight w:val="none"/>
                <w:lang w:val="en-US" w:eastAsia="zh-CN"/>
              </w:rPr>
              <w:t>排污口</w:t>
            </w:r>
            <w:r>
              <w:rPr>
                <w:rFonts w:hint="default" w:ascii="Times New Roman" w:hAnsi="Times New Roman" w:eastAsia="宋体" w:cs="Times New Roman"/>
                <w:b/>
                <w:bCs/>
                <w:color w:val="auto"/>
                <w:sz w:val="24"/>
                <w:highlight w:val="none"/>
                <w:lang w:val="en-US" w:eastAsia="zh-CN"/>
              </w:rPr>
              <w:t>标志牌设置</w:t>
            </w:r>
          </w:p>
          <w:p w14:paraId="423C3FE1">
            <w:pPr>
              <w:snapToGrid w:val="0"/>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排污口设置应符合《环境保护图形标志》（</w:t>
            </w:r>
            <w:r>
              <w:rPr>
                <w:rFonts w:hint="default" w:ascii="Times New Roman" w:hAnsi="Times New Roman" w:eastAsia="宋体" w:cs="Times New Roman"/>
                <w:color w:val="auto"/>
                <w:sz w:val="24"/>
                <w:highlight w:val="none"/>
                <w:lang w:val="en-US" w:eastAsia="zh-CN"/>
              </w:rPr>
              <w:t>GB15562.1-1995</w:t>
            </w:r>
            <w:r>
              <w:rPr>
                <w:rFonts w:hint="eastAsia" w:ascii="Times New Roman" w:hAnsi="Times New Roman" w:eastAsia="宋体" w:cs="Times New Roman"/>
                <w:color w:val="auto"/>
                <w:sz w:val="24"/>
                <w:highlight w:val="none"/>
                <w:lang w:val="en-US" w:eastAsia="zh-CN"/>
              </w:rPr>
              <w:t>）、《环境保护图形标志》（</w:t>
            </w:r>
            <w:r>
              <w:rPr>
                <w:rFonts w:hint="default" w:ascii="Times New Roman" w:hAnsi="Times New Roman" w:eastAsia="宋体" w:cs="Times New Roman"/>
                <w:color w:val="auto"/>
                <w:sz w:val="24"/>
                <w:highlight w:val="none"/>
                <w:lang w:val="en-US" w:eastAsia="zh-CN"/>
              </w:rPr>
              <w:t>GB15562.2-1995</w:t>
            </w:r>
            <w:r>
              <w:rPr>
                <w:rFonts w:hint="eastAsia" w:ascii="Times New Roman" w:hAnsi="Times New Roman" w:eastAsia="宋体" w:cs="Times New Roman"/>
                <w:color w:val="auto"/>
                <w:sz w:val="24"/>
                <w:highlight w:val="none"/>
                <w:lang w:val="en-US" w:eastAsia="zh-CN"/>
              </w:rPr>
              <w:t>）</w:t>
            </w:r>
            <w:r>
              <w:rPr>
                <w:rFonts w:hint="eastAsia" w:cs="Times New Roman"/>
                <w:color w:val="auto"/>
                <w:sz w:val="24"/>
                <w:highlight w:val="none"/>
                <w:lang w:val="en-US" w:eastAsia="zh-CN"/>
              </w:rPr>
              <w:t>、</w:t>
            </w:r>
            <w:r>
              <w:rPr>
                <w:rFonts w:hint="eastAsia" w:ascii="Times New Roman" w:hAnsi="Times New Roman" w:eastAsia="宋体" w:cs="Times New Roman"/>
                <w:color w:val="auto"/>
                <w:sz w:val="24"/>
                <w:highlight w:val="none"/>
                <w:lang w:val="en-US" w:eastAsia="zh-CN"/>
              </w:rPr>
              <w:t>《环境保护图形标志</w:t>
            </w:r>
            <w:r>
              <w:rPr>
                <w:rFonts w:hint="eastAsia" w:cs="Times New Roman"/>
                <w:color w:val="auto"/>
                <w:sz w:val="24"/>
                <w:highlight w:val="none"/>
                <w:lang w:val="en-US" w:eastAsia="zh-CN"/>
              </w:rPr>
              <w:t>—固体废物贮存（处置）场</w:t>
            </w:r>
            <w:r>
              <w:rPr>
                <w:rFonts w:hint="eastAsia"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GB15562.2-1995</w:t>
            </w:r>
            <w:r>
              <w:rPr>
                <w:rFonts w:hint="eastAsia" w:ascii="Times New Roman" w:hAnsi="Times New Roman" w:eastAsia="宋体" w:cs="Times New Roman"/>
                <w:color w:val="auto"/>
                <w:sz w:val="24"/>
                <w:highlight w:val="none"/>
                <w:lang w:val="en-US" w:eastAsia="zh-CN"/>
              </w:rPr>
              <w:t>）</w:t>
            </w:r>
            <w:r>
              <w:rPr>
                <w:rFonts w:hint="eastAsia" w:cs="Times New Roman"/>
                <w:color w:val="auto"/>
                <w:sz w:val="24"/>
                <w:highlight w:val="none"/>
                <w:lang w:val="en-US" w:eastAsia="zh-CN"/>
              </w:rPr>
              <w:t>修改单（2023年2月3日发布）、</w:t>
            </w:r>
            <w:r>
              <w:rPr>
                <w:rFonts w:hint="eastAsia" w:ascii="Times New Roman" w:hAnsi="Times New Roman" w:eastAsia="宋体" w:cs="Times New Roman"/>
                <w:color w:val="auto"/>
                <w:sz w:val="24"/>
                <w:highlight w:val="none"/>
                <w:lang w:val="en-US" w:eastAsia="zh-CN"/>
              </w:rPr>
              <w:t>《危险废物识别标志设置技术规范》（</w:t>
            </w:r>
            <w:r>
              <w:rPr>
                <w:rFonts w:hint="default" w:ascii="Times New Roman" w:hAnsi="Times New Roman" w:eastAsia="宋体" w:cs="Times New Roman"/>
                <w:color w:val="auto"/>
                <w:sz w:val="24"/>
                <w:highlight w:val="none"/>
                <w:lang w:val="en-US" w:eastAsia="zh-CN"/>
              </w:rPr>
              <w:t>HJ1276-2022</w:t>
            </w:r>
            <w:r>
              <w:rPr>
                <w:rFonts w:hint="eastAsia" w:ascii="Times New Roman" w:hAnsi="Times New Roman" w:eastAsia="宋体" w:cs="Times New Roman"/>
                <w:color w:val="auto"/>
                <w:sz w:val="24"/>
                <w:highlight w:val="none"/>
                <w:lang w:val="en-US" w:eastAsia="zh-CN"/>
              </w:rPr>
              <w:t>）的规定。</w:t>
            </w:r>
          </w:p>
          <w:p w14:paraId="56A26EA5">
            <w:pPr>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本项目排污口主要为废气排口</w:t>
            </w:r>
            <w:r>
              <w:rPr>
                <w:rFonts w:hint="eastAsia" w:cs="Times New Roman"/>
                <w:color w:val="auto"/>
                <w:sz w:val="24"/>
                <w:highlight w:val="none"/>
                <w:lang w:val="en-US" w:eastAsia="zh-CN"/>
              </w:rPr>
              <w:t>1</w:t>
            </w:r>
            <w:r>
              <w:rPr>
                <w:rFonts w:hint="default" w:ascii="Times New Roman" w:hAnsi="Times New Roman" w:eastAsia="宋体" w:cs="Times New Roman"/>
                <w:color w:val="auto"/>
                <w:sz w:val="24"/>
                <w:highlight w:val="none"/>
              </w:rPr>
              <w:t>个（楼顶）和污水总排口1个（</w:t>
            </w:r>
            <w:r>
              <w:rPr>
                <w:rFonts w:hint="eastAsia" w:cs="Times New Roman"/>
                <w:color w:val="auto"/>
                <w:sz w:val="24"/>
                <w:highlight w:val="none"/>
                <w:lang w:val="en-US" w:eastAsia="zh-CN"/>
              </w:rPr>
              <w:t>本幢楼东</w:t>
            </w:r>
            <w:r>
              <w:rPr>
                <w:rFonts w:hint="default" w:ascii="Times New Roman" w:hAnsi="Times New Roman" w:eastAsia="宋体" w:cs="Times New Roman"/>
                <w:color w:val="auto"/>
                <w:sz w:val="24"/>
                <w:highlight w:val="none"/>
              </w:rPr>
              <w:t>侧）。建设项目设置排污口应符合</w:t>
            </w:r>
            <w:r>
              <w:rPr>
                <w:rFonts w:hint="eastAsia" w:cs="Times New Roman"/>
                <w:color w:val="auto"/>
                <w:sz w:val="24"/>
                <w:highlight w:val="none"/>
                <w:lang w:eastAsia="zh-CN"/>
              </w:rPr>
              <w:t>“</w:t>
            </w:r>
            <w:r>
              <w:rPr>
                <w:rFonts w:hint="default" w:ascii="Times New Roman" w:hAnsi="Times New Roman" w:eastAsia="宋体" w:cs="Times New Roman"/>
                <w:color w:val="auto"/>
                <w:sz w:val="24"/>
                <w:highlight w:val="none"/>
              </w:rPr>
              <w:t>一明显、二合理、三便于</w:t>
            </w:r>
            <w:r>
              <w:rPr>
                <w:rFonts w:hint="eastAsia" w:cs="Times New Roman"/>
                <w:color w:val="auto"/>
                <w:sz w:val="24"/>
                <w:highlight w:val="none"/>
                <w:lang w:eastAsia="zh-CN"/>
              </w:rPr>
              <w:t>”</w:t>
            </w:r>
            <w:r>
              <w:rPr>
                <w:rFonts w:hint="default" w:ascii="Times New Roman" w:hAnsi="Times New Roman" w:eastAsia="宋体" w:cs="Times New Roman"/>
                <w:color w:val="auto"/>
                <w:sz w:val="24"/>
                <w:highlight w:val="none"/>
              </w:rPr>
              <w:t>的要求，即环保标志明显；排污口设置合理，排污去向合理；便于采集样品、便于监测计算、便于公众参与监督管理。</w:t>
            </w:r>
            <w:r>
              <w:rPr>
                <w:rFonts w:hint="default" w:ascii="Times New Roman" w:hAnsi="Times New Roman" w:eastAsia="宋体" w:cs="Times New Roman"/>
                <w:color w:val="auto"/>
                <w:sz w:val="24"/>
                <w:highlight w:val="none"/>
                <w:lang w:val="en-US" w:eastAsia="zh-CN"/>
              </w:rPr>
              <w:t>具体标志牌示意图详见下表。</w:t>
            </w:r>
          </w:p>
          <w:p w14:paraId="40B2F56B">
            <w:pPr>
              <w:numPr>
                <w:ilvl w:val="0"/>
                <w:numId w:val="28"/>
              </w:numPr>
              <w:adjustRightInd w:val="0"/>
              <w:spacing w:line="360" w:lineRule="auto"/>
              <w:ind w:left="425" w:leftChars="0" w:hanging="425" w:firstLineChars="0"/>
              <w:jc w:val="center"/>
              <w:rPr>
                <w:rFonts w:hint="default" w:ascii="Times New Roman" w:hAnsi="Times New Roman" w:eastAsia="宋体" w:cs="Times New Roman"/>
                <w:b/>
                <w:color w:val="auto"/>
                <w:spacing w:val="-4"/>
                <w:kern w:val="0"/>
                <w:sz w:val="24"/>
                <w:highlight w:val="none"/>
              </w:rPr>
            </w:pPr>
            <w:r>
              <w:rPr>
                <w:rFonts w:hint="default" w:ascii="Times New Roman" w:hAnsi="Times New Roman" w:eastAsia="宋体" w:cs="Times New Roman"/>
                <w:b/>
                <w:color w:val="auto"/>
                <w:spacing w:val="-4"/>
                <w:kern w:val="0"/>
                <w:sz w:val="24"/>
                <w:highlight w:val="none"/>
              </w:rPr>
              <w:t>环境</w:t>
            </w:r>
            <w:r>
              <w:rPr>
                <w:rFonts w:hint="default" w:ascii="Times New Roman" w:hAnsi="Times New Roman" w:eastAsia="宋体" w:cs="Times New Roman"/>
                <w:b/>
                <w:color w:val="auto"/>
                <w:sz w:val="24"/>
                <w:highlight w:val="none"/>
              </w:rPr>
              <w:t>保护</w:t>
            </w:r>
            <w:r>
              <w:rPr>
                <w:rFonts w:hint="default" w:ascii="Times New Roman" w:hAnsi="Times New Roman" w:eastAsia="宋体" w:cs="Times New Roman"/>
                <w:b/>
                <w:color w:val="auto"/>
                <w:spacing w:val="-4"/>
                <w:kern w:val="0"/>
                <w:sz w:val="24"/>
                <w:highlight w:val="none"/>
              </w:rPr>
              <w:t>图形符号一览表</w:t>
            </w:r>
          </w:p>
          <w:tbl>
            <w:tblPr>
              <w:tblStyle w:val="23"/>
              <w:tblW w:w="7617" w:type="dxa"/>
              <w:tblInd w:w="0" w:type="dxa"/>
              <w:tblBorders>
                <w:top w:val="single" w:color="auto" w:sz="8" w:space="0"/>
                <w:left w:val="none" w:color="auto" w:sz="0" w:space="0"/>
                <w:bottom w:val="single" w:color="auto" w:sz="8"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702"/>
              <w:gridCol w:w="1297"/>
              <w:gridCol w:w="1438"/>
              <w:gridCol w:w="1431"/>
              <w:gridCol w:w="1386"/>
              <w:gridCol w:w="1363"/>
            </w:tblGrid>
            <w:tr w14:paraId="47B31456">
              <w:tblPrEx>
                <w:tblBorders>
                  <w:top w:val="single" w:color="auto" w:sz="8" w:space="0"/>
                  <w:left w:val="none" w:color="auto" w:sz="0" w:space="0"/>
                  <w:bottom w:val="single" w:color="auto" w:sz="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702" w:type="dxa"/>
                  <w:tcBorders>
                    <w:tl2br w:val="nil"/>
                    <w:tr2bl w:val="nil"/>
                  </w:tcBorders>
                  <w:vAlign w:val="center"/>
                </w:tcPr>
                <w:p w14:paraId="43A40C60">
                  <w:pPr>
                    <w:pStyle w:val="20"/>
                    <w:widowControl w:val="0"/>
                    <w:snapToGrid w:val="0"/>
                    <w:spacing w:before="0" w:beforeAutospacing="0" w:after="0" w:afterAutospacing="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名称</w:t>
                  </w:r>
                </w:p>
              </w:tc>
              <w:tc>
                <w:tcPr>
                  <w:tcW w:w="1297" w:type="dxa"/>
                  <w:tcBorders>
                    <w:tl2br w:val="nil"/>
                    <w:tr2bl w:val="nil"/>
                  </w:tcBorders>
                  <w:vAlign w:val="center"/>
                </w:tcPr>
                <w:p w14:paraId="4C231FBC">
                  <w:pPr>
                    <w:pStyle w:val="20"/>
                    <w:widowControl w:val="0"/>
                    <w:snapToGrid w:val="0"/>
                    <w:spacing w:before="0" w:beforeAutospacing="0" w:after="0" w:afterAutospacing="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废气排放口</w:t>
                  </w:r>
                </w:p>
              </w:tc>
              <w:tc>
                <w:tcPr>
                  <w:tcW w:w="1438" w:type="dxa"/>
                  <w:tcBorders>
                    <w:tl2br w:val="nil"/>
                    <w:tr2bl w:val="nil"/>
                  </w:tcBorders>
                  <w:vAlign w:val="center"/>
                </w:tcPr>
                <w:p w14:paraId="532B7674">
                  <w:pPr>
                    <w:pStyle w:val="20"/>
                    <w:widowControl w:val="0"/>
                    <w:snapToGrid w:val="0"/>
                    <w:spacing w:before="0" w:beforeAutospacing="0" w:after="0" w:afterAutospacing="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废水排放口</w:t>
                  </w:r>
                </w:p>
              </w:tc>
              <w:tc>
                <w:tcPr>
                  <w:tcW w:w="1431" w:type="dxa"/>
                  <w:tcBorders>
                    <w:tl2br w:val="nil"/>
                    <w:tr2bl w:val="nil"/>
                  </w:tcBorders>
                  <w:vAlign w:val="center"/>
                </w:tcPr>
                <w:p w14:paraId="26CD41E6">
                  <w:pPr>
                    <w:pStyle w:val="20"/>
                    <w:widowControl w:val="0"/>
                    <w:snapToGrid w:val="0"/>
                    <w:spacing w:before="0" w:beforeAutospacing="0" w:after="0" w:afterAutospacing="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噪声排放源</w:t>
                  </w:r>
                </w:p>
              </w:tc>
              <w:tc>
                <w:tcPr>
                  <w:tcW w:w="1386" w:type="dxa"/>
                  <w:tcBorders>
                    <w:tl2br w:val="nil"/>
                    <w:tr2bl w:val="nil"/>
                  </w:tcBorders>
                  <w:vAlign w:val="center"/>
                </w:tcPr>
                <w:p w14:paraId="3D291DAC">
                  <w:pPr>
                    <w:pStyle w:val="20"/>
                    <w:widowControl w:val="0"/>
                    <w:snapToGrid w:val="0"/>
                    <w:spacing w:before="0" w:beforeAutospacing="0" w:after="0" w:afterAutospacing="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一般工业固体废物</w:t>
                  </w:r>
                </w:p>
              </w:tc>
              <w:tc>
                <w:tcPr>
                  <w:tcW w:w="1363" w:type="dxa"/>
                  <w:tcBorders>
                    <w:tl2br w:val="nil"/>
                    <w:tr2bl w:val="nil"/>
                  </w:tcBorders>
                  <w:vAlign w:val="center"/>
                </w:tcPr>
                <w:p w14:paraId="21A1DB0B">
                  <w:pPr>
                    <w:pStyle w:val="20"/>
                    <w:widowControl w:val="0"/>
                    <w:snapToGrid w:val="0"/>
                    <w:spacing w:before="0" w:beforeAutospacing="0" w:after="0" w:afterAutospacing="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危险废物</w:t>
                  </w:r>
                </w:p>
              </w:tc>
            </w:tr>
            <w:tr w14:paraId="6A54C757">
              <w:tblPrEx>
                <w:tblBorders>
                  <w:top w:val="single" w:color="auto" w:sz="8" w:space="0"/>
                  <w:left w:val="none" w:color="auto" w:sz="0" w:space="0"/>
                  <w:bottom w:val="single" w:color="auto" w:sz="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355" w:hRule="atLeast"/>
              </w:trPr>
              <w:tc>
                <w:tcPr>
                  <w:tcW w:w="702" w:type="dxa"/>
                  <w:tcBorders>
                    <w:tl2br w:val="nil"/>
                    <w:tr2bl w:val="nil"/>
                  </w:tcBorders>
                  <w:vAlign w:val="center"/>
                </w:tcPr>
                <w:p w14:paraId="6BB27A29">
                  <w:pPr>
                    <w:pStyle w:val="20"/>
                    <w:widowControl w:val="0"/>
                    <w:snapToGrid w:val="0"/>
                    <w:spacing w:before="0" w:beforeAutospacing="0" w:after="0" w:afterAutospacing="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提示图形符号</w:t>
                  </w:r>
                </w:p>
              </w:tc>
              <w:tc>
                <w:tcPr>
                  <w:tcW w:w="1297" w:type="dxa"/>
                  <w:tcBorders>
                    <w:tl2br w:val="nil"/>
                    <w:tr2bl w:val="nil"/>
                  </w:tcBorders>
                  <w:vAlign w:val="center"/>
                </w:tcPr>
                <w:p w14:paraId="293534E5">
                  <w:pPr>
                    <w:pStyle w:val="20"/>
                    <w:widowControl w:val="0"/>
                    <w:snapToGrid w:val="0"/>
                    <w:spacing w:before="0" w:beforeAutospacing="0" w:after="0" w:afterAutospacing="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drawing>
                      <wp:inline distT="0" distB="0" distL="0" distR="0">
                        <wp:extent cx="729615" cy="736600"/>
                        <wp:effectExtent l="0" t="0" r="1905" b="10160"/>
                        <wp:docPr id="3"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5"/>
                                <pic:cNvPicPr>
                                  <a:picLocks noChangeAspect="1" noChangeArrowheads="1"/>
                                </pic:cNvPicPr>
                              </pic:nvPicPr>
                              <pic:blipFill>
                                <a:blip r:embed="rId30"/>
                                <a:srcRect/>
                                <a:stretch>
                                  <a:fillRect/>
                                </a:stretch>
                              </pic:blipFill>
                              <pic:spPr>
                                <a:xfrm>
                                  <a:off x="0" y="0"/>
                                  <a:ext cx="732129" cy="739102"/>
                                </a:xfrm>
                                <a:prstGeom prst="rect">
                                  <a:avLst/>
                                </a:prstGeom>
                                <a:noFill/>
                                <a:ln w="9525">
                                  <a:noFill/>
                                  <a:miter lim="800000"/>
                                  <a:headEnd/>
                                  <a:tailEnd/>
                                </a:ln>
                              </pic:spPr>
                            </pic:pic>
                          </a:graphicData>
                        </a:graphic>
                      </wp:inline>
                    </w:drawing>
                  </w:r>
                </w:p>
              </w:tc>
              <w:tc>
                <w:tcPr>
                  <w:tcW w:w="1438" w:type="dxa"/>
                  <w:tcBorders>
                    <w:tl2br w:val="nil"/>
                    <w:tr2bl w:val="nil"/>
                  </w:tcBorders>
                  <w:vAlign w:val="center"/>
                </w:tcPr>
                <w:p w14:paraId="43E3FA41">
                  <w:pPr>
                    <w:pStyle w:val="20"/>
                    <w:widowControl w:val="0"/>
                    <w:snapToGrid w:val="0"/>
                    <w:spacing w:before="0" w:beforeAutospacing="0" w:after="0" w:afterAutospacing="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sz w:val="21"/>
                      <w:szCs w:val="21"/>
                      <w:highlight w:val="none"/>
                    </w:rPr>
                    <w:drawing>
                      <wp:inline distT="0" distB="0" distL="0" distR="0">
                        <wp:extent cx="737870" cy="709295"/>
                        <wp:effectExtent l="0" t="0" r="8890" b="6985"/>
                        <wp:docPr id="8"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9"/>
                                <pic:cNvPicPr>
                                  <a:picLocks noChangeAspect="1" noChangeArrowheads="1"/>
                                </pic:cNvPicPr>
                              </pic:nvPicPr>
                              <pic:blipFill>
                                <a:blip r:embed="rId31"/>
                                <a:srcRect/>
                                <a:stretch>
                                  <a:fillRect/>
                                </a:stretch>
                              </pic:blipFill>
                              <pic:spPr>
                                <a:xfrm>
                                  <a:off x="0" y="0"/>
                                  <a:ext cx="740105" cy="711911"/>
                                </a:xfrm>
                                <a:prstGeom prst="rect">
                                  <a:avLst/>
                                </a:prstGeom>
                                <a:noFill/>
                                <a:ln w="9525">
                                  <a:noFill/>
                                  <a:miter lim="800000"/>
                                  <a:headEnd/>
                                  <a:tailEnd/>
                                </a:ln>
                              </pic:spPr>
                            </pic:pic>
                          </a:graphicData>
                        </a:graphic>
                      </wp:inline>
                    </w:drawing>
                  </w:r>
                </w:p>
              </w:tc>
              <w:tc>
                <w:tcPr>
                  <w:tcW w:w="1431" w:type="dxa"/>
                  <w:tcBorders>
                    <w:tl2br w:val="nil"/>
                    <w:tr2bl w:val="nil"/>
                  </w:tcBorders>
                  <w:vAlign w:val="center"/>
                </w:tcPr>
                <w:p w14:paraId="6CAA688D">
                  <w:pPr>
                    <w:pStyle w:val="20"/>
                    <w:widowControl w:val="0"/>
                    <w:snapToGrid w:val="0"/>
                    <w:spacing w:before="0" w:beforeAutospacing="0" w:after="0" w:afterAutospacing="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sz w:val="21"/>
                      <w:szCs w:val="21"/>
                      <w:highlight w:val="none"/>
                    </w:rPr>
                    <w:drawing>
                      <wp:inline distT="0" distB="0" distL="0" distR="0">
                        <wp:extent cx="753745" cy="746125"/>
                        <wp:effectExtent l="0" t="0" r="8255" b="635"/>
                        <wp:docPr id="9"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3"/>
                                <pic:cNvPicPr>
                                  <a:picLocks noChangeAspect="1" noChangeArrowheads="1"/>
                                </pic:cNvPicPr>
                              </pic:nvPicPr>
                              <pic:blipFill>
                                <a:blip r:embed="rId32"/>
                                <a:srcRect/>
                                <a:stretch>
                                  <a:fillRect/>
                                </a:stretch>
                              </pic:blipFill>
                              <pic:spPr>
                                <a:xfrm>
                                  <a:off x="0" y="0"/>
                                  <a:ext cx="756054" cy="748854"/>
                                </a:xfrm>
                                <a:prstGeom prst="rect">
                                  <a:avLst/>
                                </a:prstGeom>
                                <a:noFill/>
                                <a:ln w="9525">
                                  <a:noFill/>
                                  <a:miter lim="800000"/>
                                  <a:headEnd/>
                                  <a:tailEnd/>
                                </a:ln>
                              </pic:spPr>
                            </pic:pic>
                          </a:graphicData>
                        </a:graphic>
                      </wp:inline>
                    </w:drawing>
                  </w:r>
                </w:p>
              </w:tc>
              <w:tc>
                <w:tcPr>
                  <w:tcW w:w="1386" w:type="dxa"/>
                  <w:tcBorders>
                    <w:tl2br w:val="nil"/>
                    <w:tr2bl w:val="nil"/>
                  </w:tcBorders>
                  <w:vAlign w:val="center"/>
                </w:tcPr>
                <w:p w14:paraId="562C0C01">
                  <w:pPr>
                    <w:pStyle w:val="20"/>
                    <w:widowControl w:val="0"/>
                    <w:snapToGrid w:val="0"/>
                    <w:spacing w:before="0" w:beforeAutospacing="0" w:after="0" w:afterAutospacing="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drawing>
                      <wp:inline distT="0" distB="0" distL="0" distR="0">
                        <wp:extent cx="675640" cy="716280"/>
                        <wp:effectExtent l="0" t="0" r="10160" b="0"/>
                        <wp:docPr id="10"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4"/>
                                <pic:cNvPicPr>
                                  <a:picLocks noChangeAspect="1" noChangeArrowheads="1"/>
                                </pic:cNvPicPr>
                              </pic:nvPicPr>
                              <pic:blipFill>
                                <a:blip r:embed="rId33"/>
                                <a:srcRect/>
                                <a:stretch>
                                  <a:fillRect/>
                                </a:stretch>
                              </pic:blipFill>
                              <pic:spPr>
                                <a:xfrm>
                                  <a:off x="0" y="0"/>
                                  <a:ext cx="678262" cy="719370"/>
                                </a:xfrm>
                                <a:prstGeom prst="rect">
                                  <a:avLst/>
                                </a:prstGeom>
                                <a:noFill/>
                                <a:ln w="9525">
                                  <a:noFill/>
                                  <a:miter lim="800000"/>
                                  <a:headEnd/>
                                  <a:tailEnd/>
                                </a:ln>
                              </pic:spPr>
                            </pic:pic>
                          </a:graphicData>
                        </a:graphic>
                      </wp:inline>
                    </w:drawing>
                  </w:r>
                </w:p>
              </w:tc>
              <w:tc>
                <w:tcPr>
                  <w:tcW w:w="1363" w:type="dxa"/>
                  <w:tcBorders>
                    <w:tl2br w:val="nil"/>
                    <w:tr2bl w:val="nil"/>
                  </w:tcBorders>
                  <w:vAlign w:val="center"/>
                </w:tcPr>
                <w:p w14:paraId="55465423">
                  <w:pPr>
                    <w:pStyle w:val="20"/>
                    <w:widowControl w:val="0"/>
                    <w:snapToGrid w:val="0"/>
                    <w:spacing w:before="0" w:beforeAutospacing="0" w:after="0" w:afterAutospacing="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r>
            <w:tr w14:paraId="035DD06E">
              <w:tblPrEx>
                <w:tblBorders>
                  <w:top w:val="single" w:color="auto" w:sz="8" w:space="0"/>
                  <w:left w:val="none" w:color="auto" w:sz="0" w:space="0"/>
                  <w:bottom w:val="single" w:color="auto" w:sz="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702" w:type="dxa"/>
                  <w:tcBorders>
                    <w:tl2br w:val="nil"/>
                    <w:tr2bl w:val="nil"/>
                  </w:tcBorders>
                  <w:vAlign w:val="center"/>
                </w:tcPr>
                <w:p w14:paraId="77290DDF">
                  <w:pPr>
                    <w:pStyle w:val="20"/>
                    <w:widowControl w:val="0"/>
                    <w:snapToGrid w:val="0"/>
                    <w:spacing w:before="0" w:beforeAutospacing="0" w:after="0" w:afterAutospacing="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警告图形符号</w:t>
                  </w:r>
                </w:p>
              </w:tc>
              <w:tc>
                <w:tcPr>
                  <w:tcW w:w="1297" w:type="dxa"/>
                  <w:tcBorders>
                    <w:tl2br w:val="nil"/>
                    <w:tr2bl w:val="nil"/>
                  </w:tcBorders>
                  <w:vAlign w:val="center"/>
                </w:tcPr>
                <w:p w14:paraId="44F22BFD">
                  <w:pPr>
                    <w:pStyle w:val="20"/>
                    <w:widowControl w:val="0"/>
                    <w:snapToGrid w:val="0"/>
                    <w:spacing w:before="0" w:beforeAutospacing="0" w:after="0" w:afterAutospacing="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c>
                <w:tcPr>
                  <w:tcW w:w="1438" w:type="dxa"/>
                  <w:tcBorders>
                    <w:tl2br w:val="nil"/>
                    <w:tr2bl w:val="nil"/>
                  </w:tcBorders>
                  <w:vAlign w:val="center"/>
                </w:tcPr>
                <w:p w14:paraId="2FB31A54">
                  <w:pPr>
                    <w:pStyle w:val="20"/>
                    <w:widowControl w:val="0"/>
                    <w:snapToGrid w:val="0"/>
                    <w:spacing w:before="0" w:beforeAutospacing="0" w:after="0" w:afterAutospacing="0"/>
                    <w:jc w:val="center"/>
                    <w:rPr>
                      <w:rFonts w:hint="eastAsia" w:ascii="Times New Roman" w:hAnsi="Times New Roman" w:eastAsia="宋体"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w:t>
                  </w:r>
                </w:p>
              </w:tc>
              <w:tc>
                <w:tcPr>
                  <w:tcW w:w="1431" w:type="dxa"/>
                  <w:tcBorders>
                    <w:tl2br w:val="nil"/>
                    <w:tr2bl w:val="nil"/>
                  </w:tcBorders>
                  <w:vAlign w:val="center"/>
                </w:tcPr>
                <w:p w14:paraId="2A667E9A">
                  <w:pPr>
                    <w:pStyle w:val="20"/>
                    <w:widowControl w:val="0"/>
                    <w:snapToGrid w:val="0"/>
                    <w:spacing w:before="0" w:beforeAutospacing="0" w:after="0" w:afterAutospacing="0"/>
                    <w:jc w:val="center"/>
                    <w:rPr>
                      <w:rFonts w:hint="eastAsia" w:ascii="Times New Roman" w:hAnsi="Times New Roman" w:eastAsia="宋体" w:cs="Times New Roman"/>
                      <w:color w:val="auto"/>
                      <w:kern w:val="2"/>
                      <w:sz w:val="21"/>
                      <w:szCs w:val="21"/>
                      <w:highlight w:val="none"/>
                      <w:lang w:val="en-US" w:eastAsia="zh-CN"/>
                    </w:rPr>
                  </w:pPr>
                  <w:r>
                    <w:rPr>
                      <w:rFonts w:hint="eastAsia" w:ascii="Times New Roman" w:hAnsi="Times New Roman" w:cs="Times New Roman"/>
                      <w:color w:val="auto"/>
                      <w:kern w:val="2"/>
                      <w:sz w:val="21"/>
                      <w:szCs w:val="21"/>
                      <w:highlight w:val="none"/>
                      <w:lang w:val="en-US" w:eastAsia="zh-CN"/>
                    </w:rPr>
                    <w:t>/</w:t>
                  </w:r>
                </w:p>
              </w:tc>
              <w:tc>
                <w:tcPr>
                  <w:tcW w:w="1386" w:type="dxa"/>
                  <w:tcBorders>
                    <w:tl2br w:val="nil"/>
                    <w:tr2bl w:val="nil"/>
                  </w:tcBorders>
                  <w:vAlign w:val="center"/>
                </w:tcPr>
                <w:p w14:paraId="263665A0">
                  <w:pPr>
                    <w:pStyle w:val="20"/>
                    <w:widowControl w:val="0"/>
                    <w:snapToGrid w:val="0"/>
                    <w:spacing w:before="0" w:beforeAutospacing="0" w:after="0" w:afterAutospacing="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c>
                <w:tcPr>
                  <w:tcW w:w="1363" w:type="dxa"/>
                  <w:tcBorders>
                    <w:tl2br w:val="nil"/>
                    <w:tr2bl w:val="nil"/>
                  </w:tcBorders>
                  <w:vAlign w:val="center"/>
                </w:tcPr>
                <w:p w14:paraId="5CDF9FF9">
                  <w:pPr>
                    <w:pStyle w:val="20"/>
                    <w:widowControl w:val="0"/>
                    <w:snapToGrid w:val="0"/>
                    <w:spacing w:before="0" w:beforeAutospacing="0" w:after="0" w:afterAutospacing="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32"/>
                      <w:szCs w:val="22"/>
                      <w:highlight w:val="none"/>
                    </w:rPr>
                    <w:drawing>
                      <wp:inline distT="0" distB="0" distL="114300" distR="114300">
                        <wp:extent cx="728345" cy="608330"/>
                        <wp:effectExtent l="0" t="0" r="3175" b="1270"/>
                        <wp:docPr id="2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
                                <pic:cNvPicPr>
                                  <a:picLocks noChangeAspect="1"/>
                                </pic:cNvPicPr>
                              </pic:nvPicPr>
                              <pic:blipFill>
                                <a:blip r:embed="rId34"/>
                                <a:stretch>
                                  <a:fillRect/>
                                </a:stretch>
                              </pic:blipFill>
                              <pic:spPr>
                                <a:xfrm>
                                  <a:off x="0" y="0"/>
                                  <a:ext cx="728345" cy="608330"/>
                                </a:xfrm>
                                <a:prstGeom prst="rect">
                                  <a:avLst/>
                                </a:prstGeom>
                                <a:noFill/>
                                <a:ln>
                                  <a:noFill/>
                                </a:ln>
                              </pic:spPr>
                            </pic:pic>
                          </a:graphicData>
                        </a:graphic>
                      </wp:inline>
                    </w:drawing>
                  </w:r>
                </w:p>
              </w:tc>
            </w:tr>
            <w:tr w14:paraId="7BA4D527">
              <w:tblPrEx>
                <w:tblBorders>
                  <w:top w:val="single" w:color="auto" w:sz="8" w:space="0"/>
                  <w:left w:val="none" w:color="auto" w:sz="0" w:space="0"/>
                  <w:bottom w:val="single" w:color="auto" w:sz="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702" w:type="dxa"/>
                  <w:tcBorders>
                    <w:tl2br w:val="nil"/>
                    <w:tr2bl w:val="nil"/>
                  </w:tcBorders>
                  <w:vAlign w:val="center"/>
                </w:tcPr>
                <w:p w14:paraId="2ACA6D67">
                  <w:pPr>
                    <w:pStyle w:val="20"/>
                    <w:widowControl w:val="0"/>
                    <w:snapToGrid w:val="0"/>
                    <w:spacing w:before="0" w:beforeAutospacing="0" w:after="0" w:afterAutospacing="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功能</w:t>
                  </w:r>
                </w:p>
              </w:tc>
              <w:tc>
                <w:tcPr>
                  <w:tcW w:w="1297" w:type="dxa"/>
                  <w:tcBorders>
                    <w:tl2br w:val="nil"/>
                    <w:tr2bl w:val="nil"/>
                  </w:tcBorders>
                  <w:vAlign w:val="center"/>
                </w:tcPr>
                <w:p w14:paraId="5AE3E1E3">
                  <w:pPr>
                    <w:pStyle w:val="20"/>
                    <w:widowControl w:val="0"/>
                    <w:snapToGrid w:val="0"/>
                    <w:spacing w:before="0" w:beforeAutospacing="0" w:after="0" w:afterAutospacing="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废气向大气环境排放</w:t>
                  </w:r>
                </w:p>
              </w:tc>
              <w:tc>
                <w:tcPr>
                  <w:tcW w:w="1438" w:type="dxa"/>
                  <w:tcBorders>
                    <w:tl2br w:val="nil"/>
                    <w:tr2bl w:val="nil"/>
                  </w:tcBorders>
                  <w:vAlign w:val="center"/>
                </w:tcPr>
                <w:p w14:paraId="0EAD4B98">
                  <w:pPr>
                    <w:pStyle w:val="20"/>
                    <w:widowControl w:val="0"/>
                    <w:snapToGrid w:val="0"/>
                    <w:spacing w:before="0" w:beforeAutospacing="0" w:after="0" w:afterAutospacing="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表示污水向水体排放表示</w:t>
                  </w:r>
                </w:p>
              </w:tc>
              <w:tc>
                <w:tcPr>
                  <w:tcW w:w="1431" w:type="dxa"/>
                  <w:tcBorders>
                    <w:tl2br w:val="nil"/>
                    <w:tr2bl w:val="nil"/>
                  </w:tcBorders>
                  <w:vAlign w:val="center"/>
                </w:tcPr>
                <w:p w14:paraId="6EB708F0">
                  <w:pPr>
                    <w:pStyle w:val="20"/>
                    <w:widowControl w:val="0"/>
                    <w:snapToGrid w:val="0"/>
                    <w:spacing w:before="0" w:beforeAutospacing="0" w:after="0" w:afterAutospacing="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表示噪声向外环境排放</w:t>
                  </w:r>
                </w:p>
              </w:tc>
              <w:tc>
                <w:tcPr>
                  <w:tcW w:w="1386" w:type="dxa"/>
                  <w:tcBorders>
                    <w:tl2br w:val="nil"/>
                    <w:tr2bl w:val="nil"/>
                  </w:tcBorders>
                  <w:vAlign w:val="center"/>
                </w:tcPr>
                <w:p w14:paraId="7D6D6971">
                  <w:pPr>
                    <w:pStyle w:val="20"/>
                    <w:widowControl w:val="0"/>
                    <w:snapToGrid w:val="0"/>
                    <w:spacing w:before="0" w:beforeAutospacing="0" w:after="0" w:afterAutospacing="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表示一般工业固体废物贮存、处置场所</w:t>
                  </w:r>
                </w:p>
              </w:tc>
              <w:tc>
                <w:tcPr>
                  <w:tcW w:w="1363" w:type="dxa"/>
                  <w:tcBorders>
                    <w:tl2br w:val="nil"/>
                    <w:tr2bl w:val="nil"/>
                  </w:tcBorders>
                  <w:vAlign w:val="center"/>
                </w:tcPr>
                <w:p w14:paraId="28C58078">
                  <w:pPr>
                    <w:pStyle w:val="20"/>
                    <w:widowControl w:val="0"/>
                    <w:snapToGrid w:val="0"/>
                    <w:spacing w:before="0" w:beforeAutospacing="0" w:after="0" w:afterAutospacing="0"/>
                    <w:jc w:val="both"/>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表示危险废物贮存、处置场所</w:t>
                  </w:r>
                </w:p>
              </w:tc>
            </w:tr>
          </w:tbl>
          <w:p w14:paraId="7B78216A">
            <w:pPr>
              <w:snapToGrid w:val="0"/>
              <w:spacing w:before="120" w:beforeLines="50" w:line="360" w:lineRule="auto"/>
              <w:ind w:firstLine="472" w:firstLineChars="196"/>
              <w:rPr>
                <w:rFonts w:hint="default" w:ascii="Times New Roman" w:hAnsi="Times New Roman" w:eastAsia="宋体" w:cs="Times New Roman"/>
                <w:b/>
                <w:bCs/>
                <w:color w:val="auto"/>
                <w:sz w:val="24"/>
                <w:highlight w:val="none"/>
              </w:rPr>
            </w:pPr>
            <w:r>
              <w:rPr>
                <w:rFonts w:hint="eastAsia" w:cs="Times New Roman"/>
                <w:b/>
                <w:bCs/>
                <w:color w:val="auto"/>
                <w:sz w:val="24"/>
                <w:highlight w:val="none"/>
                <w:lang w:val="en-US" w:eastAsia="zh-CN"/>
              </w:rPr>
              <w:t>3、</w:t>
            </w:r>
            <w:r>
              <w:rPr>
                <w:rFonts w:hint="default" w:ascii="Times New Roman" w:hAnsi="Times New Roman" w:eastAsia="宋体" w:cs="Times New Roman"/>
                <w:b/>
                <w:bCs/>
                <w:color w:val="auto"/>
                <w:sz w:val="24"/>
                <w:highlight w:val="none"/>
                <w:lang w:val="en-US" w:eastAsia="zh-CN"/>
              </w:rPr>
              <w:t>监测点位</w:t>
            </w:r>
            <w:r>
              <w:rPr>
                <w:rFonts w:hint="default" w:ascii="Times New Roman" w:hAnsi="Times New Roman" w:eastAsia="宋体" w:cs="Times New Roman"/>
                <w:b/>
                <w:bCs/>
                <w:color w:val="auto"/>
                <w:sz w:val="24"/>
                <w:highlight w:val="none"/>
              </w:rPr>
              <w:t>设置</w:t>
            </w:r>
          </w:p>
          <w:p w14:paraId="0F28084B">
            <w:pPr>
              <w:spacing w:line="360" w:lineRule="auto"/>
              <w:ind w:firstLine="480" w:firstLineChars="200"/>
              <w:rPr>
                <w:rFonts w:hint="default" w:ascii="Times New Roman" w:hAnsi="Times New Roman" w:eastAsia="宋体" w:cs="Times New Roman"/>
                <w:bCs/>
                <w:color w:val="auto"/>
                <w:sz w:val="24"/>
                <w:highlight w:val="none"/>
                <w:lang w:val="en-US" w:eastAsia="zh-CN"/>
              </w:rPr>
            </w:pPr>
            <w:r>
              <w:rPr>
                <w:rFonts w:hint="default" w:ascii="Times New Roman" w:hAnsi="Times New Roman" w:eastAsia="宋体" w:cs="Times New Roman"/>
                <w:bCs/>
                <w:color w:val="auto"/>
                <w:sz w:val="24"/>
                <w:highlight w:val="none"/>
              </w:rPr>
              <w:t>按照《固定污染源监测点位设置技术规范》（DB11/1195-2015）要求</w:t>
            </w:r>
            <w:r>
              <w:rPr>
                <w:rFonts w:hint="default" w:ascii="Times New Roman" w:hAnsi="Times New Roman" w:eastAsia="宋体" w:cs="Times New Roman"/>
                <w:bCs/>
                <w:color w:val="auto"/>
                <w:sz w:val="24"/>
                <w:highlight w:val="none"/>
                <w:lang w:eastAsia="zh-CN"/>
              </w:rPr>
              <w:t>，</w:t>
            </w:r>
            <w:r>
              <w:rPr>
                <w:rFonts w:hint="default" w:ascii="Times New Roman" w:hAnsi="Times New Roman" w:eastAsia="宋体" w:cs="Times New Roman"/>
                <w:bCs/>
                <w:color w:val="auto"/>
                <w:sz w:val="24"/>
                <w:highlight w:val="none"/>
              </w:rPr>
              <w:t>本项目</w:t>
            </w:r>
            <w:r>
              <w:rPr>
                <w:rFonts w:hint="default" w:ascii="Times New Roman" w:hAnsi="Times New Roman" w:eastAsia="宋体" w:cs="Times New Roman"/>
                <w:bCs/>
                <w:color w:val="auto"/>
                <w:sz w:val="24"/>
                <w:highlight w:val="none"/>
                <w:lang w:val="en-US" w:eastAsia="zh-CN"/>
              </w:rPr>
              <w:t>设置</w:t>
            </w:r>
            <w:r>
              <w:rPr>
                <w:rFonts w:hint="eastAsia" w:cs="Times New Roman"/>
                <w:bCs/>
                <w:color w:val="auto"/>
                <w:sz w:val="24"/>
                <w:highlight w:val="none"/>
                <w:lang w:val="en-US" w:eastAsia="zh-CN"/>
              </w:rPr>
              <w:t>1</w:t>
            </w:r>
            <w:r>
              <w:rPr>
                <w:rFonts w:hint="default" w:ascii="Times New Roman" w:hAnsi="Times New Roman" w:eastAsia="宋体" w:cs="Times New Roman"/>
                <w:bCs/>
                <w:color w:val="auto"/>
                <w:sz w:val="24"/>
                <w:highlight w:val="none"/>
                <w:lang w:val="en-US" w:eastAsia="zh-CN"/>
              </w:rPr>
              <w:t>个废气排放口（DA001）、一个废水排放口（DW001）。</w:t>
            </w:r>
          </w:p>
          <w:p w14:paraId="5866ADE3">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firstLine="480" w:firstLineChars="200"/>
              <w:textAlignment w:val="auto"/>
              <w:rPr>
                <w:rFonts w:hint="default" w:ascii="Times New Roman" w:hAnsi="Times New Roman" w:eastAsia="宋体" w:cs="Times New Roman"/>
                <w:b w:val="0"/>
                <w:bCs w:val="0"/>
                <w:color w:val="auto"/>
                <w:sz w:val="24"/>
                <w:szCs w:val="24"/>
                <w:highlight w:val="none"/>
                <w:lang w:val="en-US" w:eastAsia="zh-CN"/>
              </w:rPr>
            </w:pPr>
            <w:r>
              <w:rPr>
                <w:rFonts w:hint="default" w:ascii="Times New Roman" w:hAnsi="Times New Roman" w:eastAsia="宋体" w:cs="Times New Roman"/>
                <w:b w:val="0"/>
                <w:bCs w:val="0"/>
                <w:color w:val="auto"/>
                <w:sz w:val="24"/>
                <w:szCs w:val="24"/>
                <w:highlight w:val="none"/>
                <w:lang w:val="en-US" w:eastAsia="zh-CN"/>
              </w:rPr>
              <w:t>在排放口设立监测点位标志牌，建立排放口监测点位档案，档案内容应包含监测点位二维码涵盖的信息，以及对监测点位的管理记录，包括对标志牌的标识是否清晰完整，工作平台、梯架是否能正常使用，安全防护装置是否过期失效，防护设施有无破损现象，排放口附近有无堆积物等方面的检查和维修清理</w:t>
            </w:r>
            <w:r>
              <w:rPr>
                <w:rFonts w:hint="eastAsia" w:cs="Times New Roman"/>
                <w:b w:val="0"/>
                <w:bCs w:val="0"/>
                <w:color w:val="auto"/>
                <w:sz w:val="24"/>
                <w:szCs w:val="24"/>
                <w:highlight w:val="none"/>
                <w:lang w:val="en-US" w:eastAsia="zh-CN"/>
              </w:rPr>
              <w:t>的</w:t>
            </w:r>
            <w:r>
              <w:rPr>
                <w:rFonts w:hint="default" w:ascii="Times New Roman" w:hAnsi="Times New Roman" w:eastAsia="宋体" w:cs="Times New Roman"/>
                <w:b w:val="0"/>
                <w:bCs w:val="0"/>
                <w:color w:val="auto"/>
                <w:sz w:val="24"/>
                <w:szCs w:val="24"/>
                <w:highlight w:val="none"/>
                <w:lang w:val="en-US" w:eastAsia="zh-CN"/>
              </w:rPr>
              <w:t>记录，记录周期不少于每半年一次。监测点位标志牌示例图见下图。</w:t>
            </w:r>
          </w:p>
          <w:tbl>
            <w:tblPr>
              <w:tblStyle w:val="24"/>
              <w:tblW w:w="0" w:type="auto"/>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677"/>
              <w:gridCol w:w="3678"/>
            </w:tblGrid>
            <w:tr w14:paraId="5748622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2932" w:hRule="atLeast"/>
              </w:trPr>
              <w:tc>
                <w:tcPr>
                  <w:tcW w:w="3677" w:type="dxa"/>
                  <w:tcBorders>
                    <w:tl2br w:val="nil"/>
                    <w:tr2bl w:val="nil"/>
                  </w:tcBorders>
                  <w:vAlign w:val="center"/>
                </w:tcPr>
                <w:p w14:paraId="71F81C09">
                  <w:pPr>
                    <w:spacing w:line="360" w:lineRule="auto"/>
                    <w:jc w:val="center"/>
                    <w:rPr>
                      <w:rFonts w:hint="default" w:ascii="Times New Roman" w:hAnsi="Times New Roman" w:eastAsia="宋体" w:cs="Times New Roman"/>
                      <w:b w:val="0"/>
                      <w:bCs w:val="0"/>
                      <w:color w:val="auto"/>
                      <w:sz w:val="24"/>
                      <w:szCs w:val="24"/>
                      <w:highlight w:val="none"/>
                      <w:vertAlign w:val="baseline"/>
                      <w:lang w:val="en-US" w:eastAsia="zh-CN"/>
                    </w:rPr>
                  </w:pPr>
                  <w:r>
                    <w:rPr>
                      <w:color w:val="auto"/>
                    </w:rPr>
                    <w:drawing>
                      <wp:inline distT="0" distB="0" distL="114300" distR="114300">
                        <wp:extent cx="2195830" cy="1831340"/>
                        <wp:effectExtent l="0" t="0" r="13970" b="12700"/>
                        <wp:docPr id="3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4"/>
                                <pic:cNvPicPr>
                                  <a:picLocks noChangeAspect="1"/>
                                </pic:cNvPicPr>
                              </pic:nvPicPr>
                              <pic:blipFill>
                                <a:blip r:embed="rId35"/>
                                <a:stretch>
                                  <a:fillRect/>
                                </a:stretch>
                              </pic:blipFill>
                              <pic:spPr>
                                <a:xfrm>
                                  <a:off x="0" y="0"/>
                                  <a:ext cx="2195830" cy="1831340"/>
                                </a:xfrm>
                                <a:prstGeom prst="rect">
                                  <a:avLst/>
                                </a:prstGeom>
                                <a:noFill/>
                                <a:ln>
                                  <a:noFill/>
                                </a:ln>
                              </pic:spPr>
                            </pic:pic>
                          </a:graphicData>
                        </a:graphic>
                      </wp:inline>
                    </w:drawing>
                  </w:r>
                </w:p>
              </w:tc>
              <w:tc>
                <w:tcPr>
                  <w:tcW w:w="3678" w:type="dxa"/>
                  <w:tcBorders>
                    <w:tl2br w:val="nil"/>
                    <w:tr2bl w:val="nil"/>
                  </w:tcBorders>
                  <w:vAlign w:val="center"/>
                </w:tcPr>
                <w:p w14:paraId="4A082683">
                  <w:pPr>
                    <w:spacing w:line="360" w:lineRule="auto"/>
                    <w:jc w:val="center"/>
                    <w:rPr>
                      <w:rFonts w:hint="default" w:ascii="Times New Roman" w:hAnsi="Times New Roman" w:eastAsia="宋体" w:cs="Times New Roman"/>
                      <w:b w:val="0"/>
                      <w:bCs w:val="0"/>
                      <w:color w:val="auto"/>
                      <w:sz w:val="24"/>
                      <w:szCs w:val="24"/>
                      <w:highlight w:val="none"/>
                      <w:vertAlign w:val="baseline"/>
                      <w:lang w:val="en-US" w:eastAsia="zh-CN"/>
                    </w:rPr>
                  </w:pPr>
                  <w:r>
                    <w:rPr>
                      <w:color w:val="auto"/>
                    </w:rPr>
                    <w:drawing>
                      <wp:inline distT="0" distB="0" distL="114300" distR="114300">
                        <wp:extent cx="2239645" cy="1777365"/>
                        <wp:effectExtent l="0" t="0" r="635" b="5715"/>
                        <wp:docPr id="3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5"/>
                                <pic:cNvPicPr>
                                  <a:picLocks noChangeAspect="1"/>
                                </pic:cNvPicPr>
                              </pic:nvPicPr>
                              <pic:blipFill>
                                <a:blip r:embed="rId36"/>
                                <a:stretch>
                                  <a:fillRect/>
                                </a:stretch>
                              </pic:blipFill>
                              <pic:spPr>
                                <a:xfrm>
                                  <a:off x="0" y="0"/>
                                  <a:ext cx="2239645" cy="1777365"/>
                                </a:xfrm>
                                <a:prstGeom prst="rect">
                                  <a:avLst/>
                                </a:prstGeom>
                                <a:noFill/>
                                <a:ln>
                                  <a:noFill/>
                                </a:ln>
                              </pic:spPr>
                            </pic:pic>
                          </a:graphicData>
                        </a:graphic>
                      </wp:inline>
                    </w:drawing>
                  </w:r>
                </w:p>
              </w:tc>
            </w:tr>
          </w:tbl>
          <w:p w14:paraId="7E683327">
            <w:pPr>
              <w:spacing w:line="360" w:lineRule="auto"/>
              <w:ind w:firstLine="2409" w:firstLineChars="1000"/>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图5-1 监测点位标志牌示意图</w:t>
            </w:r>
          </w:p>
          <w:p w14:paraId="3A6C8C83">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firstLine="482" w:firstLineChars="200"/>
              <w:textAlignment w:val="auto"/>
              <w:rPr>
                <w:rFonts w:hint="default" w:ascii="Times New Roman" w:hAnsi="Times New Roman" w:eastAsia="宋体" w:cs="Times New Roman"/>
                <w:b/>
                <w:bCs/>
                <w:color w:val="auto"/>
                <w:sz w:val="24"/>
                <w:szCs w:val="24"/>
                <w:highlight w:val="none"/>
                <w:lang w:val="en-US" w:eastAsia="zh-CN"/>
              </w:rPr>
            </w:pPr>
            <w:r>
              <w:rPr>
                <w:rFonts w:hint="eastAsia" w:cs="Times New Roman"/>
                <w:b/>
                <w:bCs/>
                <w:color w:val="auto"/>
                <w:sz w:val="24"/>
                <w:szCs w:val="24"/>
                <w:highlight w:val="none"/>
                <w:lang w:val="en-US" w:eastAsia="zh-CN"/>
              </w:rPr>
              <w:t>4、</w:t>
            </w:r>
            <w:r>
              <w:rPr>
                <w:rFonts w:hint="default" w:ascii="Times New Roman" w:hAnsi="Times New Roman" w:eastAsia="宋体" w:cs="Times New Roman"/>
                <w:b/>
                <w:bCs/>
                <w:color w:val="auto"/>
                <w:sz w:val="24"/>
                <w:szCs w:val="24"/>
                <w:highlight w:val="none"/>
                <w:lang w:val="en-US" w:eastAsia="zh-CN"/>
              </w:rPr>
              <w:t>项目竣工环境保护验收</w:t>
            </w:r>
          </w:p>
          <w:p w14:paraId="2B43E64A">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firstLine="480" w:firstLineChars="200"/>
              <w:textAlignment w:val="auto"/>
              <w:rPr>
                <w:rFonts w:hint="default" w:ascii="Times New Roman" w:hAnsi="Times New Roman" w:eastAsia="宋体" w:cs="Times New Roman"/>
                <w:b w:val="0"/>
                <w:bCs w:val="0"/>
                <w:color w:val="auto"/>
                <w:sz w:val="24"/>
                <w:szCs w:val="24"/>
                <w:highlight w:val="none"/>
                <w:lang w:val="en-US" w:eastAsia="zh-CN"/>
              </w:rPr>
            </w:pPr>
            <w:r>
              <w:rPr>
                <w:rFonts w:hint="eastAsia" w:ascii="Times New Roman" w:hAnsi="Times New Roman" w:eastAsia="宋体" w:cs="Times New Roman"/>
                <w:color w:val="auto"/>
                <w:sz w:val="24"/>
                <w:highlight w:val="none"/>
                <w:lang w:val="en-US" w:eastAsia="zh-CN"/>
              </w:rPr>
              <w:t>根据生态环境保护部《关于发布〈建设项目竣工环境保护验收技术指南污染影响类〉的公告》（生态环境部公告，</w:t>
            </w:r>
            <w:r>
              <w:rPr>
                <w:rFonts w:hint="default" w:ascii="Times New Roman" w:hAnsi="Times New Roman" w:eastAsia="宋体" w:cs="Times New Roman"/>
                <w:color w:val="auto"/>
                <w:sz w:val="24"/>
                <w:highlight w:val="none"/>
                <w:lang w:val="en-US" w:eastAsia="zh-CN"/>
              </w:rPr>
              <w:t>2018</w:t>
            </w:r>
            <w:r>
              <w:rPr>
                <w:rFonts w:hint="eastAsia" w:ascii="Times New Roman" w:hAnsi="Times New Roman" w:eastAsia="宋体" w:cs="Times New Roman"/>
                <w:color w:val="auto"/>
                <w:sz w:val="24"/>
                <w:highlight w:val="none"/>
                <w:lang w:val="en-US" w:eastAsia="zh-CN"/>
              </w:rPr>
              <w:t>年第</w:t>
            </w:r>
            <w:r>
              <w:rPr>
                <w:rFonts w:hint="default" w:ascii="Times New Roman" w:hAnsi="Times New Roman" w:eastAsia="宋体" w:cs="Times New Roman"/>
                <w:color w:val="auto"/>
                <w:sz w:val="24"/>
                <w:highlight w:val="none"/>
                <w:lang w:val="en-US" w:eastAsia="zh-CN"/>
              </w:rPr>
              <w:t>9</w:t>
            </w:r>
            <w:r>
              <w:rPr>
                <w:rFonts w:hint="eastAsia" w:ascii="Times New Roman" w:hAnsi="Times New Roman" w:eastAsia="宋体" w:cs="Times New Roman"/>
                <w:color w:val="auto"/>
                <w:sz w:val="24"/>
                <w:highlight w:val="none"/>
                <w:lang w:val="en-US" w:eastAsia="zh-CN"/>
              </w:rPr>
              <w:t>号）中附件《建设项目竣工环境保护验收技术指南污染影响类》，建设项目竣工后，建设单位应对其环境保护设施进行验收，自行或委托技术机构编制验收报告，公开、登记相关信息并建立档案。</w:t>
            </w:r>
            <w:r>
              <w:rPr>
                <w:rFonts w:hint="default" w:ascii="Times New Roman" w:hAnsi="Times New Roman" w:eastAsia="宋体" w:cs="Times New Roman"/>
                <w:b w:val="0"/>
                <w:bCs w:val="0"/>
                <w:color w:val="auto"/>
                <w:sz w:val="24"/>
                <w:szCs w:val="24"/>
                <w:highlight w:val="none"/>
                <w:lang w:val="en-US" w:eastAsia="zh-CN"/>
              </w:rPr>
              <w:t>本项目竣工环保</w:t>
            </w:r>
            <w:r>
              <w:rPr>
                <w:rFonts w:hint="eastAsia" w:cs="Times New Roman"/>
                <w:b w:val="0"/>
                <w:bCs w:val="0"/>
                <w:color w:val="auto"/>
                <w:sz w:val="24"/>
                <w:szCs w:val="24"/>
                <w:highlight w:val="none"/>
                <w:lang w:val="en-US" w:eastAsia="zh-CN"/>
              </w:rPr>
              <w:t>“</w:t>
            </w:r>
            <w:r>
              <w:rPr>
                <w:rFonts w:hint="default" w:ascii="Times New Roman" w:hAnsi="Times New Roman" w:eastAsia="宋体" w:cs="Times New Roman"/>
                <w:b w:val="0"/>
                <w:bCs w:val="0"/>
                <w:color w:val="auto"/>
                <w:sz w:val="24"/>
                <w:szCs w:val="24"/>
                <w:highlight w:val="none"/>
                <w:lang w:val="en-US" w:eastAsia="zh-CN"/>
              </w:rPr>
              <w:t>三同时</w:t>
            </w:r>
            <w:r>
              <w:rPr>
                <w:rFonts w:hint="eastAsia" w:cs="Times New Roman"/>
                <w:b w:val="0"/>
                <w:bCs w:val="0"/>
                <w:color w:val="auto"/>
                <w:sz w:val="24"/>
                <w:szCs w:val="24"/>
                <w:highlight w:val="none"/>
                <w:lang w:val="en-US" w:eastAsia="zh-CN"/>
              </w:rPr>
              <w:t>”</w:t>
            </w:r>
            <w:r>
              <w:rPr>
                <w:rFonts w:hint="default" w:ascii="Times New Roman" w:hAnsi="Times New Roman" w:eastAsia="宋体" w:cs="Times New Roman"/>
                <w:b w:val="0"/>
                <w:bCs w:val="0"/>
                <w:color w:val="auto"/>
                <w:sz w:val="24"/>
                <w:szCs w:val="24"/>
                <w:highlight w:val="none"/>
                <w:lang w:val="en-US" w:eastAsia="zh-CN"/>
              </w:rPr>
              <w:t>验收内容详见下表。</w:t>
            </w:r>
          </w:p>
          <w:p w14:paraId="63CEB925">
            <w:pPr>
              <w:numPr>
                <w:ilvl w:val="0"/>
                <w:numId w:val="28"/>
              </w:numPr>
              <w:adjustRightInd w:val="0"/>
              <w:spacing w:line="360" w:lineRule="auto"/>
              <w:ind w:left="425" w:leftChars="0" w:hanging="425" w:firstLineChars="0"/>
              <w:jc w:val="center"/>
              <w:rPr>
                <w:rFonts w:hint="default" w:ascii="Times New Roman" w:hAnsi="Times New Roman" w:eastAsia="宋体" w:cs="Times New Roman"/>
                <w:b/>
                <w:color w:val="auto"/>
                <w:spacing w:val="-4"/>
                <w:kern w:val="0"/>
                <w:sz w:val="24"/>
                <w:highlight w:val="none"/>
                <w:lang w:val="en-US" w:eastAsia="zh-CN"/>
              </w:rPr>
            </w:pPr>
            <w:r>
              <w:rPr>
                <w:rFonts w:hint="default" w:ascii="Times New Roman" w:hAnsi="Times New Roman" w:eastAsia="宋体" w:cs="Times New Roman"/>
                <w:b/>
                <w:color w:val="auto"/>
                <w:spacing w:val="-4"/>
                <w:kern w:val="0"/>
                <w:sz w:val="24"/>
                <w:highlight w:val="none"/>
                <w:lang w:val="en-US" w:eastAsia="zh-CN"/>
              </w:rPr>
              <w:t>本项目竣工环保</w:t>
            </w:r>
            <w:r>
              <w:rPr>
                <w:rFonts w:hint="eastAsia" w:cs="Times New Roman"/>
                <w:b/>
                <w:color w:val="auto"/>
                <w:spacing w:val="-4"/>
                <w:kern w:val="0"/>
                <w:sz w:val="24"/>
                <w:highlight w:val="none"/>
                <w:lang w:val="en-US" w:eastAsia="zh-CN"/>
              </w:rPr>
              <w:t>“</w:t>
            </w:r>
            <w:r>
              <w:rPr>
                <w:rFonts w:hint="default" w:ascii="Times New Roman" w:hAnsi="Times New Roman" w:eastAsia="宋体" w:cs="Times New Roman"/>
                <w:b/>
                <w:color w:val="auto"/>
                <w:spacing w:val="-4"/>
                <w:kern w:val="0"/>
                <w:sz w:val="24"/>
                <w:highlight w:val="none"/>
                <w:lang w:val="en-US" w:eastAsia="zh-CN"/>
              </w:rPr>
              <w:t>三同时</w:t>
            </w:r>
            <w:r>
              <w:rPr>
                <w:rFonts w:hint="eastAsia" w:cs="Times New Roman"/>
                <w:b/>
                <w:color w:val="auto"/>
                <w:spacing w:val="-4"/>
                <w:kern w:val="0"/>
                <w:sz w:val="24"/>
                <w:highlight w:val="none"/>
                <w:lang w:val="en-US" w:eastAsia="zh-CN"/>
              </w:rPr>
              <w:t>”</w:t>
            </w:r>
            <w:r>
              <w:rPr>
                <w:rFonts w:hint="default" w:ascii="Times New Roman" w:hAnsi="Times New Roman" w:eastAsia="宋体" w:cs="Times New Roman"/>
                <w:b/>
                <w:color w:val="auto"/>
                <w:spacing w:val="-4"/>
                <w:kern w:val="0"/>
                <w:sz w:val="24"/>
                <w:highlight w:val="none"/>
                <w:lang w:val="en-US" w:eastAsia="zh-CN"/>
              </w:rPr>
              <w:t>验收内容一览表</w:t>
            </w:r>
          </w:p>
          <w:tbl>
            <w:tblPr>
              <w:tblStyle w:val="23"/>
              <w:tblW w:w="4999" w:type="pct"/>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449"/>
              <w:gridCol w:w="971"/>
              <w:gridCol w:w="1641"/>
              <w:gridCol w:w="1969"/>
              <w:gridCol w:w="2426"/>
            </w:tblGrid>
            <w:tr w14:paraId="526402BC">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01" w:type="pct"/>
                  <w:tcBorders>
                    <w:tl2br w:val="nil"/>
                    <w:tr2bl w:val="nil"/>
                  </w:tcBorders>
                  <w:vAlign w:val="center"/>
                </w:tcPr>
                <w:p w14:paraId="7A301AC4">
                  <w:pPr>
                    <w:adjustRightIn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项目</w:t>
                  </w:r>
                </w:p>
              </w:tc>
              <w:tc>
                <w:tcPr>
                  <w:tcW w:w="651" w:type="pct"/>
                  <w:tcBorders>
                    <w:tl2br w:val="nil"/>
                    <w:tr2bl w:val="nil"/>
                  </w:tcBorders>
                  <w:vAlign w:val="center"/>
                </w:tcPr>
                <w:p w14:paraId="68B83960">
                  <w:pPr>
                    <w:adjustRightIn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污染源</w:t>
                  </w:r>
                </w:p>
              </w:tc>
              <w:tc>
                <w:tcPr>
                  <w:tcW w:w="1100" w:type="pct"/>
                  <w:tcBorders>
                    <w:tl2br w:val="nil"/>
                    <w:tr2bl w:val="nil"/>
                  </w:tcBorders>
                  <w:vAlign w:val="center"/>
                </w:tcPr>
                <w:p w14:paraId="65CDDB41">
                  <w:pPr>
                    <w:adjustRightIn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污染物</w:t>
                  </w:r>
                </w:p>
              </w:tc>
              <w:tc>
                <w:tcPr>
                  <w:tcW w:w="1320" w:type="pct"/>
                  <w:tcBorders>
                    <w:tl2br w:val="nil"/>
                    <w:tr2bl w:val="nil"/>
                  </w:tcBorders>
                  <w:vAlign w:val="center"/>
                </w:tcPr>
                <w:p w14:paraId="4CEF4A96">
                  <w:pPr>
                    <w:adjustRightIn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验收设施</w:t>
                  </w:r>
                </w:p>
              </w:tc>
              <w:tc>
                <w:tcPr>
                  <w:tcW w:w="1626" w:type="pct"/>
                  <w:tcBorders>
                    <w:tl2br w:val="nil"/>
                    <w:tr2bl w:val="nil"/>
                  </w:tcBorders>
                  <w:vAlign w:val="center"/>
                </w:tcPr>
                <w:p w14:paraId="448A19D9">
                  <w:pPr>
                    <w:adjustRightInd w:val="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验收标准要求</w:t>
                  </w:r>
                </w:p>
              </w:tc>
            </w:tr>
            <w:tr w14:paraId="1DC86655">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01" w:type="pct"/>
                  <w:tcBorders>
                    <w:tl2br w:val="nil"/>
                    <w:tr2bl w:val="nil"/>
                  </w:tcBorders>
                  <w:vAlign w:val="center"/>
                </w:tcPr>
                <w:p w14:paraId="09BF504A">
                  <w:pPr>
                    <w:adjustRightInd w:val="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废气</w:t>
                  </w:r>
                </w:p>
              </w:tc>
              <w:tc>
                <w:tcPr>
                  <w:tcW w:w="651" w:type="pct"/>
                  <w:tcBorders>
                    <w:tl2br w:val="nil"/>
                    <w:tr2bl w:val="nil"/>
                  </w:tcBorders>
                  <w:vAlign w:val="center"/>
                </w:tcPr>
                <w:p w14:paraId="3FF64FAB">
                  <w:pPr>
                    <w:adjustRightInd w:val="0"/>
                    <w:snapToGrid w:val="0"/>
                    <w:jc w:val="center"/>
                    <w:rPr>
                      <w:rFonts w:hint="eastAsia" w:ascii="Times New Roman" w:hAnsi="Times New Roman" w:eastAsia="宋体" w:cs="Times New Roman"/>
                      <w:bCs/>
                      <w:color w:val="auto"/>
                      <w:szCs w:val="21"/>
                      <w:highlight w:val="none"/>
                      <w:lang w:val="en-US" w:eastAsia="zh-CN"/>
                    </w:rPr>
                  </w:pPr>
                  <w:r>
                    <w:rPr>
                      <w:rFonts w:hint="eastAsia" w:cs="Times New Roman"/>
                      <w:color w:val="auto"/>
                      <w:szCs w:val="21"/>
                      <w:highlight w:val="none"/>
                      <w:lang w:val="en-US" w:eastAsia="zh-CN"/>
                    </w:rPr>
                    <w:t>无组织</w:t>
                  </w:r>
                </w:p>
              </w:tc>
              <w:tc>
                <w:tcPr>
                  <w:tcW w:w="1100" w:type="pct"/>
                  <w:tcBorders>
                    <w:tl2br w:val="nil"/>
                    <w:tr2bl w:val="nil"/>
                  </w:tcBorders>
                  <w:vAlign w:val="center"/>
                </w:tcPr>
                <w:p w14:paraId="1D4BD975">
                  <w:pPr>
                    <w:rPr>
                      <w:rFonts w:hint="default" w:ascii="Times New Roman" w:hAnsi="Times New Roman" w:eastAsia="宋体" w:cs="Times New Roman"/>
                      <w:bCs/>
                      <w:color w:val="auto"/>
                      <w:szCs w:val="21"/>
                      <w:highlight w:val="none"/>
                      <w:lang w:val="en-US" w:eastAsia="zh-CN"/>
                    </w:rPr>
                  </w:pPr>
                  <w:r>
                    <w:rPr>
                      <w:rFonts w:hint="eastAsia" w:cs="Times New Roman"/>
                      <w:color w:val="auto"/>
                      <w:kern w:val="0"/>
                      <w:sz w:val="21"/>
                      <w:szCs w:val="21"/>
                      <w:highlight w:val="none"/>
                      <w:vertAlign w:val="baseline"/>
                      <w:lang w:val="en-US" w:eastAsia="zh-CN"/>
                    </w:rPr>
                    <w:t>非甲烷总烃、颗粒物</w:t>
                  </w:r>
                </w:p>
              </w:tc>
              <w:tc>
                <w:tcPr>
                  <w:tcW w:w="1320" w:type="pct"/>
                  <w:tcBorders>
                    <w:tl2br w:val="nil"/>
                    <w:tr2bl w:val="nil"/>
                  </w:tcBorders>
                  <w:vAlign w:val="center"/>
                </w:tcPr>
                <w:p w14:paraId="7E75D4EC">
                  <w:pPr>
                    <w:jc w:val="center"/>
                    <w:rPr>
                      <w:rFonts w:hint="default" w:ascii="Times New Roman" w:hAnsi="Times New Roman" w:eastAsia="宋体" w:cs="Times New Roman"/>
                      <w:bCs/>
                      <w:color w:val="auto"/>
                      <w:szCs w:val="21"/>
                      <w:highlight w:val="none"/>
                      <w:lang w:val="en-US" w:eastAsia="zh-CN"/>
                    </w:rPr>
                  </w:pPr>
                  <w:r>
                    <w:rPr>
                      <w:rFonts w:hint="eastAsia" w:cs="Times New Roman"/>
                      <w:color w:val="auto"/>
                      <w:kern w:val="0"/>
                      <w:sz w:val="21"/>
                      <w:szCs w:val="21"/>
                      <w:lang w:val="en-US" w:eastAsia="zh-CN" w:bidi="ar"/>
                    </w:rPr>
                    <w:t>密闭手套箱、转轮式NMP回收系统、喷雾干燥器布袋收尘器</w:t>
                  </w:r>
                </w:p>
              </w:tc>
              <w:tc>
                <w:tcPr>
                  <w:tcW w:w="1626" w:type="pct"/>
                  <w:tcBorders>
                    <w:tl2br w:val="nil"/>
                    <w:tr2bl w:val="nil"/>
                  </w:tcBorders>
                  <w:vAlign w:val="center"/>
                </w:tcPr>
                <w:p w14:paraId="58EF23CC">
                  <w:pPr>
                    <w:adjustRightInd w:val="0"/>
                    <w:jc w:val="center"/>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color w:val="auto"/>
                      <w:szCs w:val="21"/>
                      <w:highlight w:val="none"/>
                      <w:lang w:val="zh-CN"/>
                    </w:rPr>
                    <w:t>北京市《大气污染物综合排放标准》（DB11/501-2017）中表3Ⅱ时段的</w:t>
                  </w:r>
                  <w:r>
                    <w:rPr>
                      <w:rFonts w:hint="eastAsia" w:cs="Times New Roman"/>
                      <w:color w:val="auto"/>
                      <w:szCs w:val="21"/>
                      <w:highlight w:val="none"/>
                      <w:lang w:val="en-US" w:eastAsia="zh-CN"/>
                    </w:rPr>
                    <w:t>相应限值要求</w:t>
                  </w:r>
                </w:p>
              </w:tc>
            </w:tr>
            <w:tr w14:paraId="4BBBDFDC">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01" w:type="pct"/>
                  <w:tcBorders>
                    <w:tl2br w:val="nil"/>
                    <w:tr2bl w:val="nil"/>
                  </w:tcBorders>
                  <w:vAlign w:val="center"/>
                </w:tcPr>
                <w:p w14:paraId="6AA7C2CF">
                  <w:pPr>
                    <w:pStyle w:val="2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废水</w:t>
                  </w:r>
                </w:p>
              </w:tc>
              <w:tc>
                <w:tcPr>
                  <w:tcW w:w="651" w:type="pct"/>
                  <w:tcBorders>
                    <w:tl2br w:val="nil"/>
                    <w:tr2bl w:val="nil"/>
                  </w:tcBorders>
                  <w:vAlign w:val="center"/>
                </w:tcPr>
                <w:p w14:paraId="24557B2F">
                  <w:pPr>
                    <w:adjustRightInd w:val="0"/>
                    <w:jc w:val="center"/>
                    <w:rPr>
                      <w:rFonts w:hint="default" w:ascii="Times New Roman" w:hAnsi="Times New Roman" w:eastAsia="宋体" w:cs="Times New Roman"/>
                      <w:bCs/>
                      <w:color w:val="auto"/>
                      <w:szCs w:val="21"/>
                      <w:highlight w:val="none"/>
                      <w:lang w:val="en-US" w:eastAsia="zh-CN"/>
                    </w:rPr>
                  </w:pPr>
                  <w:r>
                    <w:rPr>
                      <w:rFonts w:hint="eastAsia" w:eastAsia="宋体" w:cs="Times New Roman"/>
                      <w:bCs/>
                      <w:color w:val="auto"/>
                      <w:szCs w:val="21"/>
                      <w:highlight w:val="none"/>
                      <w:lang w:val="en-US" w:eastAsia="zh-CN"/>
                    </w:rPr>
                    <w:t>DW001</w:t>
                  </w:r>
                </w:p>
              </w:tc>
              <w:tc>
                <w:tcPr>
                  <w:tcW w:w="1100" w:type="pct"/>
                  <w:tcBorders>
                    <w:tl2br w:val="nil"/>
                    <w:tr2bl w:val="nil"/>
                  </w:tcBorders>
                  <w:vAlign w:val="center"/>
                </w:tcPr>
                <w:p w14:paraId="63DDFCD4">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eastAsia="zh-CN"/>
                    </w:rPr>
                    <w:t>pH</w:t>
                  </w:r>
                  <w:r>
                    <w:rPr>
                      <w:rFonts w:hint="default" w:ascii="Times New Roman" w:hAnsi="Times New Roman" w:eastAsia="宋体" w:cs="Times New Roman"/>
                      <w:color w:val="auto"/>
                      <w:szCs w:val="21"/>
                      <w:highlight w:val="none"/>
                    </w:rPr>
                    <w:t>、COD</w:t>
                  </w:r>
                  <w:r>
                    <w:rPr>
                      <w:rFonts w:hint="default" w:ascii="Times New Roman" w:hAnsi="Times New Roman" w:eastAsia="宋体" w:cs="Times New Roman"/>
                      <w:color w:val="auto"/>
                      <w:szCs w:val="21"/>
                      <w:highlight w:val="none"/>
                      <w:vertAlign w:val="subscript"/>
                    </w:rPr>
                    <w:t>Cr</w:t>
                  </w:r>
                  <w:r>
                    <w:rPr>
                      <w:rFonts w:hint="default" w:ascii="Times New Roman" w:hAnsi="Times New Roman" w:eastAsia="宋体" w:cs="Times New Roman"/>
                      <w:color w:val="auto"/>
                      <w:szCs w:val="21"/>
                      <w:highlight w:val="none"/>
                    </w:rPr>
                    <w:t>、</w:t>
                  </w:r>
                </w:p>
                <w:p w14:paraId="71D26566">
                  <w:pPr>
                    <w:adjustRightInd w:val="0"/>
                    <w:snapToGrid w:val="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color w:val="auto"/>
                      <w:szCs w:val="21"/>
                      <w:highlight w:val="none"/>
                    </w:rPr>
                    <w:t>BOD</w:t>
                  </w:r>
                  <w:r>
                    <w:rPr>
                      <w:rFonts w:hint="default" w:ascii="Times New Roman" w:hAnsi="Times New Roman" w:eastAsia="宋体" w:cs="Times New Roman"/>
                      <w:color w:val="auto"/>
                      <w:szCs w:val="21"/>
                      <w:highlight w:val="none"/>
                      <w:vertAlign w:val="subscript"/>
                    </w:rPr>
                    <w:t>5</w:t>
                  </w:r>
                  <w:r>
                    <w:rPr>
                      <w:rFonts w:hint="default" w:ascii="Times New Roman" w:hAnsi="Times New Roman" w:eastAsia="宋体" w:cs="Times New Roman"/>
                      <w:color w:val="auto"/>
                      <w:szCs w:val="21"/>
                      <w:highlight w:val="none"/>
                    </w:rPr>
                    <w:t>、SS、氨氮</w:t>
                  </w:r>
                </w:p>
              </w:tc>
              <w:tc>
                <w:tcPr>
                  <w:tcW w:w="1320" w:type="pct"/>
                  <w:tcBorders>
                    <w:tl2br w:val="nil"/>
                    <w:tr2bl w:val="nil"/>
                  </w:tcBorders>
                  <w:shd w:val="clear" w:color="auto" w:fill="auto"/>
                  <w:vAlign w:val="center"/>
                </w:tcPr>
                <w:p w14:paraId="66E38AA9">
                  <w:pPr>
                    <w:adjustRightInd w:val="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化粪池、污水收集管</w:t>
                  </w:r>
                  <w:r>
                    <w:rPr>
                      <w:rFonts w:hint="eastAsia" w:ascii="Times New Roman" w:hAnsi="Times New Roman" w:eastAsia="宋体" w:cs="Times New Roman"/>
                      <w:bCs/>
                      <w:color w:val="auto"/>
                      <w:szCs w:val="21"/>
                      <w:highlight w:val="none"/>
                      <w:lang w:val="en-US" w:eastAsia="zh-CN"/>
                    </w:rPr>
                    <w:t>道</w:t>
                  </w:r>
                  <w:r>
                    <w:rPr>
                      <w:rFonts w:hint="default" w:ascii="Times New Roman" w:hAnsi="Times New Roman" w:eastAsia="宋体" w:cs="Times New Roman"/>
                      <w:bCs/>
                      <w:color w:val="auto"/>
                      <w:szCs w:val="21"/>
                      <w:highlight w:val="none"/>
                      <w:lang w:val="en-US" w:eastAsia="zh-CN"/>
                    </w:rPr>
                    <w:t>、排放标志</w:t>
                  </w:r>
                </w:p>
              </w:tc>
              <w:tc>
                <w:tcPr>
                  <w:tcW w:w="1626" w:type="pct"/>
                  <w:tcBorders>
                    <w:tl2br w:val="nil"/>
                    <w:tr2bl w:val="nil"/>
                  </w:tcBorders>
                  <w:vAlign w:val="center"/>
                </w:tcPr>
                <w:p w14:paraId="5A53CC27">
                  <w:pPr>
                    <w:adjustRightInd w:val="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北京市《水污染物综合排放标准》（DB11/307-2013）</w:t>
                  </w:r>
                  <w:r>
                    <w:rPr>
                      <w:rFonts w:hint="eastAsia" w:cs="Times New Roman"/>
                      <w:bCs/>
                      <w:color w:val="auto"/>
                      <w:szCs w:val="21"/>
                      <w:highlight w:val="none"/>
                      <w:lang w:val="en-US" w:eastAsia="zh-CN"/>
                    </w:rPr>
                    <w:t>“</w:t>
                  </w:r>
                  <w:r>
                    <w:rPr>
                      <w:rFonts w:hint="default" w:ascii="Times New Roman" w:hAnsi="Times New Roman" w:eastAsia="宋体" w:cs="Times New Roman"/>
                      <w:bCs/>
                      <w:color w:val="auto"/>
                      <w:szCs w:val="21"/>
                      <w:highlight w:val="none"/>
                      <w:lang w:val="en-US" w:eastAsia="zh-CN"/>
                    </w:rPr>
                    <w:t>排入公共污水处理系统的水污染物排放限值</w:t>
                  </w:r>
                  <w:r>
                    <w:rPr>
                      <w:rFonts w:hint="eastAsia" w:cs="Times New Roman"/>
                      <w:bCs/>
                      <w:color w:val="auto"/>
                      <w:szCs w:val="21"/>
                      <w:highlight w:val="none"/>
                      <w:lang w:val="en-US" w:eastAsia="zh-CN"/>
                    </w:rPr>
                    <w:t>”</w:t>
                  </w:r>
                </w:p>
              </w:tc>
            </w:tr>
            <w:tr w14:paraId="2FF62F04">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01" w:type="pct"/>
                  <w:tcBorders>
                    <w:tl2br w:val="nil"/>
                    <w:tr2bl w:val="nil"/>
                  </w:tcBorders>
                  <w:vAlign w:val="center"/>
                </w:tcPr>
                <w:p w14:paraId="4FFC8338">
                  <w:pPr>
                    <w:pStyle w:val="2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噪声</w:t>
                  </w:r>
                </w:p>
              </w:tc>
              <w:tc>
                <w:tcPr>
                  <w:tcW w:w="651" w:type="pct"/>
                  <w:tcBorders>
                    <w:tl2br w:val="nil"/>
                    <w:tr2bl w:val="nil"/>
                  </w:tcBorders>
                  <w:vAlign w:val="center"/>
                </w:tcPr>
                <w:p w14:paraId="76037772">
                  <w:pPr>
                    <w:adjustRightInd w:val="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实验</w:t>
                  </w:r>
                  <w:r>
                    <w:rPr>
                      <w:rFonts w:hint="eastAsia" w:cs="Times New Roman"/>
                      <w:bCs/>
                      <w:color w:val="auto"/>
                      <w:szCs w:val="21"/>
                      <w:highlight w:val="none"/>
                      <w:lang w:val="en-US" w:eastAsia="zh-CN"/>
                    </w:rPr>
                    <w:t>及公用工程设施</w:t>
                  </w:r>
                </w:p>
              </w:tc>
              <w:tc>
                <w:tcPr>
                  <w:tcW w:w="1100" w:type="pct"/>
                  <w:tcBorders>
                    <w:tl2br w:val="nil"/>
                    <w:tr2bl w:val="nil"/>
                  </w:tcBorders>
                  <w:vAlign w:val="center"/>
                </w:tcPr>
                <w:p w14:paraId="1A9BB2FD">
                  <w:pPr>
                    <w:adjustRightInd w:val="0"/>
                    <w:snapToGrid w:val="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color w:val="auto"/>
                      <w:szCs w:val="21"/>
                      <w:highlight w:val="none"/>
                    </w:rPr>
                    <w:t>等效连续A声级</w:t>
                  </w:r>
                </w:p>
              </w:tc>
              <w:tc>
                <w:tcPr>
                  <w:tcW w:w="1320" w:type="pct"/>
                  <w:tcBorders>
                    <w:tl2br w:val="nil"/>
                    <w:tr2bl w:val="nil"/>
                  </w:tcBorders>
                  <w:vAlign w:val="center"/>
                </w:tcPr>
                <w:p w14:paraId="12DB752B">
                  <w:pPr>
                    <w:adjustRightInd w:val="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减震、隔声、布局</w:t>
                  </w:r>
                </w:p>
              </w:tc>
              <w:tc>
                <w:tcPr>
                  <w:tcW w:w="1626" w:type="pct"/>
                  <w:tcBorders>
                    <w:tl2br w:val="nil"/>
                    <w:tr2bl w:val="nil"/>
                  </w:tcBorders>
                  <w:vAlign w:val="center"/>
                </w:tcPr>
                <w:p w14:paraId="51D72809">
                  <w:pPr>
                    <w:adjustRightInd w:val="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《工业企业厂界环境噪声排放标准》（GB12348-2008）中的3类标准</w:t>
                  </w:r>
                </w:p>
              </w:tc>
            </w:tr>
            <w:tr w14:paraId="69F9AC54">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01" w:type="pct"/>
                  <w:tcBorders>
                    <w:tl2br w:val="nil"/>
                    <w:tr2bl w:val="nil"/>
                  </w:tcBorders>
                  <w:vAlign w:val="center"/>
                </w:tcPr>
                <w:p w14:paraId="5B4F7D4A">
                  <w:pPr>
                    <w:pStyle w:val="2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rPr>
                    <w:t>一般</w:t>
                  </w:r>
                  <w:r>
                    <w:rPr>
                      <w:rFonts w:hint="default" w:ascii="Times New Roman" w:hAnsi="Times New Roman" w:eastAsia="宋体" w:cs="Times New Roman"/>
                      <w:color w:val="auto"/>
                      <w:kern w:val="2"/>
                      <w:sz w:val="21"/>
                      <w:szCs w:val="21"/>
                      <w:highlight w:val="none"/>
                    </w:rPr>
                    <w:t>固体废物</w:t>
                  </w:r>
                </w:p>
              </w:tc>
              <w:tc>
                <w:tcPr>
                  <w:tcW w:w="651" w:type="pct"/>
                  <w:tcBorders>
                    <w:tl2br w:val="nil"/>
                    <w:tr2bl w:val="nil"/>
                  </w:tcBorders>
                  <w:vAlign w:val="center"/>
                </w:tcPr>
                <w:p w14:paraId="3FEDF67D">
                  <w:pPr>
                    <w:pStyle w:val="2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rPr>
                    <w:t>实验过程</w:t>
                  </w:r>
                </w:p>
                <w:p w14:paraId="49A5287D">
                  <w:pPr>
                    <w:pStyle w:val="2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员工生活</w:t>
                  </w:r>
                </w:p>
              </w:tc>
              <w:tc>
                <w:tcPr>
                  <w:tcW w:w="1100" w:type="pct"/>
                  <w:tcBorders>
                    <w:tl2br w:val="nil"/>
                    <w:tr2bl w:val="nil"/>
                  </w:tcBorders>
                  <w:vAlign w:val="center"/>
                </w:tcPr>
                <w:p w14:paraId="0EFB75C3">
                  <w:pPr>
                    <w:pStyle w:val="2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未沾染化学试剂的</w:t>
                  </w:r>
                  <w:r>
                    <w:rPr>
                      <w:rFonts w:hint="default" w:ascii="Times New Roman" w:hAnsi="Times New Roman" w:eastAsia="宋体" w:cs="Times New Roman"/>
                      <w:bCs/>
                      <w:color w:val="auto"/>
                      <w:sz w:val="21"/>
                      <w:szCs w:val="21"/>
                      <w:highlight w:val="none"/>
                    </w:rPr>
                    <w:t>废包装材料</w:t>
                  </w:r>
                  <w:r>
                    <w:rPr>
                      <w:rFonts w:hint="default" w:ascii="Times New Roman" w:hAnsi="Times New Roman" w:eastAsia="宋体" w:cs="Times New Roman"/>
                      <w:bCs/>
                      <w:color w:val="auto"/>
                      <w:sz w:val="21"/>
                      <w:szCs w:val="21"/>
                      <w:highlight w:val="none"/>
                      <w:lang w:eastAsia="zh-CN"/>
                    </w:rPr>
                    <w:t>、</w:t>
                  </w:r>
                  <w:r>
                    <w:rPr>
                      <w:rFonts w:hint="eastAsia" w:ascii="Times New Roman" w:hAnsi="Times New Roman" w:cs="Times New Roman"/>
                      <w:bCs/>
                      <w:color w:val="auto"/>
                      <w:sz w:val="21"/>
                      <w:szCs w:val="21"/>
                      <w:highlight w:val="none"/>
                      <w:lang w:val="en-US" w:eastAsia="zh-CN"/>
                    </w:rPr>
                    <w:t>纯水制备废滤芯、废电池。</w:t>
                  </w:r>
                </w:p>
              </w:tc>
              <w:tc>
                <w:tcPr>
                  <w:tcW w:w="1320" w:type="pct"/>
                  <w:tcBorders>
                    <w:tl2br w:val="nil"/>
                    <w:tr2bl w:val="nil"/>
                  </w:tcBorders>
                  <w:vAlign w:val="center"/>
                </w:tcPr>
                <w:p w14:paraId="60151C03">
                  <w:pPr>
                    <w:pStyle w:val="2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rPr>
                    <w:t>一般固废间、管理台账、管理制度</w:t>
                  </w:r>
                </w:p>
              </w:tc>
              <w:tc>
                <w:tcPr>
                  <w:tcW w:w="1626" w:type="pct"/>
                  <w:tcBorders>
                    <w:tl2br w:val="nil"/>
                    <w:tr2bl w:val="nil"/>
                  </w:tcBorders>
                  <w:vAlign w:val="center"/>
                </w:tcPr>
                <w:p w14:paraId="72424590">
                  <w:pPr>
                    <w:pStyle w:val="20"/>
                    <w:adjustRightInd w:val="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bCs/>
                      <w:color w:val="auto"/>
                      <w:sz w:val="21"/>
                      <w:szCs w:val="21"/>
                      <w:highlight w:val="none"/>
                    </w:rPr>
                    <w:t>《中华人民共和国固体废物污染环境防治法》（2020年版）及《北京市生活垃圾管理条例》（2020年5月1日起施行，2020年9月25日第二次修正）中的有关规定</w:t>
                  </w:r>
                </w:p>
              </w:tc>
            </w:tr>
            <w:tr w14:paraId="2B19DCA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01" w:type="pct"/>
                  <w:tcBorders>
                    <w:tl2br w:val="nil"/>
                    <w:tr2bl w:val="nil"/>
                  </w:tcBorders>
                  <w:vAlign w:val="center"/>
                </w:tcPr>
                <w:p w14:paraId="53087A7D">
                  <w:pPr>
                    <w:widowControl/>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危险废物</w:t>
                  </w:r>
                </w:p>
              </w:tc>
              <w:tc>
                <w:tcPr>
                  <w:tcW w:w="651" w:type="pct"/>
                  <w:tcBorders>
                    <w:tl2br w:val="nil"/>
                    <w:tr2bl w:val="nil"/>
                  </w:tcBorders>
                  <w:vAlign w:val="center"/>
                </w:tcPr>
                <w:p w14:paraId="1A807D58">
                  <w:pPr>
                    <w:pStyle w:val="2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rPr>
                    <w:t>实验过程</w:t>
                  </w:r>
                </w:p>
              </w:tc>
              <w:tc>
                <w:tcPr>
                  <w:tcW w:w="1100" w:type="pct"/>
                  <w:tcBorders>
                    <w:tl2br w:val="nil"/>
                    <w:tr2bl w:val="nil"/>
                  </w:tcBorders>
                  <w:vAlign w:val="center"/>
                </w:tcPr>
                <w:p w14:paraId="42502612">
                  <w:pPr>
                    <w:pStyle w:val="2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rPr>
                    <w:t>废试剂瓶、废一次性实验耗材、</w:t>
                  </w:r>
                  <w:r>
                    <w:rPr>
                      <w:rFonts w:hint="eastAsia" w:ascii="Times New Roman" w:hAnsi="Times New Roman" w:cs="Times New Roman"/>
                      <w:color w:val="auto"/>
                      <w:kern w:val="2"/>
                      <w:sz w:val="21"/>
                      <w:szCs w:val="21"/>
                      <w:highlight w:val="none"/>
                      <w:lang w:val="en-US" w:eastAsia="zh-CN"/>
                    </w:rPr>
                    <w:t>废N-甲基吡咯烷酮</w:t>
                  </w:r>
                  <w:r>
                    <w:rPr>
                      <w:rFonts w:hint="eastAsia" w:ascii="Times New Roman" w:hAnsi="Times New Roman" w:eastAsia="宋体" w:cs="Times New Roman"/>
                      <w:color w:val="auto"/>
                      <w:kern w:val="2"/>
                      <w:sz w:val="21"/>
                      <w:szCs w:val="21"/>
                      <w:highlight w:val="none"/>
                      <w:lang w:val="en-US" w:eastAsia="zh-CN"/>
                    </w:rPr>
                    <w:t>、</w:t>
                  </w:r>
                  <w:r>
                    <w:rPr>
                      <w:rFonts w:hint="eastAsia" w:ascii="Times New Roman" w:hAnsi="Times New Roman" w:cs="Times New Roman"/>
                      <w:color w:val="auto"/>
                      <w:kern w:val="2"/>
                      <w:sz w:val="21"/>
                      <w:szCs w:val="21"/>
                      <w:highlight w:val="none"/>
                      <w:lang w:val="en-US" w:eastAsia="zh-CN"/>
                    </w:rPr>
                    <w:t>设备容器</w:t>
                  </w:r>
                  <w:r>
                    <w:rPr>
                      <w:rFonts w:hint="eastAsia" w:ascii="Times New Roman" w:hAnsi="Times New Roman" w:eastAsia="宋体" w:cs="Times New Roman"/>
                      <w:color w:val="auto"/>
                      <w:kern w:val="2"/>
                      <w:sz w:val="21"/>
                      <w:szCs w:val="21"/>
                      <w:highlight w:val="none"/>
                      <w:lang w:val="en-US" w:eastAsia="zh-CN"/>
                    </w:rPr>
                    <w:t>清洗废液、废活性炭</w:t>
                  </w:r>
                  <w:r>
                    <w:rPr>
                      <w:rFonts w:hint="eastAsia" w:ascii="Times New Roman" w:hAnsi="Times New Roman" w:cs="Times New Roman"/>
                      <w:color w:val="auto"/>
                      <w:kern w:val="2"/>
                      <w:sz w:val="21"/>
                      <w:szCs w:val="21"/>
                      <w:highlight w:val="none"/>
                      <w:lang w:val="en-US" w:eastAsia="zh-CN"/>
                    </w:rPr>
                    <w:t>、</w:t>
                  </w:r>
                  <w:r>
                    <w:rPr>
                      <w:rFonts w:hint="eastAsia" w:ascii="Times New Roman" w:hAnsi="Times New Roman" w:eastAsia="宋体" w:cs="Times New Roman"/>
                      <w:color w:val="auto"/>
                      <w:kern w:val="2"/>
                      <w:sz w:val="21"/>
                      <w:szCs w:val="21"/>
                      <w:highlight w:val="none"/>
                      <w:lang w:val="en-US" w:eastAsia="zh-CN"/>
                    </w:rPr>
                    <w:t>废</w:t>
                  </w:r>
                  <w:r>
                    <w:rPr>
                      <w:rFonts w:hint="eastAsia" w:ascii="Times New Roman" w:hAnsi="Times New Roman" w:cs="Times New Roman"/>
                      <w:color w:val="auto"/>
                      <w:kern w:val="2"/>
                      <w:sz w:val="21"/>
                      <w:szCs w:val="21"/>
                      <w:highlight w:val="none"/>
                      <w:lang w:val="en-US" w:eastAsia="zh-CN"/>
                    </w:rPr>
                    <w:t>吸附剂、废润滑油、废油桶</w:t>
                  </w:r>
                  <w:r>
                    <w:rPr>
                      <w:rFonts w:hint="eastAsia" w:ascii="Times New Roman" w:hAnsi="Times New Roman" w:eastAsia="宋体" w:cs="Times New Roman"/>
                      <w:color w:val="auto"/>
                      <w:kern w:val="2"/>
                      <w:sz w:val="21"/>
                      <w:szCs w:val="21"/>
                      <w:highlight w:val="none"/>
                      <w:lang w:val="en-US" w:eastAsia="zh-CN"/>
                    </w:rPr>
                    <w:t>。</w:t>
                  </w:r>
                </w:p>
              </w:tc>
              <w:tc>
                <w:tcPr>
                  <w:tcW w:w="1320" w:type="pct"/>
                  <w:tcBorders>
                    <w:tl2br w:val="nil"/>
                    <w:tr2bl w:val="nil"/>
                  </w:tcBorders>
                  <w:shd w:val="clear" w:color="auto" w:fill="auto"/>
                  <w:vAlign w:val="center"/>
                </w:tcPr>
                <w:p w14:paraId="08AC736B">
                  <w:pPr>
                    <w:pStyle w:val="20"/>
                    <w:adjustRightInd w:val="0"/>
                    <w:spacing w:before="0" w:beforeAutospacing="0" w:after="0" w:afterAutospacing="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rPr>
                    <w:t>危险废物暂存间、管理台账、管理制度</w:t>
                  </w:r>
                </w:p>
              </w:tc>
              <w:tc>
                <w:tcPr>
                  <w:tcW w:w="1626" w:type="pct"/>
                  <w:tcBorders>
                    <w:tl2br w:val="nil"/>
                    <w:tr2bl w:val="nil"/>
                  </w:tcBorders>
                  <w:vAlign w:val="center"/>
                </w:tcPr>
                <w:p w14:paraId="5CFFAF3D">
                  <w:pPr>
                    <w:pStyle w:val="20"/>
                    <w:adjustRightInd w:val="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bCs/>
                      <w:color w:val="auto"/>
                      <w:sz w:val="21"/>
                      <w:szCs w:val="21"/>
                      <w:highlight w:val="none"/>
                    </w:rPr>
                    <w:t>《危险废物贮存污染控制标准》（GB18597-2023）、</w:t>
                  </w:r>
                  <w:r>
                    <w:rPr>
                      <w:rFonts w:hint="default" w:ascii="Times New Roman" w:hAnsi="Times New Roman" w:eastAsia="宋体" w:cs="Times New Roman"/>
                      <w:color w:val="auto"/>
                      <w:sz w:val="21"/>
                      <w:szCs w:val="21"/>
                      <w:highlight w:val="none"/>
                    </w:rPr>
                    <w:t>《危险废物转移管理办法》（2022年1月1日施行）、</w:t>
                  </w:r>
                  <w:r>
                    <w:rPr>
                      <w:rFonts w:hint="default" w:ascii="Times New Roman" w:hAnsi="Times New Roman" w:eastAsia="宋体" w:cs="Times New Roman"/>
                      <w:color w:val="auto"/>
                      <w:sz w:val="21"/>
                      <w:szCs w:val="24"/>
                      <w:highlight w:val="none"/>
                    </w:rPr>
                    <w:t>《实验室危险废物污染防治技术规范》（DB11/T 1368-2016）</w:t>
                  </w:r>
                  <w:r>
                    <w:rPr>
                      <w:rFonts w:hint="default" w:ascii="Times New Roman" w:hAnsi="Times New Roman" w:eastAsia="宋体" w:cs="Times New Roman"/>
                      <w:color w:val="auto"/>
                      <w:kern w:val="2"/>
                      <w:sz w:val="21"/>
                      <w:szCs w:val="21"/>
                      <w:highlight w:val="none"/>
                    </w:rPr>
                    <w:t>中的相关规定</w:t>
                  </w:r>
                </w:p>
              </w:tc>
            </w:tr>
          </w:tbl>
          <w:p w14:paraId="6BA39729">
            <w:pPr>
              <w:snapToGrid w:val="0"/>
              <w:spacing w:line="360" w:lineRule="auto"/>
              <w:rPr>
                <w:rFonts w:hint="default" w:ascii="Times New Roman" w:hAnsi="Times New Roman" w:eastAsia="宋体" w:cs="Times New Roman"/>
                <w:color w:val="auto"/>
                <w:sz w:val="24"/>
                <w:highlight w:val="none"/>
                <w:lang w:val="en-US" w:eastAsia="zh-CN"/>
              </w:rPr>
            </w:pPr>
          </w:p>
        </w:tc>
      </w:tr>
    </w:tbl>
    <w:p w14:paraId="225E5BA3">
      <w:pPr>
        <w:pStyle w:val="20"/>
        <w:jc w:val="center"/>
        <w:outlineLvl w:val="0"/>
        <w:rPr>
          <w:rFonts w:hint="default" w:ascii="Times New Roman" w:hAnsi="Times New Roman" w:eastAsia="宋体" w:cs="Times New Roman"/>
          <w:snapToGrid w:val="0"/>
          <w:color w:val="auto"/>
          <w:sz w:val="36"/>
          <w:szCs w:val="36"/>
          <w:highlight w:val="none"/>
        </w:rPr>
      </w:pPr>
      <w:r>
        <w:rPr>
          <w:rFonts w:hint="default" w:ascii="Times New Roman" w:hAnsi="Times New Roman" w:eastAsia="宋体" w:cs="Times New Roman"/>
          <w:snapToGrid w:val="0"/>
          <w:color w:val="auto"/>
          <w:sz w:val="32"/>
          <w:szCs w:val="22"/>
          <w:highlight w:val="none"/>
        </w:rPr>
        <w:br w:type="page"/>
      </w:r>
      <w:r>
        <w:rPr>
          <w:rStyle w:val="43"/>
          <w:rFonts w:hint="default" w:ascii="Times New Roman" w:hAnsi="Times New Roman" w:eastAsia="宋体" w:cs="Times New Roman"/>
          <w:b w:val="0"/>
          <w:bCs w:val="0"/>
          <w:color w:val="auto"/>
          <w:sz w:val="36"/>
          <w:szCs w:val="36"/>
          <w:highlight w:val="none"/>
        </w:rPr>
        <w:t>六、结论</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18B7B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tcPr>
          <w:p w14:paraId="18EE377C">
            <w:pPr>
              <w:spacing w:line="360" w:lineRule="auto"/>
              <w:ind w:firstLine="480" w:firstLineChars="200"/>
              <w:rPr>
                <w:rFonts w:hint="default" w:ascii="Times New Roman" w:hAnsi="Times New Roman" w:eastAsia="宋体" w:cs="Times New Roman"/>
                <w:color w:val="auto"/>
                <w:sz w:val="24"/>
                <w:szCs w:val="32"/>
                <w:highlight w:val="none"/>
              </w:rPr>
            </w:pPr>
            <w:r>
              <w:rPr>
                <w:rFonts w:hint="default" w:ascii="Times New Roman" w:hAnsi="Times New Roman" w:eastAsia="宋体" w:cs="Times New Roman"/>
                <w:color w:val="auto"/>
                <w:sz w:val="24"/>
                <w:szCs w:val="32"/>
                <w:highlight w:val="none"/>
              </w:rPr>
              <w:t>本项目的建设符合产业政策及相关规划，符合</w:t>
            </w:r>
            <w:r>
              <w:rPr>
                <w:rFonts w:hint="eastAsia" w:cs="Times New Roman"/>
                <w:color w:val="auto"/>
                <w:sz w:val="24"/>
                <w:szCs w:val="32"/>
                <w:highlight w:val="none"/>
                <w:lang w:eastAsia="zh-CN"/>
              </w:rPr>
              <w:t>“</w:t>
            </w:r>
            <w:r>
              <w:rPr>
                <w:rFonts w:hint="default" w:ascii="Times New Roman" w:hAnsi="Times New Roman" w:eastAsia="宋体" w:cs="Times New Roman"/>
                <w:color w:val="auto"/>
                <w:sz w:val="24"/>
                <w:szCs w:val="32"/>
                <w:highlight w:val="none"/>
              </w:rPr>
              <w:t>三线一单</w:t>
            </w:r>
            <w:r>
              <w:rPr>
                <w:rFonts w:hint="eastAsia" w:cs="Times New Roman"/>
                <w:color w:val="auto"/>
                <w:sz w:val="24"/>
                <w:szCs w:val="32"/>
                <w:highlight w:val="none"/>
                <w:lang w:eastAsia="zh-CN"/>
              </w:rPr>
              <w:t>”</w:t>
            </w:r>
            <w:r>
              <w:rPr>
                <w:rFonts w:hint="default" w:ascii="Times New Roman" w:hAnsi="Times New Roman" w:eastAsia="宋体" w:cs="Times New Roman"/>
                <w:color w:val="auto"/>
                <w:sz w:val="24"/>
                <w:szCs w:val="32"/>
                <w:highlight w:val="none"/>
              </w:rPr>
              <w:t>管理要求，选址合理；污染防治措施切实可行；各污染物经环保设施治理后能够达标排放，对区域环境质量的影响较小；环境风险可控。建设单位在严格落实本报告表和项目设计方案提出的各项环保措施的前提下，从环境保护角度分析，本项目建设是可行的。</w:t>
            </w:r>
          </w:p>
          <w:p w14:paraId="05D35D87">
            <w:pPr>
              <w:spacing w:line="360" w:lineRule="auto"/>
              <w:rPr>
                <w:rFonts w:hint="default" w:ascii="Times New Roman" w:hAnsi="Times New Roman" w:eastAsia="宋体" w:cs="Times New Roman"/>
                <w:color w:val="auto"/>
                <w:sz w:val="32"/>
                <w:szCs w:val="32"/>
                <w:highlight w:val="none"/>
              </w:rPr>
            </w:pPr>
          </w:p>
        </w:tc>
      </w:tr>
    </w:tbl>
    <w:p w14:paraId="59FA0725">
      <w:pPr>
        <w:pStyle w:val="20"/>
        <w:adjustRightInd w:val="0"/>
        <w:snapToGrid w:val="0"/>
        <w:spacing w:before="0" w:beforeAutospacing="0" w:after="0" w:afterAutospacing="0"/>
        <w:jc w:val="both"/>
        <w:outlineLvl w:val="0"/>
        <w:rPr>
          <w:rFonts w:hint="default" w:ascii="Times New Roman" w:hAnsi="Times New Roman" w:eastAsia="宋体" w:cs="Times New Roman"/>
          <w:snapToGrid w:val="0"/>
          <w:color w:val="auto"/>
          <w:sz w:val="32"/>
          <w:szCs w:val="22"/>
          <w:highlight w:val="none"/>
        </w:rPr>
        <w:sectPr>
          <w:pgSz w:w="11906" w:h="16838"/>
          <w:pgMar w:top="1701" w:right="1531" w:bottom="1860"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67F0F393">
      <w:pPr>
        <w:jc w:val="center"/>
        <w:rPr>
          <w:rFonts w:hint="default" w:ascii="Times New Roman" w:hAnsi="Times New Roman" w:eastAsia="宋体" w:cs="Times New Roman"/>
          <w:b/>
          <w:bCs/>
          <w:color w:val="auto"/>
          <w:sz w:val="18"/>
          <w:szCs w:val="21"/>
          <w:highlight w:val="none"/>
        </w:rPr>
      </w:pPr>
      <w:r>
        <w:rPr>
          <w:rFonts w:hint="default" w:ascii="Times New Roman" w:hAnsi="Times New Roman" w:eastAsia="宋体" w:cs="Times New Roman"/>
          <w:snapToGrid w:val="0"/>
          <w:color w:val="auto"/>
          <w:sz w:val="44"/>
          <w:szCs w:val="44"/>
          <w:highlight w:val="none"/>
        </w:rPr>
        <w:t xml:space="preserve">建设项目污染物排放量汇总表 </w:t>
      </w:r>
      <w:r>
        <w:rPr>
          <w:rFonts w:hint="default" w:ascii="Times New Roman" w:hAnsi="Times New Roman" w:eastAsia="宋体" w:cs="Times New Roman"/>
          <w:b/>
          <w:bCs/>
          <w:snapToGrid w:val="0"/>
          <w:color w:val="auto"/>
          <w:sz w:val="28"/>
          <w:szCs w:val="28"/>
          <w:highlight w:val="none"/>
        </w:rPr>
        <w:t>单位：t/a</w:t>
      </w:r>
    </w:p>
    <w:tbl>
      <w:tblPr>
        <w:tblStyle w:val="23"/>
        <w:tblW w:w="1395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12"/>
        <w:gridCol w:w="2906"/>
        <w:gridCol w:w="1407"/>
        <w:gridCol w:w="1101"/>
        <w:gridCol w:w="1469"/>
        <w:gridCol w:w="1458"/>
        <w:gridCol w:w="1264"/>
        <w:gridCol w:w="1642"/>
        <w:gridCol w:w="1396"/>
      </w:tblGrid>
      <w:tr w14:paraId="312F09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12" w:type="dxa"/>
            <w:tcBorders>
              <w:tl2br w:val="single" w:color="auto" w:sz="4" w:space="0"/>
            </w:tcBorders>
            <w:tcMar>
              <w:left w:w="28" w:type="dxa"/>
              <w:right w:w="28" w:type="dxa"/>
            </w:tcMar>
            <w:vAlign w:val="center"/>
          </w:tcPr>
          <w:p w14:paraId="21BD4624">
            <w:pPr>
              <w:pStyle w:val="44"/>
              <w:spacing w:beforeLines="0" w:afterLines="0" w:line="240" w:lineRule="auto"/>
              <w:rPr>
                <w:rFonts w:hint="default" w:ascii="Times New Roman" w:hAnsi="Times New Roman" w:eastAsia="宋体" w:cs="Times New Roman"/>
                <w:b/>
                <w:bCs/>
                <w:snapToGrid w:val="0"/>
                <w:color w:val="auto"/>
                <w:spacing w:val="-6"/>
                <w:kern w:val="21"/>
                <w:sz w:val="22"/>
                <w:highlight w:val="none"/>
              </w:rPr>
            </w:pPr>
            <w:r>
              <w:rPr>
                <w:rFonts w:hint="default" w:ascii="Times New Roman" w:hAnsi="Times New Roman" w:eastAsia="宋体" w:cs="Times New Roman"/>
                <w:b/>
                <w:bCs/>
                <w:snapToGrid w:val="0"/>
                <w:color w:val="auto"/>
                <w:spacing w:val="-6"/>
                <w:kern w:val="21"/>
                <w:sz w:val="22"/>
                <w:highlight w:val="none"/>
              </w:rPr>
              <w:t>项目</w:t>
            </w:r>
          </w:p>
          <w:p w14:paraId="75389097">
            <w:pPr>
              <w:snapToGrid w:val="0"/>
              <w:spacing w:line="240" w:lineRule="auto"/>
              <w:rPr>
                <w:rFonts w:hint="default" w:ascii="Times New Roman" w:hAnsi="Times New Roman" w:eastAsia="宋体" w:cs="Times New Roman"/>
                <w:color w:val="auto"/>
                <w:sz w:val="22"/>
                <w:szCs w:val="22"/>
                <w:highlight w:val="none"/>
              </w:rPr>
            </w:pPr>
          </w:p>
          <w:p w14:paraId="160FF5EE">
            <w:pPr>
              <w:pStyle w:val="44"/>
              <w:spacing w:beforeLines="0" w:afterLines="0" w:line="240" w:lineRule="auto"/>
              <w:rPr>
                <w:rFonts w:hint="default" w:ascii="Times New Roman" w:hAnsi="Times New Roman" w:eastAsia="宋体" w:cs="Times New Roman"/>
                <w:b/>
                <w:bCs/>
                <w:snapToGrid w:val="0"/>
                <w:color w:val="auto"/>
                <w:spacing w:val="-6"/>
                <w:kern w:val="21"/>
                <w:sz w:val="22"/>
                <w:highlight w:val="none"/>
              </w:rPr>
            </w:pPr>
            <w:r>
              <w:rPr>
                <w:rFonts w:hint="default" w:ascii="Times New Roman" w:hAnsi="Times New Roman" w:eastAsia="宋体" w:cs="Times New Roman"/>
                <w:b/>
                <w:bCs/>
                <w:snapToGrid w:val="0"/>
                <w:color w:val="auto"/>
                <w:spacing w:val="-6"/>
                <w:kern w:val="21"/>
                <w:sz w:val="22"/>
                <w:highlight w:val="none"/>
              </w:rPr>
              <w:t>分类</w:t>
            </w:r>
          </w:p>
        </w:tc>
        <w:tc>
          <w:tcPr>
            <w:tcW w:w="2906" w:type="dxa"/>
            <w:tcMar>
              <w:left w:w="28" w:type="dxa"/>
              <w:right w:w="28" w:type="dxa"/>
            </w:tcMar>
            <w:vAlign w:val="center"/>
          </w:tcPr>
          <w:p w14:paraId="7D5A75B6">
            <w:pPr>
              <w:pStyle w:val="44"/>
              <w:spacing w:beforeLines="0" w:afterLines="0" w:line="240" w:lineRule="auto"/>
              <w:rPr>
                <w:rFonts w:hint="default" w:ascii="Times New Roman" w:hAnsi="Times New Roman" w:eastAsia="宋体" w:cs="Times New Roman"/>
                <w:b/>
                <w:bCs/>
                <w:snapToGrid w:val="0"/>
                <w:color w:val="auto"/>
                <w:spacing w:val="-6"/>
                <w:kern w:val="21"/>
                <w:sz w:val="22"/>
                <w:highlight w:val="none"/>
              </w:rPr>
            </w:pPr>
            <w:r>
              <w:rPr>
                <w:rFonts w:hint="default" w:ascii="Times New Roman" w:hAnsi="Times New Roman" w:eastAsia="宋体" w:cs="Times New Roman"/>
                <w:b/>
                <w:bCs/>
                <w:snapToGrid w:val="0"/>
                <w:color w:val="auto"/>
                <w:spacing w:val="-6"/>
                <w:kern w:val="21"/>
                <w:sz w:val="22"/>
                <w:highlight w:val="none"/>
              </w:rPr>
              <w:t>污染物名称</w:t>
            </w:r>
          </w:p>
        </w:tc>
        <w:tc>
          <w:tcPr>
            <w:tcW w:w="1407" w:type="dxa"/>
            <w:tcMar>
              <w:left w:w="28" w:type="dxa"/>
              <w:right w:w="28" w:type="dxa"/>
            </w:tcMar>
            <w:vAlign w:val="center"/>
          </w:tcPr>
          <w:p w14:paraId="1262C78C">
            <w:pPr>
              <w:pStyle w:val="44"/>
              <w:spacing w:beforeLines="0" w:afterLines="0" w:line="240" w:lineRule="auto"/>
              <w:rPr>
                <w:rFonts w:hint="default" w:ascii="Times New Roman" w:hAnsi="Times New Roman" w:eastAsia="宋体" w:cs="Times New Roman"/>
                <w:b/>
                <w:bCs/>
                <w:snapToGrid w:val="0"/>
                <w:color w:val="auto"/>
                <w:spacing w:val="-6"/>
                <w:kern w:val="21"/>
                <w:sz w:val="22"/>
                <w:highlight w:val="none"/>
              </w:rPr>
            </w:pPr>
            <w:r>
              <w:rPr>
                <w:rFonts w:hint="default" w:ascii="Times New Roman" w:hAnsi="Times New Roman" w:eastAsia="宋体" w:cs="Times New Roman"/>
                <w:b/>
                <w:bCs/>
                <w:snapToGrid w:val="0"/>
                <w:color w:val="auto"/>
                <w:spacing w:val="-6"/>
                <w:kern w:val="21"/>
                <w:sz w:val="22"/>
                <w:highlight w:val="none"/>
              </w:rPr>
              <w:t>现有工程排放量（固体废物产生量）</w:t>
            </w:r>
            <w:r>
              <w:rPr>
                <w:rFonts w:hint="default" w:ascii="Times New Roman" w:hAnsi="Times New Roman" w:eastAsia="宋体" w:cs="Times New Roman"/>
                <w:b/>
                <w:bCs/>
                <w:snapToGrid w:val="0"/>
                <w:color w:val="auto"/>
                <w:spacing w:val="-6"/>
                <w:kern w:val="21"/>
                <w:sz w:val="22"/>
                <w:highlight w:val="none"/>
              </w:rPr>
              <w:fldChar w:fldCharType="begin"/>
            </w:r>
            <w:r>
              <w:rPr>
                <w:rFonts w:hint="default" w:ascii="Times New Roman" w:hAnsi="Times New Roman" w:eastAsia="宋体" w:cs="Times New Roman"/>
                <w:b/>
                <w:bCs/>
                <w:snapToGrid w:val="0"/>
                <w:color w:val="auto"/>
                <w:spacing w:val="-6"/>
                <w:kern w:val="21"/>
                <w:sz w:val="22"/>
                <w:highlight w:val="none"/>
              </w:rPr>
              <w:instrText xml:space="preserve"> = 1 \* GB3 \* MERGEFORMAT </w:instrText>
            </w:r>
            <w:r>
              <w:rPr>
                <w:rFonts w:hint="default" w:ascii="Times New Roman" w:hAnsi="Times New Roman" w:eastAsia="宋体" w:cs="Times New Roman"/>
                <w:b/>
                <w:bCs/>
                <w:snapToGrid w:val="0"/>
                <w:color w:val="auto"/>
                <w:spacing w:val="-6"/>
                <w:kern w:val="21"/>
                <w:sz w:val="22"/>
                <w:highlight w:val="none"/>
              </w:rPr>
              <w:fldChar w:fldCharType="separate"/>
            </w:r>
            <w:r>
              <w:rPr>
                <w:rFonts w:hint="default" w:ascii="Times New Roman" w:hAnsi="Times New Roman" w:eastAsia="宋体" w:cs="Times New Roman"/>
                <w:b/>
                <w:bCs/>
                <w:color w:val="auto"/>
                <w:sz w:val="22"/>
                <w:highlight w:val="none"/>
              </w:rPr>
              <w:t>①</w:t>
            </w:r>
            <w:r>
              <w:rPr>
                <w:rFonts w:hint="default" w:ascii="Times New Roman" w:hAnsi="Times New Roman" w:eastAsia="宋体" w:cs="Times New Roman"/>
                <w:b/>
                <w:bCs/>
                <w:snapToGrid w:val="0"/>
                <w:color w:val="auto"/>
                <w:spacing w:val="-6"/>
                <w:kern w:val="21"/>
                <w:sz w:val="22"/>
                <w:highlight w:val="none"/>
              </w:rPr>
              <w:fldChar w:fldCharType="end"/>
            </w:r>
          </w:p>
        </w:tc>
        <w:tc>
          <w:tcPr>
            <w:tcW w:w="1101" w:type="dxa"/>
            <w:tcMar>
              <w:left w:w="28" w:type="dxa"/>
              <w:right w:w="28" w:type="dxa"/>
            </w:tcMar>
            <w:vAlign w:val="center"/>
          </w:tcPr>
          <w:p w14:paraId="728E0638">
            <w:pPr>
              <w:pStyle w:val="44"/>
              <w:spacing w:beforeLines="0" w:afterLines="0" w:line="240" w:lineRule="auto"/>
              <w:rPr>
                <w:rFonts w:hint="default" w:ascii="Times New Roman" w:hAnsi="Times New Roman" w:eastAsia="宋体" w:cs="Times New Roman"/>
                <w:b/>
                <w:bCs/>
                <w:snapToGrid w:val="0"/>
                <w:color w:val="auto"/>
                <w:spacing w:val="-6"/>
                <w:kern w:val="21"/>
                <w:sz w:val="22"/>
                <w:highlight w:val="none"/>
              </w:rPr>
            </w:pPr>
            <w:r>
              <w:rPr>
                <w:rFonts w:hint="default" w:ascii="Times New Roman" w:hAnsi="Times New Roman" w:eastAsia="宋体" w:cs="Times New Roman"/>
                <w:b/>
                <w:bCs/>
                <w:snapToGrid w:val="0"/>
                <w:color w:val="auto"/>
                <w:spacing w:val="-6"/>
                <w:kern w:val="21"/>
                <w:sz w:val="22"/>
                <w:highlight w:val="none"/>
              </w:rPr>
              <w:t>现有工程许可排放量</w:t>
            </w:r>
            <w:r>
              <w:rPr>
                <w:rFonts w:hint="default" w:ascii="Times New Roman" w:hAnsi="Times New Roman" w:eastAsia="宋体" w:cs="Times New Roman"/>
                <w:b/>
                <w:bCs/>
                <w:snapToGrid w:val="0"/>
                <w:color w:val="auto"/>
                <w:spacing w:val="-6"/>
                <w:kern w:val="21"/>
                <w:sz w:val="22"/>
                <w:highlight w:val="none"/>
              </w:rPr>
              <w:fldChar w:fldCharType="begin"/>
            </w:r>
            <w:r>
              <w:rPr>
                <w:rFonts w:hint="default" w:ascii="Times New Roman" w:hAnsi="Times New Roman" w:eastAsia="宋体" w:cs="Times New Roman"/>
                <w:b/>
                <w:bCs/>
                <w:snapToGrid w:val="0"/>
                <w:color w:val="auto"/>
                <w:spacing w:val="-6"/>
                <w:kern w:val="21"/>
                <w:sz w:val="22"/>
                <w:highlight w:val="none"/>
              </w:rPr>
              <w:instrText xml:space="preserve"> = 2 \* GB3 \* MERGEFORMAT </w:instrText>
            </w:r>
            <w:r>
              <w:rPr>
                <w:rFonts w:hint="default" w:ascii="Times New Roman" w:hAnsi="Times New Roman" w:eastAsia="宋体" w:cs="Times New Roman"/>
                <w:b/>
                <w:bCs/>
                <w:snapToGrid w:val="0"/>
                <w:color w:val="auto"/>
                <w:spacing w:val="-6"/>
                <w:kern w:val="21"/>
                <w:sz w:val="22"/>
                <w:highlight w:val="none"/>
              </w:rPr>
              <w:fldChar w:fldCharType="separate"/>
            </w:r>
            <w:r>
              <w:rPr>
                <w:rFonts w:hint="default" w:ascii="Times New Roman" w:hAnsi="Times New Roman" w:eastAsia="宋体" w:cs="Times New Roman"/>
                <w:b/>
                <w:bCs/>
                <w:snapToGrid w:val="0"/>
                <w:color w:val="auto"/>
                <w:spacing w:val="-6"/>
                <w:kern w:val="21"/>
                <w:sz w:val="22"/>
                <w:highlight w:val="none"/>
              </w:rPr>
              <w:t>②</w:t>
            </w:r>
            <w:r>
              <w:rPr>
                <w:rFonts w:hint="default" w:ascii="Times New Roman" w:hAnsi="Times New Roman" w:eastAsia="宋体" w:cs="Times New Roman"/>
                <w:b/>
                <w:bCs/>
                <w:snapToGrid w:val="0"/>
                <w:color w:val="auto"/>
                <w:spacing w:val="-6"/>
                <w:kern w:val="21"/>
                <w:sz w:val="22"/>
                <w:highlight w:val="none"/>
              </w:rPr>
              <w:fldChar w:fldCharType="end"/>
            </w:r>
          </w:p>
        </w:tc>
        <w:tc>
          <w:tcPr>
            <w:tcW w:w="1469" w:type="dxa"/>
            <w:tcMar>
              <w:left w:w="28" w:type="dxa"/>
              <w:right w:w="28" w:type="dxa"/>
            </w:tcMar>
            <w:vAlign w:val="center"/>
          </w:tcPr>
          <w:p w14:paraId="4D9193AB">
            <w:pPr>
              <w:pStyle w:val="44"/>
              <w:spacing w:beforeLines="0" w:afterLines="0" w:line="240" w:lineRule="auto"/>
              <w:rPr>
                <w:rFonts w:hint="default" w:ascii="Times New Roman" w:hAnsi="Times New Roman" w:eastAsia="宋体" w:cs="Times New Roman"/>
                <w:b/>
                <w:bCs/>
                <w:snapToGrid w:val="0"/>
                <w:color w:val="auto"/>
                <w:spacing w:val="-6"/>
                <w:kern w:val="21"/>
                <w:sz w:val="22"/>
                <w:highlight w:val="none"/>
              </w:rPr>
            </w:pPr>
            <w:r>
              <w:rPr>
                <w:rFonts w:hint="default" w:ascii="Times New Roman" w:hAnsi="Times New Roman" w:eastAsia="宋体" w:cs="Times New Roman"/>
                <w:b/>
                <w:bCs/>
                <w:snapToGrid w:val="0"/>
                <w:color w:val="auto"/>
                <w:spacing w:val="-6"/>
                <w:kern w:val="21"/>
                <w:sz w:val="22"/>
                <w:highlight w:val="none"/>
              </w:rPr>
              <w:t>在建工程排放量（固体废物产生量）</w:t>
            </w:r>
            <w:r>
              <w:rPr>
                <w:rFonts w:hint="default" w:ascii="Times New Roman" w:hAnsi="Times New Roman" w:eastAsia="宋体" w:cs="Times New Roman"/>
                <w:b/>
                <w:bCs/>
                <w:snapToGrid w:val="0"/>
                <w:color w:val="auto"/>
                <w:spacing w:val="-6"/>
                <w:kern w:val="21"/>
                <w:sz w:val="22"/>
                <w:highlight w:val="none"/>
              </w:rPr>
              <w:fldChar w:fldCharType="begin"/>
            </w:r>
            <w:r>
              <w:rPr>
                <w:rFonts w:hint="default" w:ascii="Times New Roman" w:hAnsi="Times New Roman" w:eastAsia="宋体" w:cs="Times New Roman"/>
                <w:b/>
                <w:bCs/>
                <w:snapToGrid w:val="0"/>
                <w:color w:val="auto"/>
                <w:spacing w:val="-6"/>
                <w:kern w:val="21"/>
                <w:sz w:val="22"/>
                <w:highlight w:val="none"/>
              </w:rPr>
              <w:instrText xml:space="preserve"> = 3 \* GB3 \* MERGEFORMAT </w:instrText>
            </w:r>
            <w:r>
              <w:rPr>
                <w:rFonts w:hint="default" w:ascii="Times New Roman" w:hAnsi="Times New Roman" w:eastAsia="宋体" w:cs="Times New Roman"/>
                <w:b/>
                <w:bCs/>
                <w:snapToGrid w:val="0"/>
                <w:color w:val="auto"/>
                <w:spacing w:val="-6"/>
                <w:kern w:val="21"/>
                <w:sz w:val="22"/>
                <w:highlight w:val="none"/>
              </w:rPr>
              <w:fldChar w:fldCharType="separate"/>
            </w:r>
            <w:r>
              <w:rPr>
                <w:rFonts w:hint="default" w:ascii="Times New Roman" w:hAnsi="Times New Roman" w:eastAsia="宋体" w:cs="Times New Roman"/>
                <w:b/>
                <w:bCs/>
                <w:color w:val="auto"/>
                <w:sz w:val="22"/>
                <w:highlight w:val="none"/>
              </w:rPr>
              <w:t>③</w:t>
            </w:r>
            <w:r>
              <w:rPr>
                <w:rFonts w:hint="default" w:ascii="Times New Roman" w:hAnsi="Times New Roman" w:eastAsia="宋体" w:cs="Times New Roman"/>
                <w:b/>
                <w:bCs/>
                <w:snapToGrid w:val="0"/>
                <w:color w:val="auto"/>
                <w:spacing w:val="-6"/>
                <w:kern w:val="21"/>
                <w:sz w:val="22"/>
                <w:highlight w:val="none"/>
              </w:rPr>
              <w:fldChar w:fldCharType="end"/>
            </w:r>
          </w:p>
        </w:tc>
        <w:tc>
          <w:tcPr>
            <w:tcW w:w="1458" w:type="dxa"/>
            <w:tcMar>
              <w:left w:w="28" w:type="dxa"/>
              <w:right w:w="28" w:type="dxa"/>
            </w:tcMar>
            <w:vAlign w:val="center"/>
          </w:tcPr>
          <w:p w14:paraId="64DAF4BD">
            <w:pPr>
              <w:pStyle w:val="44"/>
              <w:spacing w:beforeLines="0" w:afterLines="0" w:line="240" w:lineRule="auto"/>
              <w:rPr>
                <w:rFonts w:hint="default" w:ascii="Times New Roman" w:hAnsi="Times New Roman" w:eastAsia="宋体" w:cs="Times New Roman"/>
                <w:b/>
                <w:bCs/>
                <w:snapToGrid w:val="0"/>
                <w:color w:val="auto"/>
                <w:spacing w:val="-6"/>
                <w:kern w:val="21"/>
                <w:sz w:val="22"/>
                <w:highlight w:val="none"/>
              </w:rPr>
            </w:pPr>
            <w:r>
              <w:rPr>
                <w:rFonts w:hint="default" w:ascii="Times New Roman" w:hAnsi="Times New Roman" w:eastAsia="宋体" w:cs="Times New Roman"/>
                <w:b/>
                <w:bCs/>
                <w:snapToGrid w:val="0"/>
                <w:color w:val="auto"/>
                <w:spacing w:val="-6"/>
                <w:kern w:val="21"/>
                <w:sz w:val="22"/>
                <w:highlight w:val="none"/>
              </w:rPr>
              <w:t>本项目排放量（固体废物产生量）</w:t>
            </w:r>
            <w:r>
              <w:rPr>
                <w:rFonts w:hint="default" w:ascii="Times New Roman" w:hAnsi="Times New Roman" w:eastAsia="宋体" w:cs="Times New Roman"/>
                <w:b/>
                <w:bCs/>
                <w:snapToGrid w:val="0"/>
                <w:color w:val="auto"/>
                <w:spacing w:val="-6"/>
                <w:kern w:val="21"/>
                <w:sz w:val="22"/>
                <w:highlight w:val="none"/>
              </w:rPr>
              <w:fldChar w:fldCharType="begin"/>
            </w:r>
            <w:r>
              <w:rPr>
                <w:rFonts w:hint="default" w:ascii="Times New Roman" w:hAnsi="Times New Roman" w:eastAsia="宋体" w:cs="Times New Roman"/>
                <w:b/>
                <w:bCs/>
                <w:snapToGrid w:val="0"/>
                <w:color w:val="auto"/>
                <w:spacing w:val="-6"/>
                <w:kern w:val="21"/>
                <w:sz w:val="22"/>
                <w:highlight w:val="none"/>
              </w:rPr>
              <w:instrText xml:space="preserve"> = 4 \* GB3 \* MERGEFORMAT </w:instrText>
            </w:r>
            <w:r>
              <w:rPr>
                <w:rFonts w:hint="default" w:ascii="Times New Roman" w:hAnsi="Times New Roman" w:eastAsia="宋体" w:cs="Times New Roman"/>
                <w:b/>
                <w:bCs/>
                <w:snapToGrid w:val="0"/>
                <w:color w:val="auto"/>
                <w:spacing w:val="-6"/>
                <w:kern w:val="21"/>
                <w:sz w:val="22"/>
                <w:highlight w:val="none"/>
              </w:rPr>
              <w:fldChar w:fldCharType="separate"/>
            </w:r>
            <w:r>
              <w:rPr>
                <w:rFonts w:hint="default" w:ascii="Times New Roman" w:hAnsi="Times New Roman" w:eastAsia="宋体" w:cs="Times New Roman"/>
                <w:b/>
                <w:bCs/>
                <w:color w:val="auto"/>
                <w:sz w:val="22"/>
                <w:highlight w:val="none"/>
              </w:rPr>
              <w:t>④</w:t>
            </w:r>
            <w:r>
              <w:rPr>
                <w:rFonts w:hint="default" w:ascii="Times New Roman" w:hAnsi="Times New Roman" w:eastAsia="宋体" w:cs="Times New Roman"/>
                <w:b/>
                <w:bCs/>
                <w:snapToGrid w:val="0"/>
                <w:color w:val="auto"/>
                <w:spacing w:val="-6"/>
                <w:kern w:val="21"/>
                <w:sz w:val="22"/>
                <w:highlight w:val="none"/>
              </w:rPr>
              <w:fldChar w:fldCharType="end"/>
            </w:r>
          </w:p>
        </w:tc>
        <w:tc>
          <w:tcPr>
            <w:tcW w:w="1264" w:type="dxa"/>
            <w:tcMar>
              <w:left w:w="28" w:type="dxa"/>
              <w:right w:w="28" w:type="dxa"/>
            </w:tcMar>
            <w:vAlign w:val="center"/>
          </w:tcPr>
          <w:p w14:paraId="3EEBECE6">
            <w:pPr>
              <w:pStyle w:val="44"/>
              <w:spacing w:beforeLines="0" w:afterLines="0" w:line="240" w:lineRule="auto"/>
              <w:rPr>
                <w:rFonts w:hint="default" w:ascii="Times New Roman" w:hAnsi="Times New Roman" w:eastAsia="宋体" w:cs="Times New Roman"/>
                <w:b/>
                <w:bCs/>
                <w:snapToGrid w:val="0"/>
                <w:color w:val="auto"/>
                <w:spacing w:val="-16"/>
                <w:kern w:val="21"/>
                <w:sz w:val="22"/>
                <w:highlight w:val="none"/>
              </w:rPr>
            </w:pPr>
            <w:r>
              <w:rPr>
                <w:rFonts w:hint="default" w:ascii="Times New Roman" w:hAnsi="Times New Roman" w:eastAsia="宋体" w:cs="Times New Roman"/>
                <w:b/>
                <w:bCs/>
                <w:snapToGrid w:val="0"/>
                <w:color w:val="auto"/>
                <w:spacing w:val="-16"/>
                <w:kern w:val="21"/>
                <w:sz w:val="22"/>
                <w:highlight w:val="none"/>
              </w:rPr>
              <w:t>以新带老削减量（新建项目不填）</w:t>
            </w:r>
            <w:r>
              <w:rPr>
                <w:rFonts w:hint="default" w:ascii="Times New Roman" w:hAnsi="Times New Roman" w:eastAsia="宋体" w:cs="Times New Roman"/>
                <w:b/>
                <w:bCs/>
                <w:snapToGrid w:val="0"/>
                <w:color w:val="auto"/>
                <w:spacing w:val="-16"/>
                <w:kern w:val="21"/>
                <w:sz w:val="22"/>
                <w:highlight w:val="none"/>
              </w:rPr>
              <w:fldChar w:fldCharType="begin"/>
            </w:r>
            <w:r>
              <w:rPr>
                <w:rFonts w:hint="default" w:ascii="Times New Roman" w:hAnsi="Times New Roman" w:eastAsia="宋体" w:cs="Times New Roman"/>
                <w:b/>
                <w:bCs/>
                <w:snapToGrid w:val="0"/>
                <w:color w:val="auto"/>
                <w:spacing w:val="-16"/>
                <w:kern w:val="21"/>
                <w:sz w:val="22"/>
                <w:highlight w:val="none"/>
              </w:rPr>
              <w:instrText xml:space="preserve"> = 5 \* GB3 \* MERGEFORMAT </w:instrText>
            </w:r>
            <w:r>
              <w:rPr>
                <w:rFonts w:hint="default" w:ascii="Times New Roman" w:hAnsi="Times New Roman" w:eastAsia="宋体" w:cs="Times New Roman"/>
                <w:b/>
                <w:bCs/>
                <w:snapToGrid w:val="0"/>
                <w:color w:val="auto"/>
                <w:spacing w:val="-16"/>
                <w:kern w:val="21"/>
                <w:sz w:val="22"/>
                <w:highlight w:val="none"/>
              </w:rPr>
              <w:fldChar w:fldCharType="separate"/>
            </w:r>
            <w:r>
              <w:rPr>
                <w:rFonts w:hint="default" w:ascii="Times New Roman" w:hAnsi="Times New Roman" w:eastAsia="宋体" w:cs="Times New Roman"/>
                <w:b/>
                <w:bCs/>
                <w:color w:val="auto"/>
                <w:sz w:val="22"/>
                <w:highlight w:val="none"/>
              </w:rPr>
              <w:t>⑤</w:t>
            </w:r>
            <w:r>
              <w:rPr>
                <w:rFonts w:hint="default" w:ascii="Times New Roman" w:hAnsi="Times New Roman" w:eastAsia="宋体" w:cs="Times New Roman"/>
                <w:b/>
                <w:bCs/>
                <w:snapToGrid w:val="0"/>
                <w:color w:val="auto"/>
                <w:spacing w:val="-16"/>
                <w:kern w:val="21"/>
                <w:sz w:val="22"/>
                <w:highlight w:val="none"/>
              </w:rPr>
              <w:fldChar w:fldCharType="end"/>
            </w:r>
          </w:p>
        </w:tc>
        <w:tc>
          <w:tcPr>
            <w:tcW w:w="1642" w:type="dxa"/>
            <w:tcMar>
              <w:left w:w="28" w:type="dxa"/>
              <w:right w:w="28" w:type="dxa"/>
            </w:tcMar>
            <w:vAlign w:val="center"/>
          </w:tcPr>
          <w:p w14:paraId="7BEBFF27">
            <w:pPr>
              <w:pStyle w:val="44"/>
              <w:spacing w:beforeLines="0" w:afterLines="0" w:line="240" w:lineRule="auto"/>
              <w:rPr>
                <w:rFonts w:hint="default" w:ascii="Times New Roman" w:hAnsi="Times New Roman" w:eastAsia="宋体" w:cs="Times New Roman"/>
                <w:b/>
                <w:bCs/>
                <w:snapToGrid w:val="0"/>
                <w:color w:val="auto"/>
                <w:spacing w:val="-16"/>
                <w:kern w:val="21"/>
                <w:sz w:val="22"/>
                <w:highlight w:val="none"/>
              </w:rPr>
            </w:pPr>
            <w:r>
              <w:rPr>
                <w:rFonts w:hint="default" w:ascii="Times New Roman" w:hAnsi="Times New Roman" w:eastAsia="宋体" w:cs="Times New Roman"/>
                <w:b/>
                <w:bCs/>
                <w:snapToGrid w:val="0"/>
                <w:color w:val="auto"/>
                <w:spacing w:val="-16"/>
                <w:kern w:val="21"/>
                <w:sz w:val="22"/>
                <w:highlight w:val="none"/>
              </w:rPr>
              <w:t>本项目建成后</w:t>
            </w:r>
          </w:p>
          <w:p w14:paraId="27A885F0">
            <w:pPr>
              <w:pStyle w:val="44"/>
              <w:spacing w:beforeLines="0" w:afterLines="0" w:line="240" w:lineRule="auto"/>
              <w:rPr>
                <w:rFonts w:hint="default" w:ascii="Times New Roman" w:hAnsi="Times New Roman" w:eastAsia="宋体" w:cs="Times New Roman"/>
                <w:b/>
                <w:bCs/>
                <w:snapToGrid w:val="0"/>
                <w:color w:val="auto"/>
                <w:spacing w:val="-16"/>
                <w:kern w:val="21"/>
                <w:sz w:val="22"/>
                <w:highlight w:val="none"/>
              </w:rPr>
            </w:pPr>
            <w:r>
              <w:rPr>
                <w:rFonts w:hint="default" w:ascii="Times New Roman" w:hAnsi="Times New Roman" w:eastAsia="宋体" w:cs="Times New Roman"/>
                <w:b/>
                <w:bCs/>
                <w:snapToGrid w:val="0"/>
                <w:color w:val="auto"/>
                <w:spacing w:val="-16"/>
                <w:kern w:val="21"/>
                <w:sz w:val="22"/>
                <w:highlight w:val="none"/>
              </w:rPr>
              <w:t>全厂排放量（固体废物产生量）</w:t>
            </w:r>
            <w:r>
              <w:rPr>
                <w:rFonts w:hint="default" w:ascii="Times New Roman" w:hAnsi="Times New Roman" w:eastAsia="宋体" w:cs="Times New Roman"/>
                <w:b/>
                <w:bCs/>
                <w:snapToGrid w:val="0"/>
                <w:color w:val="auto"/>
                <w:spacing w:val="-16"/>
                <w:kern w:val="21"/>
                <w:sz w:val="22"/>
                <w:highlight w:val="none"/>
              </w:rPr>
              <w:fldChar w:fldCharType="begin"/>
            </w:r>
            <w:r>
              <w:rPr>
                <w:rFonts w:hint="default" w:ascii="Times New Roman" w:hAnsi="Times New Roman" w:eastAsia="宋体" w:cs="Times New Roman"/>
                <w:b/>
                <w:bCs/>
                <w:snapToGrid w:val="0"/>
                <w:color w:val="auto"/>
                <w:spacing w:val="-16"/>
                <w:kern w:val="21"/>
                <w:sz w:val="22"/>
                <w:highlight w:val="none"/>
              </w:rPr>
              <w:instrText xml:space="preserve"> = 6 \* GB3 \* MERGEFORMAT </w:instrText>
            </w:r>
            <w:r>
              <w:rPr>
                <w:rFonts w:hint="default" w:ascii="Times New Roman" w:hAnsi="Times New Roman" w:eastAsia="宋体" w:cs="Times New Roman"/>
                <w:b/>
                <w:bCs/>
                <w:snapToGrid w:val="0"/>
                <w:color w:val="auto"/>
                <w:spacing w:val="-16"/>
                <w:kern w:val="21"/>
                <w:sz w:val="22"/>
                <w:highlight w:val="none"/>
              </w:rPr>
              <w:fldChar w:fldCharType="separate"/>
            </w:r>
            <w:r>
              <w:rPr>
                <w:rFonts w:hint="default" w:ascii="Times New Roman" w:hAnsi="Times New Roman" w:eastAsia="宋体" w:cs="Times New Roman"/>
                <w:b/>
                <w:bCs/>
                <w:color w:val="auto"/>
                <w:sz w:val="22"/>
                <w:highlight w:val="none"/>
              </w:rPr>
              <w:t>⑥</w:t>
            </w:r>
            <w:r>
              <w:rPr>
                <w:rFonts w:hint="default" w:ascii="Times New Roman" w:hAnsi="Times New Roman" w:eastAsia="宋体" w:cs="Times New Roman"/>
                <w:b/>
                <w:bCs/>
                <w:snapToGrid w:val="0"/>
                <w:color w:val="auto"/>
                <w:spacing w:val="-16"/>
                <w:kern w:val="21"/>
                <w:sz w:val="22"/>
                <w:highlight w:val="none"/>
              </w:rPr>
              <w:fldChar w:fldCharType="end"/>
            </w:r>
          </w:p>
        </w:tc>
        <w:tc>
          <w:tcPr>
            <w:tcW w:w="1396" w:type="dxa"/>
            <w:tcMar>
              <w:left w:w="28" w:type="dxa"/>
              <w:right w:w="28" w:type="dxa"/>
            </w:tcMar>
            <w:vAlign w:val="center"/>
          </w:tcPr>
          <w:p w14:paraId="07270AF4">
            <w:pPr>
              <w:pStyle w:val="44"/>
              <w:spacing w:beforeLines="0" w:afterLines="0" w:line="240" w:lineRule="auto"/>
              <w:rPr>
                <w:rFonts w:hint="default" w:ascii="Times New Roman" w:hAnsi="Times New Roman" w:eastAsia="宋体" w:cs="Times New Roman"/>
                <w:b/>
                <w:bCs/>
                <w:snapToGrid w:val="0"/>
                <w:color w:val="auto"/>
                <w:spacing w:val="-6"/>
                <w:kern w:val="21"/>
                <w:sz w:val="22"/>
                <w:highlight w:val="none"/>
              </w:rPr>
            </w:pPr>
            <w:r>
              <w:rPr>
                <w:rFonts w:hint="default" w:ascii="Times New Roman" w:hAnsi="Times New Roman" w:eastAsia="宋体" w:cs="Times New Roman"/>
                <w:b/>
                <w:bCs/>
                <w:snapToGrid w:val="0"/>
                <w:color w:val="auto"/>
                <w:spacing w:val="-6"/>
                <w:kern w:val="21"/>
                <w:sz w:val="22"/>
                <w:highlight w:val="none"/>
              </w:rPr>
              <w:t>变化量</w:t>
            </w:r>
          </w:p>
          <w:p w14:paraId="7FDBE00B">
            <w:pPr>
              <w:pStyle w:val="44"/>
              <w:spacing w:beforeLines="0" w:afterLines="0" w:line="240" w:lineRule="auto"/>
              <w:rPr>
                <w:rFonts w:hint="default" w:ascii="Times New Roman" w:hAnsi="Times New Roman" w:eastAsia="宋体" w:cs="Times New Roman"/>
                <w:b/>
                <w:bCs/>
                <w:snapToGrid w:val="0"/>
                <w:color w:val="auto"/>
                <w:spacing w:val="-6"/>
                <w:kern w:val="21"/>
                <w:sz w:val="22"/>
                <w:highlight w:val="none"/>
              </w:rPr>
            </w:pPr>
            <w:r>
              <w:rPr>
                <w:rFonts w:hint="default" w:ascii="Times New Roman" w:hAnsi="Times New Roman" w:eastAsia="宋体" w:cs="Times New Roman"/>
                <w:b/>
                <w:bCs/>
                <w:snapToGrid w:val="0"/>
                <w:color w:val="auto"/>
                <w:spacing w:val="-6"/>
                <w:kern w:val="21"/>
                <w:sz w:val="22"/>
                <w:highlight w:val="none"/>
              </w:rPr>
              <w:fldChar w:fldCharType="begin"/>
            </w:r>
            <w:r>
              <w:rPr>
                <w:rFonts w:hint="default" w:ascii="Times New Roman" w:hAnsi="Times New Roman" w:eastAsia="宋体" w:cs="Times New Roman"/>
                <w:b/>
                <w:bCs/>
                <w:snapToGrid w:val="0"/>
                <w:color w:val="auto"/>
                <w:spacing w:val="-6"/>
                <w:kern w:val="21"/>
                <w:sz w:val="22"/>
                <w:highlight w:val="none"/>
              </w:rPr>
              <w:instrText xml:space="preserve"> = 7 \* GB3 \* MERGEFORMAT </w:instrText>
            </w:r>
            <w:r>
              <w:rPr>
                <w:rFonts w:hint="default" w:ascii="Times New Roman" w:hAnsi="Times New Roman" w:eastAsia="宋体" w:cs="Times New Roman"/>
                <w:b/>
                <w:bCs/>
                <w:snapToGrid w:val="0"/>
                <w:color w:val="auto"/>
                <w:spacing w:val="-6"/>
                <w:kern w:val="21"/>
                <w:sz w:val="22"/>
                <w:highlight w:val="none"/>
              </w:rPr>
              <w:fldChar w:fldCharType="separate"/>
            </w:r>
            <w:r>
              <w:rPr>
                <w:rFonts w:hint="default" w:ascii="Times New Roman" w:hAnsi="Times New Roman" w:eastAsia="宋体" w:cs="Times New Roman"/>
                <w:b/>
                <w:bCs/>
                <w:color w:val="auto"/>
                <w:sz w:val="22"/>
                <w:highlight w:val="none"/>
              </w:rPr>
              <w:t>⑦</w:t>
            </w:r>
            <w:r>
              <w:rPr>
                <w:rFonts w:hint="default" w:ascii="Times New Roman" w:hAnsi="Times New Roman" w:eastAsia="宋体" w:cs="Times New Roman"/>
                <w:b/>
                <w:bCs/>
                <w:snapToGrid w:val="0"/>
                <w:color w:val="auto"/>
                <w:spacing w:val="-6"/>
                <w:kern w:val="21"/>
                <w:sz w:val="22"/>
                <w:highlight w:val="none"/>
              </w:rPr>
              <w:fldChar w:fldCharType="end"/>
            </w:r>
          </w:p>
        </w:tc>
      </w:tr>
      <w:tr w14:paraId="261EBC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12" w:type="dxa"/>
            <w:vMerge w:val="restart"/>
            <w:vAlign w:val="center"/>
          </w:tcPr>
          <w:p w14:paraId="5B392CA0">
            <w:pPr>
              <w:widowControl/>
              <w:adjustRightInd w:val="0"/>
              <w:snapToGrid w:val="0"/>
              <w:spacing w:line="240" w:lineRule="auto"/>
              <w:jc w:val="center"/>
              <w:rPr>
                <w:rFonts w:hint="eastAsia" w:ascii="Times New Roman" w:hAnsi="Times New Roman" w:eastAsia="宋体" w:cs="Times New Roman"/>
                <w:color w:val="auto"/>
                <w:sz w:val="22"/>
                <w:szCs w:val="22"/>
                <w:highlight w:val="none"/>
                <w:lang w:val="en-US" w:eastAsia="zh-CN"/>
              </w:rPr>
            </w:pPr>
            <w:r>
              <w:rPr>
                <w:rFonts w:hint="eastAsia" w:cs="Times New Roman"/>
                <w:color w:val="auto"/>
                <w:sz w:val="22"/>
                <w:szCs w:val="22"/>
                <w:highlight w:val="none"/>
                <w:lang w:val="en-US" w:eastAsia="zh-CN"/>
              </w:rPr>
              <w:t>废气</w:t>
            </w:r>
          </w:p>
        </w:tc>
        <w:tc>
          <w:tcPr>
            <w:tcW w:w="2906" w:type="dxa"/>
            <w:shd w:val="clear" w:color="auto" w:fill="auto"/>
            <w:vAlign w:val="center"/>
          </w:tcPr>
          <w:p w14:paraId="5FC85370">
            <w:pPr>
              <w:widowControl/>
              <w:adjustRightInd w:val="0"/>
              <w:snapToGrid w:val="0"/>
              <w:spacing w:line="240" w:lineRule="auto"/>
              <w:jc w:val="center"/>
              <w:rPr>
                <w:rFonts w:hint="default" w:ascii="Times New Roman" w:hAnsi="Times New Roman" w:eastAsia="宋体" w:cs="Times New Roman"/>
                <w:color w:val="auto"/>
                <w:sz w:val="22"/>
                <w:szCs w:val="22"/>
                <w:highlight w:val="none"/>
                <w:lang w:val="en-US" w:eastAsia="zh-CN"/>
              </w:rPr>
            </w:pPr>
            <w:r>
              <w:rPr>
                <w:rFonts w:hint="eastAsia" w:cs="Times New Roman"/>
                <w:color w:val="auto"/>
                <w:sz w:val="22"/>
                <w:szCs w:val="22"/>
                <w:highlight w:val="none"/>
                <w:lang w:val="en-US" w:eastAsia="zh-CN"/>
              </w:rPr>
              <w:t>颗粒物</w:t>
            </w:r>
          </w:p>
        </w:tc>
        <w:tc>
          <w:tcPr>
            <w:tcW w:w="1407" w:type="dxa"/>
            <w:shd w:val="clear" w:color="auto" w:fill="auto"/>
            <w:vAlign w:val="center"/>
          </w:tcPr>
          <w:p w14:paraId="1DD50EF9">
            <w:pPr>
              <w:widowControl/>
              <w:adjustRightInd w:val="0"/>
              <w:snapToGrid w:val="0"/>
              <w:spacing w:line="240" w:lineRule="auto"/>
              <w:jc w:val="center"/>
              <w:rPr>
                <w:rFonts w:hint="default"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w:t>
            </w:r>
          </w:p>
        </w:tc>
        <w:tc>
          <w:tcPr>
            <w:tcW w:w="1101" w:type="dxa"/>
            <w:shd w:val="clear" w:color="auto" w:fill="auto"/>
            <w:vAlign w:val="center"/>
          </w:tcPr>
          <w:p w14:paraId="20B1A5FF">
            <w:pPr>
              <w:widowControl/>
              <w:adjustRightInd w:val="0"/>
              <w:snapToGrid w:val="0"/>
              <w:spacing w:line="240" w:lineRule="auto"/>
              <w:jc w:val="center"/>
              <w:rPr>
                <w:rFonts w:hint="default"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w:t>
            </w:r>
          </w:p>
        </w:tc>
        <w:tc>
          <w:tcPr>
            <w:tcW w:w="1469" w:type="dxa"/>
            <w:shd w:val="clear" w:color="auto" w:fill="auto"/>
            <w:vAlign w:val="center"/>
          </w:tcPr>
          <w:p w14:paraId="45E6C709">
            <w:pPr>
              <w:widowControl/>
              <w:adjustRightInd w:val="0"/>
              <w:snapToGrid w:val="0"/>
              <w:spacing w:line="240" w:lineRule="auto"/>
              <w:jc w:val="center"/>
              <w:rPr>
                <w:rFonts w:hint="default"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w:t>
            </w:r>
          </w:p>
        </w:tc>
        <w:tc>
          <w:tcPr>
            <w:tcW w:w="1458" w:type="dxa"/>
            <w:shd w:val="clear" w:color="auto" w:fill="auto"/>
            <w:vAlign w:val="center"/>
          </w:tcPr>
          <w:p w14:paraId="5A2D9FC6">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color w:val="auto"/>
                <w:kern w:val="0"/>
                <w:sz w:val="21"/>
                <w:szCs w:val="21"/>
                <w:highlight w:val="none"/>
                <w:vertAlign w:val="baseline"/>
                <w:lang w:val="en-US" w:eastAsia="zh-CN" w:bidi="ar-SA"/>
              </w:rPr>
            </w:pPr>
            <w:r>
              <w:rPr>
                <w:rFonts w:hint="eastAsia" w:ascii="Times New Roman" w:hAnsi="Times New Roman" w:cs="Times New Roman"/>
                <w:color w:val="auto"/>
                <w:kern w:val="0"/>
                <w:sz w:val="21"/>
                <w:szCs w:val="21"/>
                <w:highlight w:val="none"/>
                <w:vertAlign w:val="baseline"/>
                <w:lang w:val="en-US" w:eastAsia="zh-CN"/>
              </w:rPr>
              <w:t>0.0000002</w:t>
            </w:r>
          </w:p>
        </w:tc>
        <w:tc>
          <w:tcPr>
            <w:tcW w:w="1264" w:type="dxa"/>
            <w:shd w:val="clear" w:color="auto" w:fill="auto"/>
            <w:vAlign w:val="center"/>
          </w:tcPr>
          <w:p w14:paraId="034A2087">
            <w:pPr>
              <w:widowControl/>
              <w:adjustRightInd w:val="0"/>
              <w:snapToGrid w:val="0"/>
              <w:spacing w:line="240" w:lineRule="auto"/>
              <w:jc w:val="center"/>
              <w:rPr>
                <w:rFonts w:hint="default" w:ascii="Times New Roman" w:hAnsi="Times New Roman" w:eastAsia="宋体" w:cs="Times New Roman"/>
                <w:color w:val="auto"/>
                <w:kern w:val="2"/>
                <w:sz w:val="22"/>
                <w:szCs w:val="22"/>
                <w:highlight w:val="none"/>
                <w:lang w:val="en-US" w:eastAsia="zh-CN" w:bidi="ar-SA"/>
              </w:rPr>
            </w:pPr>
            <w:r>
              <w:rPr>
                <w:rFonts w:hint="eastAsia" w:ascii="Times New Roman" w:hAnsi="Times New Roman" w:eastAsia="宋体" w:cs="Times New Roman"/>
                <w:color w:val="auto"/>
                <w:sz w:val="22"/>
                <w:szCs w:val="22"/>
                <w:highlight w:val="none"/>
                <w:lang w:val="en-US" w:eastAsia="zh-CN"/>
              </w:rPr>
              <w:t>/</w:t>
            </w:r>
          </w:p>
        </w:tc>
        <w:tc>
          <w:tcPr>
            <w:tcW w:w="1642" w:type="dxa"/>
            <w:shd w:val="clear" w:color="auto" w:fill="auto"/>
            <w:vAlign w:val="center"/>
          </w:tcPr>
          <w:p w14:paraId="4631C041">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color w:val="auto"/>
                <w:kern w:val="2"/>
                <w:sz w:val="22"/>
                <w:szCs w:val="22"/>
                <w:highlight w:val="none"/>
                <w:lang w:val="en-US" w:eastAsia="zh-CN" w:bidi="ar-SA"/>
              </w:rPr>
            </w:pPr>
            <w:r>
              <w:rPr>
                <w:rFonts w:hint="eastAsia" w:ascii="Times New Roman" w:hAnsi="Times New Roman" w:cs="Times New Roman"/>
                <w:color w:val="auto"/>
                <w:kern w:val="0"/>
                <w:sz w:val="21"/>
                <w:szCs w:val="21"/>
                <w:highlight w:val="none"/>
                <w:vertAlign w:val="baseline"/>
                <w:lang w:val="en-US" w:eastAsia="zh-CN"/>
              </w:rPr>
              <w:t>0.0000002</w:t>
            </w:r>
          </w:p>
        </w:tc>
        <w:tc>
          <w:tcPr>
            <w:tcW w:w="1396" w:type="dxa"/>
            <w:shd w:val="clear" w:color="auto" w:fill="auto"/>
            <w:vAlign w:val="center"/>
          </w:tcPr>
          <w:p w14:paraId="3924D601">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color w:val="auto"/>
                <w:kern w:val="0"/>
                <w:sz w:val="21"/>
                <w:szCs w:val="21"/>
                <w:highlight w:val="none"/>
                <w:vertAlign w:val="baseline"/>
                <w:lang w:val="en-US" w:eastAsia="zh-CN" w:bidi="ar-SA"/>
              </w:rPr>
            </w:pPr>
            <w:r>
              <w:rPr>
                <w:rFonts w:hint="eastAsia" w:ascii="Times New Roman" w:hAnsi="Times New Roman" w:cs="Times New Roman"/>
                <w:color w:val="auto"/>
                <w:kern w:val="0"/>
                <w:sz w:val="21"/>
                <w:szCs w:val="21"/>
                <w:highlight w:val="none"/>
                <w:vertAlign w:val="baseline"/>
                <w:lang w:val="en-US" w:eastAsia="zh-CN"/>
              </w:rPr>
              <w:t>+0.0000002</w:t>
            </w:r>
          </w:p>
        </w:tc>
      </w:tr>
      <w:tr w14:paraId="3C09A5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12" w:type="dxa"/>
            <w:vMerge w:val="continue"/>
            <w:vAlign w:val="center"/>
          </w:tcPr>
          <w:p w14:paraId="30B896BA">
            <w:pPr>
              <w:widowControl/>
              <w:adjustRightInd w:val="0"/>
              <w:snapToGrid w:val="0"/>
              <w:spacing w:line="240" w:lineRule="auto"/>
              <w:jc w:val="center"/>
              <w:rPr>
                <w:rFonts w:hint="eastAsia" w:cs="Times New Roman"/>
                <w:color w:val="auto"/>
                <w:sz w:val="22"/>
                <w:szCs w:val="22"/>
                <w:highlight w:val="none"/>
                <w:lang w:val="en-US" w:eastAsia="zh-CN"/>
              </w:rPr>
            </w:pPr>
          </w:p>
        </w:tc>
        <w:tc>
          <w:tcPr>
            <w:tcW w:w="2906" w:type="dxa"/>
            <w:shd w:val="clear" w:color="auto" w:fill="auto"/>
            <w:vAlign w:val="center"/>
          </w:tcPr>
          <w:p w14:paraId="5662D4BC">
            <w:pPr>
              <w:widowControl/>
              <w:adjustRightInd w:val="0"/>
              <w:snapToGrid w:val="0"/>
              <w:spacing w:line="240" w:lineRule="auto"/>
              <w:jc w:val="center"/>
              <w:rPr>
                <w:rFonts w:hint="eastAsia"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非甲烷总烃</w:t>
            </w:r>
          </w:p>
        </w:tc>
        <w:tc>
          <w:tcPr>
            <w:tcW w:w="1407" w:type="dxa"/>
            <w:shd w:val="clear" w:color="auto" w:fill="auto"/>
            <w:vAlign w:val="center"/>
          </w:tcPr>
          <w:p w14:paraId="416B0075">
            <w:pPr>
              <w:widowControl/>
              <w:adjustRightInd w:val="0"/>
              <w:snapToGrid w:val="0"/>
              <w:spacing w:line="240" w:lineRule="auto"/>
              <w:jc w:val="center"/>
              <w:rPr>
                <w:rFonts w:hint="eastAsia"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w:t>
            </w:r>
          </w:p>
        </w:tc>
        <w:tc>
          <w:tcPr>
            <w:tcW w:w="1101" w:type="dxa"/>
            <w:shd w:val="clear" w:color="auto" w:fill="auto"/>
            <w:vAlign w:val="center"/>
          </w:tcPr>
          <w:p w14:paraId="06F795C3">
            <w:pPr>
              <w:widowControl/>
              <w:adjustRightInd w:val="0"/>
              <w:snapToGrid w:val="0"/>
              <w:spacing w:line="240" w:lineRule="auto"/>
              <w:jc w:val="center"/>
              <w:rPr>
                <w:rFonts w:hint="eastAsia"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w:t>
            </w:r>
          </w:p>
        </w:tc>
        <w:tc>
          <w:tcPr>
            <w:tcW w:w="1469" w:type="dxa"/>
            <w:shd w:val="clear" w:color="auto" w:fill="auto"/>
            <w:vAlign w:val="center"/>
          </w:tcPr>
          <w:p w14:paraId="5F3524C7">
            <w:pPr>
              <w:widowControl/>
              <w:adjustRightInd w:val="0"/>
              <w:snapToGrid w:val="0"/>
              <w:spacing w:line="240" w:lineRule="auto"/>
              <w:jc w:val="center"/>
              <w:rPr>
                <w:rFonts w:hint="eastAsia"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w:t>
            </w:r>
          </w:p>
        </w:tc>
        <w:tc>
          <w:tcPr>
            <w:tcW w:w="1458" w:type="dxa"/>
            <w:shd w:val="clear" w:color="auto" w:fill="auto"/>
            <w:vAlign w:val="center"/>
          </w:tcPr>
          <w:p w14:paraId="01FA9183">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color w:val="auto"/>
                <w:kern w:val="0"/>
                <w:sz w:val="21"/>
                <w:szCs w:val="21"/>
                <w:highlight w:val="none"/>
                <w:vertAlign w:val="baseline"/>
                <w:lang w:val="en-US" w:eastAsia="zh-CN" w:bidi="ar-SA"/>
              </w:rPr>
            </w:pPr>
            <w:r>
              <w:rPr>
                <w:rFonts w:hint="eastAsia" w:ascii="Times New Roman" w:hAnsi="Times New Roman" w:cs="Times New Roman"/>
                <w:color w:val="auto"/>
                <w:kern w:val="0"/>
                <w:sz w:val="21"/>
                <w:szCs w:val="21"/>
                <w:highlight w:val="none"/>
                <w:vertAlign w:val="baseline"/>
                <w:lang w:val="en-US" w:eastAsia="zh-CN"/>
              </w:rPr>
              <w:t>0.007029</w:t>
            </w:r>
          </w:p>
        </w:tc>
        <w:tc>
          <w:tcPr>
            <w:tcW w:w="1264" w:type="dxa"/>
            <w:shd w:val="clear" w:color="auto" w:fill="auto"/>
            <w:vAlign w:val="center"/>
          </w:tcPr>
          <w:p w14:paraId="42C527DD">
            <w:pPr>
              <w:widowControl/>
              <w:adjustRightInd w:val="0"/>
              <w:snapToGrid w:val="0"/>
              <w:spacing w:line="240" w:lineRule="auto"/>
              <w:jc w:val="center"/>
              <w:rPr>
                <w:rFonts w:hint="eastAsia"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w:t>
            </w:r>
          </w:p>
        </w:tc>
        <w:tc>
          <w:tcPr>
            <w:tcW w:w="1642" w:type="dxa"/>
            <w:shd w:val="clear" w:color="auto" w:fill="auto"/>
            <w:vAlign w:val="center"/>
          </w:tcPr>
          <w:p w14:paraId="7862FE07">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color w:val="auto"/>
                <w:kern w:val="2"/>
                <w:sz w:val="22"/>
                <w:szCs w:val="22"/>
                <w:highlight w:val="none"/>
                <w:lang w:val="en-US" w:eastAsia="zh-CN" w:bidi="ar-SA"/>
              </w:rPr>
            </w:pPr>
            <w:r>
              <w:rPr>
                <w:rFonts w:hint="eastAsia" w:ascii="Times New Roman" w:hAnsi="Times New Roman" w:cs="Times New Roman"/>
                <w:color w:val="auto"/>
                <w:kern w:val="0"/>
                <w:sz w:val="21"/>
                <w:szCs w:val="21"/>
                <w:highlight w:val="none"/>
                <w:vertAlign w:val="baseline"/>
                <w:lang w:val="en-US" w:eastAsia="zh-CN"/>
              </w:rPr>
              <w:t>0.007029</w:t>
            </w:r>
          </w:p>
        </w:tc>
        <w:tc>
          <w:tcPr>
            <w:tcW w:w="1396" w:type="dxa"/>
            <w:shd w:val="clear" w:color="auto" w:fill="auto"/>
            <w:vAlign w:val="center"/>
          </w:tcPr>
          <w:p w14:paraId="328BD417">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color w:val="auto"/>
                <w:kern w:val="0"/>
                <w:sz w:val="21"/>
                <w:szCs w:val="21"/>
                <w:highlight w:val="none"/>
                <w:vertAlign w:val="baseline"/>
                <w:lang w:val="en-US" w:eastAsia="zh-CN" w:bidi="ar-SA"/>
              </w:rPr>
            </w:pPr>
            <w:r>
              <w:rPr>
                <w:rFonts w:hint="eastAsia" w:ascii="Times New Roman" w:hAnsi="Times New Roman" w:cs="Times New Roman"/>
                <w:color w:val="auto"/>
                <w:kern w:val="0"/>
                <w:sz w:val="21"/>
                <w:szCs w:val="21"/>
                <w:highlight w:val="none"/>
                <w:vertAlign w:val="baseline"/>
                <w:lang w:val="en-US" w:eastAsia="zh-CN"/>
              </w:rPr>
              <w:t>+0.007029</w:t>
            </w:r>
          </w:p>
        </w:tc>
      </w:tr>
      <w:tr w14:paraId="3590EE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12" w:type="dxa"/>
            <w:vMerge w:val="restart"/>
            <w:vAlign w:val="center"/>
          </w:tcPr>
          <w:p w14:paraId="41E8BEBA">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废水</w:t>
            </w:r>
          </w:p>
        </w:tc>
        <w:tc>
          <w:tcPr>
            <w:tcW w:w="2906" w:type="dxa"/>
            <w:shd w:val="clear" w:color="auto" w:fill="auto"/>
            <w:vAlign w:val="center"/>
          </w:tcPr>
          <w:p w14:paraId="18E9B8E5">
            <w:pPr>
              <w:widowControl/>
              <w:adjustRightInd w:val="0"/>
              <w:snapToGrid w:val="0"/>
              <w:spacing w:line="240" w:lineRule="auto"/>
              <w:jc w:val="center"/>
              <w:rPr>
                <w:rFonts w:hint="default" w:ascii="Times New Roman" w:hAnsi="Times New Roman" w:eastAsia="宋体" w:cs="Times New Roman"/>
                <w:color w:val="auto"/>
                <w:sz w:val="22"/>
                <w:szCs w:val="22"/>
                <w:highlight w:val="none"/>
                <w:lang w:val="en-US" w:eastAsia="en-US"/>
              </w:rPr>
            </w:pPr>
            <w:r>
              <w:rPr>
                <w:rFonts w:hint="default" w:ascii="Times New Roman" w:hAnsi="Times New Roman" w:eastAsia="宋体" w:cs="Times New Roman"/>
                <w:color w:val="auto"/>
                <w:sz w:val="22"/>
                <w:szCs w:val="22"/>
                <w:highlight w:val="none"/>
                <w:lang w:val="en-US" w:eastAsia="zh-CN"/>
              </w:rPr>
              <w:t>COD</w:t>
            </w:r>
            <w:r>
              <w:rPr>
                <w:rFonts w:hint="eastAsia" w:cs="Times New Roman"/>
                <w:color w:val="auto"/>
                <w:sz w:val="22"/>
                <w:szCs w:val="22"/>
                <w:highlight w:val="none"/>
                <w:vertAlign w:val="subscript"/>
                <w:lang w:val="en-US" w:eastAsia="zh-CN"/>
              </w:rPr>
              <w:t>cr</w:t>
            </w:r>
          </w:p>
        </w:tc>
        <w:tc>
          <w:tcPr>
            <w:tcW w:w="1407" w:type="dxa"/>
            <w:shd w:val="clear" w:color="auto" w:fill="auto"/>
            <w:vAlign w:val="center"/>
          </w:tcPr>
          <w:p w14:paraId="5966DC11">
            <w:pPr>
              <w:keepNext w:val="0"/>
              <w:keepLines w:val="0"/>
              <w:widowControl/>
              <w:suppressLineNumbers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SA"/>
              </w:rPr>
            </w:pPr>
            <w:r>
              <w:rPr>
                <w:rFonts w:hint="eastAsia" w:ascii="Times New Roman" w:hAnsi="Times New Roman" w:eastAsia="宋体" w:cs="Times New Roman"/>
                <w:color w:val="auto"/>
                <w:sz w:val="22"/>
                <w:szCs w:val="22"/>
                <w:highlight w:val="none"/>
                <w:lang w:val="en-US" w:eastAsia="zh-CN"/>
              </w:rPr>
              <w:t>/</w:t>
            </w:r>
          </w:p>
        </w:tc>
        <w:tc>
          <w:tcPr>
            <w:tcW w:w="1101" w:type="dxa"/>
            <w:shd w:val="clear" w:color="auto" w:fill="auto"/>
            <w:vAlign w:val="center"/>
          </w:tcPr>
          <w:p w14:paraId="5A155ED4">
            <w:pPr>
              <w:keepNext w:val="0"/>
              <w:keepLines w:val="0"/>
              <w:widowControl/>
              <w:suppressLineNumbers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SA"/>
              </w:rPr>
            </w:pPr>
            <w:r>
              <w:rPr>
                <w:rFonts w:hint="eastAsia" w:ascii="Times New Roman" w:hAnsi="Times New Roman" w:eastAsia="宋体" w:cs="Times New Roman"/>
                <w:color w:val="auto"/>
                <w:sz w:val="22"/>
                <w:szCs w:val="22"/>
                <w:highlight w:val="none"/>
                <w:lang w:val="en-US" w:eastAsia="zh-CN"/>
              </w:rPr>
              <w:t>/</w:t>
            </w:r>
          </w:p>
        </w:tc>
        <w:tc>
          <w:tcPr>
            <w:tcW w:w="1469" w:type="dxa"/>
            <w:shd w:val="clear" w:color="auto" w:fill="auto"/>
            <w:vAlign w:val="center"/>
          </w:tcPr>
          <w:p w14:paraId="00E3BF04">
            <w:pPr>
              <w:keepNext w:val="0"/>
              <w:keepLines w:val="0"/>
              <w:widowControl/>
              <w:suppressLineNumbers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SA"/>
              </w:rPr>
            </w:pPr>
            <w:r>
              <w:rPr>
                <w:rFonts w:hint="eastAsia" w:ascii="Times New Roman" w:hAnsi="Times New Roman" w:eastAsia="宋体" w:cs="Times New Roman"/>
                <w:color w:val="auto"/>
                <w:sz w:val="22"/>
                <w:szCs w:val="22"/>
                <w:highlight w:val="none"/>
                <w:lang w:val="en-US" w:eastAsia="zh-CN"/>
              </w:rPr>
              <w:t>/</w:t>
            </w:r>
          </w:p>
        </w:tc>
        <w:tc>
          <w:tcPr>
            <w:tcW w:w="1458" w:type="dxa"/>
            <w:shd w:val="clear" w:color="auto" w:fill="auto"/>
            <w:vAlign w:val="center"/>
          </w:tcPr>
          <w:p w14:paraId="3C23A152">
            <w:pPr>
              <w:keepNext w:val="0"/>
              <w:keepLines w:val="0"/>
              <w:widowControl/>
              <w:suppressLineNumbers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0.0366</w:t>
            </w:r>
          </w:p>
        </w:tc>
        <w:tc>
          <w:tcPr>
            <w:tcW w:w="1264" w:type="dxa"/>
            <w:shd w:val="clear" w:color="auto" w:fill="auto"/>
            <w:vAlign w:val="center"/>
          </w:tcPr>
          <w:p w14:paraId="3DF0885A">
            <w:pPr>
              <w:keepNext w:val="0"/>
              <w:keepLines w:val="0"/>
              <w:widowControl/>
              <w:suppressLineNumbers w:val="0"/>
              <w:jc w:val="center"/>
              <w:textAlignment w:val="center"/>
              <w:rPr>
                <w:rFonts w:hint="default" w:ascii="Times New Roman" w:hAnsi="Times New Roman" w:eastAsia="宋体" w:cs="Times New Roman"/>
                <w:b w:val="0"/>
                <w:bCs w:val="0"/>
                <w:color w:val="auto"/>
                <w:kern w:val="0"/>
                <w:sz w:val="21"/>
                <w:szCs w:val="21"/>
                <w:highlight w:val="none"/>
                <w:lang w:val="en-US" w:eastAsia="zh-CN" w:bidi="ar-SA"/>
              </w:rPr>
            </w:pPr>
            <w:r>
              <w:rPr>
                <w:rFonts w:hint="eastAsia" w:ascii="Times New Roman" w:hAnsi="Times New Roman" w:eastAsia="宋体" w:cs="Times New Roman"/>
                <w:color w:val="auto"/>
                <w:sz w:val="22"/>
                <w:szCs w:val="22"/>
                <w:highlight w:val="none"/>
                <w:lang w:val="en-US" w:eastAsia="zh-CN"/>
              </w:rPr>
              <w:t>/</w:t>
            </w:r>
          </w:p>
        </w:tc>
        <w:tc>
          <w:tcPr>
            <w:tcW w:w="1642" w:type="dxa"/>
            <w:shd w:val="clear" w:color="auto" w:fill="auto"/>
            <w:vAlign w:val="center"/>
          </w:tcPr>
          <w:p w14:paraId="4FABC78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0.0366</w:t>
            </w:r>
          </w:p>
        </w:tc>
        <w:tc>
          <w:tcPr>
            <w:tcW w:w="1396" w:type="dxa"/>
            <w:shd w:val="clear" w:color="auto" w:fill="auto"/>
            <w:vAlign w:val="center"/>
          </w:tcPr>
          <w:p w14:paraId="0C124FED">
            <w:pPr>
              <w:keepNext w:val="0"/>
              <w:keepLines w:val="0"/>
              <w:widowControl/>
              <w:suppressLineNumbers w:val="0"/>
              <w:jc w:val="center"/>
              <w:textAlignment w:val="center"/>
              <w:rPr>
                <w:rFonts w:hint="default" w:ascii="Times New Roman" w:hAnsi="Times New Roman" w:eastAsia="宋体" w:cs="Times New Roman"/>
                <w:color w:val="auto"/>
                <w:kern w:val="2"/>
                <w:sz w:val="22"/>
                <w:szCs w:val="22"/>
                <w:highlight w:val="none"/>
                <w:lang w:val="en-US" w:eastAsia="zh-CN" w:bidi="ar-SA"/>
              </w:rPr>
            </w:pPr>
            <w:r>
              <w:rPr>
                <w:rFonts w:hint="eastAsia"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0.0366</w:t>
            </w:r>
          </w:p>
        </w:tc>
      </w:tr>
      <w:tr w14:paraId="7CAE1F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12" w:type="dxa"/>
            <w:vMerge w:val="continue"/>
            <w:vAlign w:val="center"/>
          </w:tcPr>
          <w:p w14:paraId="6D359DC9">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2906" w:type="dxa"/>
            <w:shd w:val="clear" w:color="auto" w:fill="auto"/>
            <w:vAlign w:val="center"/>
          </w:tcPr>
          <w:p w14:paraId="2A6735C4">
            <w:pPr>
              <w:widowControl/>
              <w:adjustRightInd w:val="0"/>
              <w:snapToGrid w:val="0"/>
              <w:spacing w:line="240" w:lineRule="auto"/>
              <w:jc w:val="center"/>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sz w:val="22"/>
                <w:szCs w:val="22"/>
                <w:highlight w:val="none"/>
                <w:lang w:val="en-US" w:eastAsia="zh-CN"/>
              </w:rPr>
              <w:t>BOD</w:t>
            </w:r>
            <w:r>
              <w:rPr>
                <w:rFonts w:hint="default" w:ascii="Times New Roman" w:hAnsi="Times New Roman" w:eastAsia="宋体" w:cs="Times New Roman"/>
                <w:color w:val="auto"/>
                <w:sz w:val="22"/>
                <w:szCs w:val="22"/>
                <w:highlight w:val="none"/>
                <w:vertAlign w:val="subscript"/>
                <w:lang w:val="en-US" w:eastAsia="zh-CN"/>
              </w:rPr>
              <w:t>5</w:t>
            </w:r>
          </w:p>
        </w:tc>
        <w:tc>
          <w:tcPr>
            <w:tcW w:w="1407" w:type="dxa"/>
            <w:shd w:val="clear" w:color="auto" w:fill="auto"/>
            <w:vAlign w:val="center"/>
          </w:tcPr>
          <w:p w14:paraId="01957B1F">
            <w:pPr>
              <w:widowControl/>
              <w:adjustRightInd w:val="0"/>
              <w:snapToGrid w:val="0"/>
              <w:spacing w:line="240" w:lineRule="auto"/>
              <w:jc w:val="center"/>
              <w:rPr>
                <w:rFonts w:hint="default"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w:t>
            </w:r>
          </w:p>
        </w:tc>
        <w:tc>
          <w:tcPr>
            <w:tcW w:w="1101" w:type="dxa"/>
            <w:shd w:val="clear" w:color="auto" w:fill="auto"/>
            <w:vAlign w:val="center"/>
          </w:tcPr>
          <w:p w14:paraId="77702A70">
            <w:pPr>
              <w:widowControl/>
              <w:adjustRightInd w:val="0"/>
              <w:snapToGrid w:val="0"/>
              <w:spacing w:line="240" w:lineRule="auto"/>
              <w:jc w:val="center"/>
              <w:rPr>
                <w:rFonts w:hint="default"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w:t>
            </w:r>
          </w:p>
        </w:tc>
        <w:tc>
          <w:tcPr>
            <w:tcW w:w="1469" w:type="dxa"/>
            <w:shd w:val="clear" w:color="auto" w:fill="auto"/>
            <w:vAlign w:val="center"/>
          </w:tcPr>
          <w:p w14:paraId="62100E83">
            <w:pPr>
              <w:widowControl/>
              <w:adjustRightInd w:val="0"/>
              <w:snapToGrid w:val="0"/>
              <w:spacing w:line="240" w:lineRule="auto"/>
              <w:jc w:val="center"/>
              <w:rPr>
                <w:rFonts w:hint="default"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w:t>
            </w:r>
          </w:p>
        </w:tc>
        <w:tc>
          <w:tcPr>
            <w:tcW w:w="1458" w:type="dxa"/>
            <w:vAlign w:val="center"/>
          </w:tcPr>
          <w:p w14:paraId="32118367">
            <w:pPr>
              <w:widowControl/>
              <w:adjustRightInd w:val="0"/>
              <w:snapToGrid w:val="0"/>
              <w:spacing w:line="240" w:lineRule="auto"/>
              <w:jc w:val="center"/>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0.0218</w:t>
            </w:r>
          </w:p>
        </w:tc>
        <w:tc>
          <w:tcPr>
            <w:tcW w:w="1264" w:type="dxa"/>
            <w:shd w:val="clear" w:color="auto" w:fill="auto"/>
            <w:vAlign w:val="center"/>
          </w:tcPr>
          <w:p w14:paraId="4B603D19">
            <w:pPr>
              <w:widowControl/>
              <w:adjustRightInd w:val="0"/>
              <w:snapToGrid w:val="0"/>
              <w:spacing w:line="240" w:lineRule="auto"/>
              <w:jc w:val="center"/>
              <w:rPr>
                <w:rFonts w:hint="default" w:ascii="Times New Roman" w:hAnsi="Times New Roman" w:eastAsia="宋体" w:cs="Times New Roman"/>
                <w:color w:val="auto"/>
                <w:kern w:val="2"/>
                <w:sz w:val="22"/>
                <w:szCs w:val="22"/>
                <w:highlight w:val="none"/>
                <w:lang w:val="en-US" w:eastAsia="zh-CN" w:bidi="ar-SA"/>
              </w:rPr>
            </w:pPr>
            <w:r>
              <w:rPr>
                <w:rFonts w:hint="eastAsia" w:ascii="Times New Roman" w:hAnsi="Times New Roman" w:eastAsia="宋体" w:cs="Times New Roman"/>
                <w:color w:val="auto"/>
                <w:sz w:val="22"/>
                <w:szCs w:val="22"/>
                <w:highlight w:val="none"/>
                <w:lang w:val="en-US" w:eastAsia="zh-CN"/>
              </w:rPr>
              <w:t>/</w:t>
            </w:r>
          </w:p>
        </w:tc>
        <w:tc>
          <w:tcPr>
            <w:tcW w:w="1642" w:type="dxa"/>
            <w:shd w:val="clear" w:color="auto" w:fill="auto"/>
            <w:vAlign w:val="center"/>
          </w:tcPr>
          <w:p w14:paraId="5A39EE87">
            <w:pPr>
              <w:widowControl/>
              <w:adjustRightInd w:val="0"/>
              <w:snapToGrid w:val="0"/>
              <w:spacing w:line="240" w:lineRule="auto"/>
              <w:jc w:val="center"/>
              <w:rPr>
                <w:rFonts w:hint="default" w:ascii="Times New Roman" w:hAnsi="Times New Roman" w:eastAsia="宋体" w:cs="Times New Roman"/>
                <w:color w:val="auto"/>
                <w:kern w:val="2"/>
                <w:sz w:val="22"/>
                <w:szCs w:val="22"/>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0.0218</w:t>
            </w:r>
          </w:p>
        </w:tc>
        <w:tc>
          <w:tcPr>
            <w:tcW w:w="1396" w:type="dxa"/>
            <w:shd w:val="clear" w:color="auto" w:fill="auto"/>
            <w:vAlign w:val="center"/>
          </w:tcPr>
          <w:p w14:paraId="24C21EF3">
            <w:pPr>
              <w:widowControl/>
              <w:adjustRightInd w:val="0"/>
              <w:snapToGrid w:val="0"/>
              <w:spacing w:line="240" w:lineRule="auto"/>
              <w:jc w:val="center"/>
              <w:rPr>
                <w:rFonts w:hint="default" w:ascii="Times New Roman" w:hAnsi="Times New Roman" w:eastAsia="宋体" w:cs="Times New Roman"/>
                <w:color w:val="auto"/>
                <w:kern w:val="2"/>
                <w:sz w:val="22"/>
                <w:szCs w:val="22"/>
                <w:highlight w:val="none"/>
                <w:lang w:val="en-US" w:eastAsia="zh-CN" w:bidi="ar-SA"/>
              </w:rPr>
            </w:pPr>
            <w:r>
              <w:rPr>
                <w:rFonts w:hint="eastAsia"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0.0218</w:t>
            </w:r>
          </w:p>
        </w:tc>
      </w:tr>
      <w:tr w14:paraId="7B6737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12" w:type="dxa"/>
            <w:vMerge w:val="continue"/>
            <w:vAlign w:val="center"/>
          </w:tcPr>
          <w:p w14:paraId="3F8A11ED">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2906" w:type="dxa"/>
            <w:shd w:val="clear" w:color="auto" w:fill="auto"/>
            <w:vAlign w:val="center"/>
          </w:tcPr>
          <w:p w14:paraId="5155DA26">
            <w:pPr>
              <w:widowControl/>
              <w:adjustRightInd w:val="0"/>
              <w:snapToGrid w:val="0"/>
              <w:spacing w:line="240" w:lineRule="auto"/>
              <w:jc w:val="center"/>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sz w:val="22"/>
                <w:szCs w:val="22"/>
                <w:highlight w:val="none"/>
                <w:lang w:val="en-US" w:eastAsia="zh-CN"/>
              </w:rPr>
              <w:t>SS</w:t>
            </w:r>
          </w:p>
        </w:tc>
        <w:tc>
          <w:tcPr>
            <w:tcW w:w="1407" w:type="dxa"/>
            <w:shd w:val="clear" w:color="auto" w:fill="auto"/>
            <w:vAlign w:val="center"/>
          </w:tcPr>
          <w:p w14:paraId="2C0749E0">
            <w:pPr>
              <w:widowControl/>
              <w:adjustRightInd w:val="0"/>
              <w:snapToGrid w:val="0"/>
              <w:spacing w:line="240" w:lineRule="auto"/>
              <w:jc w:val="center"/>
              <w:rPr>
                <w:rFonts w:hint="default"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w:t>
            </w:r>
          </w:p>
        </w:tc>
        <w:tc>
          <w:tcPr>
            <w:tcW w:w="1101" w:type="dxa"/>
            <w:shd w:val="clear" w:color="auto" w:fill="auto"/>
            <w:vAlign w:val="center"/>
          </w:tcPr>
          <w:p w14:paraId="0590BE09">
            <w:pPr>
              <w:widowControl/>
              <w:adjustRightInd w:val="0"/>
              <w:snapToGrid w:val="0"/>
              <w:spacing w:line="240" w:lineRule="auto"/>
              <w:jc w:val="center"/>
              <w:rPr>
                <w:rFonts w:hint="default"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w:t>
            </w:r>
          </w:p>
        </w:tc>
        <w:tc>
          <w:tcPr>
            <w:tcW w:w="1469" w:type="dxa"/>
            <w:shd w:val="clear" w:color="auto" w:fill="auto"/>
            <w:vAlign w:val="center"/>
          </w:tcPr>
          <w:p w14:paraId="0EA77E39">
            <w:pPr>
              <w:widowControl/>
              <w:adjustRightInd w:val="0"/>
              <w:snapToGrid w:val="0"/>
              <w:spacing w:line="240" w:lineRule="auto"/>
              <w:jc w:val="center"/>
              <w:rPr>
                <w:rFonts w:hint="default"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w:t>
            </w:r>
          </w:p>
        </w:tc>
        <w:tc>
          <w:tcPr>
            <w:tcW w:w="1458" w:type="dxa"/>
            <w:vAlign w:val="center"/>
          </w:tcPr>
          <w:p w14:paraId="08222F11">
            <w:pPr>
              <w:widowControl/>
              <w:adjustRightInd w:val="0"/>
              <w:snapToGrid w:val="0"/>
              <w:spacing w:line="240" w:lineRule="auto"/>
              <w:jc w:val="center"/>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0.0201</w:t>
            </w:r>
          </w:p>
        </w:tc>
        <w:tc>
          <w:tcPr>
            <w:tcW w:w="1264" w:type="dxa"/>
            <w:shd w:val="clear" w:color="auto" w:fill="auto"/>
            <w:vAlign w:val="center"/>
          </w:tcPr>
          <w:p w14:paraId="0E2E1A1F">
            <w:pPr>
              <w:widowControl/>
              <w:adjustRightInd w:val="0"/>
              <w:snapToGrid w:val="0"/>
              <w:spacing w:line="240" w:lineRule="auto"/>
              <w:jc w:val="center"/>
              <w:rPr>
                <w:rFonts w:hint="default" w:ascii="Times New Roman" w:hAnsi="Times New Roman" w:eastAsia="宋体" w:cs="Times New Roman"/>
                <w:color w:val="auto"/>
                <w:kern w:val="2"/>
                <w:sz w:val="22"/>
                <w:szCs w:val="22"/>
                <w:highlight w:val="none"/>
                <w:lang w:val="en-US" w:eastAsia="zh-CN" w:bidi="ar-SA"/>
              </w:rPr>
            </w:pPr>
            <w:r>
              <w:rPr>
                <w:rFonts w:hint="eastAsia" w:ascii="Times New Roman" w:hAnsi="Times New Roman" w:eastAsia="宋体" w:cs="Times New Roman"/>
                <w:color w:val="auto"/>
                <w:sz w:val="22"/>
                <w:szCs w:val="22"/>
                <w:highlight w:val="none"/>
                <w:lang w:val="en-US" w:eastAsia="zh-CN"/>
              </w:rPr>
              <w:t>/</w:t>
            </w:r>
          </w:p>
        </w:tc>
        <w:tc>
          <w:tcPr>
            <w:tcW w:w="1642" w:type="dxa"/>
            <w:shd w:val="clear" w:color="auto" w:fill="auto"/>
            <w:vAlign w:val="center"/>
          </w:tcPr>
          <w:p w14:paraId="2F44678E">
            <w:pPr>
              <w:widowControl/>
              <w:adjustRightInd w:val="0"/>
              <w:snapToGrid w:val="0"/>
              <w:spacing w:line="240" w:lineRule="auto"/>
              <w:jc w:val="center"/>
              <w:rPr>
                <w:rFonts w:hint="default" w:ascii="Times New Roman" w:hAnsi="Times New Roman" w:eastAsia="宋体" w:cs="Times New Roman"/>
                <w:color w:val="auto"/>
                <w:kern w:val="2"/>
                <w:sz w:val="22"/>
                <w:szCs w:val="22"/>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0.0201</w:t>
            </w:r>
          </w:p>
        </w:tc>
        <w:tc>
          <w:tcPr>
            <w:tcW w:w="1396" w:type="dxa"/>
            <w:shd w:val="clear" w:color="auto" w:fill="auto"/>
            <w:vAlign w:val="center"/>
          </w:tcPr>
          <w:p w14:paraId="341AA00D">
            <w:pPr>
              <w:widowControl/>
              <w:adjustRightInd w:val="0"/>
              <w:snapToGrid w:val="0"/>
              <w:spacing w:line="240" w:lineRule="auto"/>
              <w:jc w:val="center"/>
              <w:rPr>
                <w:rFonts w:hint="default" w:ascii="Times New Roman" w:hAnsi="Times New Roman" w:eastAsia="宋体" w:cs="Times New Roman"/>
                <w:color w:val="auto"/>
                <w:kern w:val="2"/>
                <w:sz w:val="22"/>
                <w:szCs w:val="22"/>
                <w:highlight w:val="none"/>
                <w:lang w:val="en-US" w:eastAsia="zh-CN" w:bidi="ar-SA"/>
              </w:rPr>
            </w:pPr>
            <w:r>
              <w:rPr>
                <w:rFonts w:hint="eastAsia"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0.0201</w:t>
            </w:r>
          </w:p>
        </w:tc>
      </w:tr>
      <w:tr w14:paraId="1D16A4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12" w:type="dxa"/>
            <w:vMerge w:val="continue"/>
            <w:vAlign w:val="center"/>
          </w:tcPr>
          <w:p w14:paraId="60A38E1D">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2906" w:type="dxa"/>
            <w:shd w:val="clear" w:color="auto" w:fill="auto"/>
            <w:vAlign w:val="center"/>
          </w:tcPr>
          <w:p w14:paraId="6AA3A23D">
            <w:pPr>
              <w:widowControl/>
              <w:adjustRightInd w:val="0"/>
              <w:snapToGrid w:val="0"/>
              <w:spacing w:line="240" w:lineRule="auto"/>
              <w:jc w:val="center"/>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sz w:val="22"/>
                <w:szCs w:val="22"/>
                <w:highlight w:val="none"/>
                <w:lang w:val="en-US" w:eastAsia="zh-CN"/>
              </w:rPr>
              <w:t>氨氮</w:t>
            </w:r>
          </w:p>
        </w:tc>
        <w:tc>
          <w:tcPr>
            <w:tcW w:w="1407" w:type="dxa"/>
            <w:shd w:val="clear" w:color="auto" w:fill="auto"/>
            <w:vAlign w:val="center"/>
          </w:tcPr>
          <w:p w14:paraId="3FC8BD48">
            <w:pPr>
              <w:widowControl/>
              <w:adjustRightInd w:val="0"/>
              <w:snapToGrid w:val="0"/>
              <w:spacing w:line="240" w:lineRule="auto"/>
              <w:jc w:val="center"/>
              <w:rPr>
                <w:rFonts w:hint="default"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w:t>
            </w:r>
          </w:p>
        </w:tc>
        <w:tc>
          <w:tcPr>
            <w:tcW w:w="1101" w:type="dxa"/>
            <w:shd w:val="clear" w:color="auto" w:fill="auto"/>
            <w:vAlign w:val="center"/>
          </w:tcPr>
          <w:p w14:paraId="2E9776E9">
            <w:pPr>
              <w:widowControl/>
              <w:adjustRightInd w:val="0"/>
              <w:snapToGrid w:val="0"/>
              <w:spacing w:line="240" w:lineRule="auto"/>
              <w:jc w:val="center"/>
              <w:rPr>
                <w:rFonts w:hint="default"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w:t>
            </w:r>
          </w:p>
        </w:tc>
        <w:tc>
          <w:tcPr>
            <w:tcW w:w="1469" w:type="dxa"/>
            <w:shd w:val="clear" w:color="auto" w:fill="auto"/>
            <w:vAlign w:val="center"/>
          </w:tcPr>
          <w:p w14:paraId="3C4A44D2">
            <w:pPr>
              <w:widowControl/>
              <w:adjustRightInd w:val="0"/>
              <w:snapToGrid w:val="0"/>
              <w:spacing w:line="240" w:lineRule="auto"/>
              <w:jc w:val="center"/>
              <w:rPr>
                <w:rFonts w:hint="default"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w:t>
            </w:r>
          </w:p>
        </w:tc>
        <w:tc>
          <w:tcPr>
            <w:tcW w:w="1458" w:type="dxa"/>
            <w:vAlign w:val="center"/>
          </w:tcPr>
          <w:p w14:paraId="52F5A00D">
            <w:pPr>
              <w:widowControl/>
              <w:adjustRightInd w:val="0"/>
              <w:snapToGrid w:val="0"/>
              <w:spacing w:line="240" w:lineRule="auto"/>
              <w:jc w:val="center"/>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0.0037</w:t>
            </w:r>
          </w:p>
        </w:tc>
        <w:tc>
          <w:tcPr>
            <w:tcW w:w="1264" w:type="dxa"/>
            <w:shd w:val="clear" w:color="auto" w:fill="auto"/>
            <w:vAlign w:val="center"/>
          </w:tcPr>
          <w:p w14:paraId="1B399D1B">
            <w:pPr>
              <w:widowControl/>
              <w:adjustRightInd w:val="0"/>
              <w:snapToGrid w:val="0"/>
              <w:spacing w:line="240" w:lineRule="auto"/>
              <w:jc w:val="center"/>
              <w:rPr>
                <w:rFonts w:hint="default" w:ascii="Times New Roman" w:hAnsi="Times New Roman" w:eastAsia="宋体" w:cs="Times New Roman"/>
                <w:color w:val="auto"/>
                <w:kern w:val="2"/>
                <w:sz w:val="22"/>
                <w:szCs w:val="22"/>
                <w:highlight w:val="none"/>
                <w:lang w:val="en-US" w:eastAsia="zh-CN" w:bidi="ar-SA"/>
              </w:rPr>
            </w:pPr>
            <w:r>
              <w:rPr>
                <w:rFonts w:hint="eastAsia" w:ascii="Times New Roman" w:hAnsi="Times New Roman" w:eastAsia="宋体" w:cs="Times New Roman"/>
                <w:color w:val="auto"/>
                <w:sz w:val="22"/>
                <w:szCs w:val="22"/>
                <w:highlight w:val="none"/>
                <w:lang w:val="en-US" w:eastAsia="zh-CN"/>
              </w:rPr>
              <w:t>/</w:t>
            </w:r>
          </w:p>
        </w:tc>
        <w:tc>
          <w:tcPr>
            <w:tcW w:w="1642" w:type="dxa"/>
            <w:shd w:val="clear" w:color="auto" w:fill="auto"/>
            <w:vAlign w:val="center"/>
          </w:tcPr>
          <w:p w14:paraId="6303B6B6">
            <w:pPr>
              <w:widowControl/>
              <w:adjustRightInd w:val="0"/>
              <w:snapToGrid w:val="0"/>
              <w:spacing w:line="240" w:lineRule="auto"/>
              <w:jc w:val="center"/>
              <w:rPr>
                <w:rFonts w:hint="default" w:ascii="Times New Roman" w:hAnsi="Times New Roman" w:eastAsia="宋体" w:cs="Times New Roman"/>
                <w:color w:val="auto"/>
                <w:kern w:val="2"/>
                <w:sz w:val="22"/>
                <w:szCs w:val="22"/>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0.0037</w:t>
            </w:r>
          </w:p>
        </w:tc>
        <w:tc>
          <w:tcPr>
            <w:tcW w:w="1396" w:type="dxa"/>
            <w:shd w:val="clear" w:color="auto" w:fill="auto"/>
            <w:vAlign w:val="center"/>
          </w:tcPr>
          <w:p w14:paraId="42A1BA3B">
            <w:pPr>
              <w:widowControl/>
              <w:adjustRightInd w:val="0"/>
              <w:snapToGrid w:val="0"/>
              <w:spacing w:line="240" w:lineRule="auto"/>
              <w:jc w:val="center"/>
              <w:rPr>
                <w:rFonts w:hint="default" w:ascii="Times New Roman" w:hAnsi="Times New Roman" w:eastAsia="宋体" w:cs="Times New Roman"/>
                <w:color w:val="auto"/>
                <w:kern w:val="2"/>
                <w:sz w:val="22"/>
                <w:szCs w:val="22"/>
                <w:highlight w:val="none"/>
                <w:lang w:val="en-US" w:eastAsia="zh-CN" w:bidi="ar-SA"/>
              </w:rPr>
            </w:pPr>
            <w:r>
              <w:rPr>
                <w:rFonts w:hint="eastAsia"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0.0037</w:t>
            </w:r>
          </w:p>
        </w:tc>
      </w:tr>
      <w:tr w14:paraId="7D2F70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12" w:type="dxa"/>
            <w:vMerge w:val="continue"/>
            <w:vAlign w:val="center"/>
          </w:tcPr>
          <w:p w14:paraId="3650D772">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2906" w:type="dxa"/>
            <w:shd w:val="clear" w:color="auto" w:fill="auto"/>
            <w:vAlign w:val="center"/>
          </w:tcPr>
          <w:p w14:paraId="4CF5F59E">
            <w:pPr>
              <w:widowControl/>
              <w:adjustRightInd w:val="0"/>
              <w:snapToGrid w:val="0"/>
              <w:spacing w:line="240" w:lineRule="auto"/>
              <w:jc w:val="center"/>
              <w:rPr>
                <w:rFonts w:hint="default" w:ascii="Times New Roman" w:hAnsi="Times New Roman" w:eastAsia="宋体" w:cs="Times New Roman"/>
                <w:color w:val="auto"/>
                <w:sz w:val="22"/>
                <w:szCs w:val="22"/>
                <w:highlight w:val="none"/>
                <w:lang w:val="en-US" w:eastAsia="zh-CN"/>
              </w:rPr>
            </w:pPr>
            <w:r>
              <w:rPr>
                <w:rFonts w:hint="eastAsia" w:cs="Times New Roman"/>
                <w:color w:val="auto"/>
                <w:sz w:val="22"/>
                <w:szCs w:val="22"/>
                <w:highlight w:val="none"/>
                <w:lang w:val="en-US" w:eastAsia="zh-CN"/>
              </w:rPr>
              <w:t>可溶性固体总量</w:t>
            </w:r>
          </w:p>
        </w:tc>
        <w:tc>
          <w:tcPr>
            <w:tcW w:w="1407" w:type="dxa"/>
            <w:shd w:val="clear" w:color="auto" w:fill="auto"/>
            <w:vAlign w:val="center"/>
          </w:tcPr>
          <w:p w14:paraId="6A788EAD">
            <w:pPr>
              <w:widowControl/>
              <w:adjustRightInd w:val="0"/>
              <w:snapToGrid w:val="0"/>
              <w:spacing w:line="240" w:lineRule="auto"/>
              <w:jc w:val="center"/>
              <w:rPr>
                <w:rFonts w:hint="eastAsia" w:ascii="Times New Roman" w:hAnsi="Times New Roman" w:eastAsia="宋体" w:cs="Times New Roman"/>
                <w:color w:val="auto"/>
                <w:sz w:val="22"/>
                <w:szCs w:val="22"/>
                <w:highlight w:val="none"/>
                <w:lang w:val="en-US" w:eastAsia="zh-CN"/>
              </w:rPr>
            </w:pPr>
          </w:p>
        </w:tc>
        <w:tc>
          <w:tcPr>
            <w:tcW w:w="1101" w:type="dxa"/>
            <w:shd w:val="clear" w:color="auto" w:fill="auto"/>
            <w:vAlign w:val="center"/>
          </w:tcPr>
          <w:p w14:paraId="651414A4">
            <w:pPr>
              <w:widowControl/>
              <w:adjustRightInd w:val="0"/>
              <w:snapToGrid w:val="0"/>
              <w:spacing w:line="240" w:lineRule="auto"/>
              <w:jc w:val="center"/>
              <w:rPr>
                <w:rFonts w:hint="eastAsia" w:ascii="Times New Roman" w:hAnsi="Times New Roman" w:eastAsia="宋体" w:cs="Times New Roman"/>
                <w:color w:val="auto"/>
                <w:sz w:val="22"/>
                <w:szCs w:val="22"/>
                <w:highlight w:val="none"/>
                <w:lang w:val="en-US" w:eastAsia="zh-CN"/>
              </w:rPr>
            </w:pPr>
          </w:p>
        </w:tc>
        <w:tc>
          <w:tcPr>
            <w:tcW w:w="1469" w:type="dxa"/>
            <w:shd w:val="clear" w:color="auto" w:fill="auto"/>
            <w:vAlign w:val="center"/>
          </w:tcPr>
          <w:p w14:paraId="72E53716">
            <w:pPr>
              <w:widowControl/>
              <w:adjustRightInd w:val="0"/>
              <w:snapToGrid w:val="0"/>
              <w:spacing w:line="240" w:lineRule="auto"/>
              <w:jc w:val="center"/>
              <w:rPr>
                <w:rFonts w:hint="eastAsia" w:ascii="Times New Roman" w:hAnsi="Times New Roman" w:eastAsia="宋体" w:cs="Times New Roman"/>
                <w:color w:val="auto"/>
                <w:sz w:val="22"/>
                <w:szCs w:val="22"/>
                <w:highlight w:val="none"/>
                <w:lang w:val="en-US" w:eastAsia="zh-CN"/>
              </w:rPr>
            </w:pPr>
          </w:p>
        </w:tc>
        <w:tc>
          <w:tcPr>
            <w:tcW w:w="1458" w:type="dxa"/>
            <w:vAlign w:val="center"/>
          </w:tcPr>
          <w:p w14:paraId="4117DFB6">
            <w:pPr>
              <w:widowControl/>
              <w:adjustRightInd w:val="0"/>
              <w:snapToGrid w:val="0"/>
              <w:spacing w:line="240" w:lineRule="auto"/>
              <w:jc w:val="center"/>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0.0009</w:t>
            </w:r>
          </w:p>
        </w:tc>
        <w:tc>
          <w:tcPr>
            <w:tcW w:w="1264" w:type="dxa"/>
            <w:shd w:val="clear" w:color="auto" w:fill="auto"/>
            <w:vAlign w:val="center"/>
          </w:tcPr>
          <w:p w14:paraId="6EDE250D">
            <w:pPr>
              <w:widowControl/>
              <w:adjustRightInd w:val="0"/>
              <w:snapToGrid w:val="0"/>
              <w:spacing w:line="240" w:lineRule="auto"/>
              <w:jc w:val="center"/>
              <w:rPr>
                <w:rFonts w:hint="eastAsia"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w:t>
            </w:r>
          </w:p>
        </w:tc>
        <w:tc>
          <w:tcPr>
            <w:tcW w:w="1642" w:type="dxa"/>
            <w:shd w:val="clear" w:color="auto" w:fill="auto"/>
            <w:vAlign w:val="center"/>
          </w:tcPr>
          <w:p w14:paraId="790ED225">
            <w:pPr>
              <w:widowControl/>
              <w:adjustRightInd w:val="0"/>
              <w:snapToGrid w:val="0"/>
              <w:spacing w:line="240" w:lineRule="auto"/>
              <w:jc w:val="center"/>
              <w:rPr>
                <w:rFonts w:hint="default" w:ascii="Times New Roman" w:hAnsi="Times New Roman" w:eastAsia="宋体" w:cs="Times New Roman"/>
                <w:color w:val="auto"/>
                <w:kern w:val="2"/>
                <w:sz w:val="22"/>
                <w:szCs w:val="22"/>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0.0009</w:t>
            </w:r>
          </w:p>
        </w:tc>
        <w:tc>
          <w:tcPr>
            <w:tcW w:w="1396" w:type="dxa"/>
            <w:shd w:val="clear" w:color="auto" w:fill="auto"/>
            <w:vAlign w:val="center"/>
          </w:tcPr>
          <w:p w14:paraId="2300ECC6">
            <w:pPr>
              <w:widowControl/>
              <w:adjustRightInd w:val="0"/>
              <w:snapToGrid w:val="0"/>
              <w:spacing w:line="240" w:lineRule="auto"/>
              <w:jc w:val="center"/>
              <w:rPr>
                <w:rFonts w:hint="default" w:ascii="Times New Roman" w:hAnsi="Times New Roman" w:eastAsia="宋体" w:cs="Times New Roman"/>
                <w:color w:val="auto"/>
                <w:kern w:val="2"/>
                <w:sz w:val="22"/>
                <w:szCs w:val="22"/>
                <w:highlight w:val="none"/>
                <w:lang w:val="en-US" w:eastAsia="zh-CN" w:bidi="ar-SA"/>
              </w:rPr>
            </w:pPr>
            <w:r>
              <w:rPr>
                <w:rFonts w:hint="eastAsia"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0.0009</w:t>
            </w:r>
          </w:p>
        </w:tc>
      </w:tr>
      <w:tr w14:paraId="5CCD8A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12" w:type="dxa"/>
            <w:vMerge w:val="restart"/>
            <w:vAlign w:val="center"/>
          </w:tcPr>
          <w:p w14:paraId="3ABD959E">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一般工业固体废物</w:t>
            </w:r>
          </w:p>
        </w:tc>
        <w:tc>
          <w:tcPr>
            <w:tcW w:w="2906" w:type="dxa"/>
            <w:shd w:val="clear" w:color="auto" w:fill="auto"/>
            <w:vAlign w:val="center"/>
          </w:tcPr>
          <w:p w14:paraId="16218F4A">
            <w:pPr>
              <w:widowControl/>
              <w:adjustRightInd w:val="0"/>
              <w:snapToGrid w:val="0"/>
              <w:spacing w:line="240" w:lineRule="auto"/>
              <w:jc w:val="center"/>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sz w:val="22"/>
                <w:szCs w:val="22"/>
                <w:highlight w:val="none"/>
                <w:lang w:val="en-US" w:eastAsia="zh-CN"/>
              </w:rPr>
              <w:t>未沾染化学试剂的废包装物</w:t>
            </w:r>
          </w:p>
        </w:tc>
        <w:tc>
          <w:tcPr>
            <w:tcW w:w="1407" w:type="dxa"/>
            <w:shd w:val="clear" w:color="auto" w:fill="auto"/>
            <w:vAlign w:val="center"/>
          </w:tcPr>
          <w:p w14:paraId="2082C8E6">
            <w:pPr>
              <w:widowControl/>
              <w:adjustRightInd w:val="0"/>
              <w:snapToGrid w:val="0"/>
              <w:spacing w:line="240" w:lineRule="auto"/>
              <w:jc w:val="center"/>
              <w:rPr>
                <w:rFonts w:hint="default"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w:t>
            </w:r>
          </w:p>
        </w:tc>
        <w:tc>
          <w:tcPr>
            <w:tcW w:w="1101" w:type="dxa"/>
            <w:shd w:val="clear" w:color="auto" w:fill="auto"/>
            <w:vAlign w:val="center"/>
          </w:tcPr>
          <w:p w14:paraId="5461F02D">
            <w:pPr>
              <w:widowControl/>
              <w:adjustRightInd w:val="0"/>
              <w:snapToGrid w:val="0"/>
              <w:spacing w:line="240" w:lineRule="auto"/>
              <w:jc w:val="center"/>
              <w:rPr>
                <w:rFonts w:hint="default"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w:t>
            </w:r>
          </w:p>
        </w:tc>
        <w:tc>
          <w:tcPr>
            <w:tcW w:w="1469" w:type="dxa"/>
            <w:shd w:val="clear" w:color="auto" w:fill="auto"/>
            <w:vAlign w:val="center"/>
          </w:tcPr>
          <w:p w14:paraId="4C47D945">
            <w:pPr>
              <w:widowControl/>
              <w:adjustRightInd w:val="0"/>
              <w:snapToGrid w:val="0"/>
              <w:spacing w:line="240" w:lineRule="auto"/>
              <w:jc w:val="center"/>
              <w:rPr>
                <w:rFonts w:hint="default"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w:t>
            </w:r>
          </w:p>
        </w:tc>
        <w:tc>
          <w:tcPr>
            <w:tcW w:w="1458" w:type="dxa"/>
            <w:shd w:val="clear" w:color="auto" w:fill="auto"/>
            <w:vAlign w:val="center"/>
          </w:tcPr>
          <w:p w14:paraId="7B670D9F">
            <w:pPr>
              <w:widowControl/>
              <w:adjustRightInd w:val="0"/>
              <w:snapToGrid w:val="0"/>
              <w:spacing w:line="240" w:lineRule="auto"/>
              <w:jc w:val="center"/>
              <w:rPr>
                <w:rFonts w:hint="default" w:ascii="Times New Roman" w:hAnsi="Times New Roman" w:eastAsia="宋体" w:cs="Times New Roman"/>
                <w:color w:val="auto"/>
                <w:sz w:val="22"/>
                <w:szCs w:val="22"/>
                <w:highlight w:val="none"/>
                <w:lang w:val="en-US" w:eastAsia="zh-CN"/>
              </w:rPr>
            </w:pPr>
            <w:r>
              <w:rPr>
                <w:rFonts w:hint="eastAsia" w:cs="Times New Roman"/>
                <w:color w:val="auto"/>
                <w:sz w:val="22"/>
                <w:szCs w:val="22"/>
                <w:highlight w:val="none"/>
                <w:lang w:val="en-US" w:eastAsia="zh-CN"/>
              </w:rPr>
              <w:t>0.5</w:t>
            </w:r>
          </w:p>
        </w:tc>
        <w:tc>
          <w:tcPr>
            <w:tcW w:w="1264" w:type="dxa"/>
            <w:shd w:val="clear" w:color="auto" w:fill="auto"/>
            <w:vAlign w:val="center"/>
          </w:tcPr>
          <w:p w14:paraId="3B8279A2">
            <w:pPr>
              <w:widowControl/>
              <w:adjustRightInd w:val="0"/>
              <w:snapToGrid w:val="0"/>
              <w:spacing w:line="240" w:lineRule="auto"/>
              <w:jc w:val="center"/>
              <w:rPr>
                <w:rFonts w:hint="default" w:ascii="Times New Roman" w:hAnsi="Times New Roman" w:eastAsia="宋体" w:cs="Times New Roman"/>
                <w:color w:val="auto"/>
                <w:kern w:val="2"/>
                <w:sz w:val="22"/>
                <w:szCs w:val="22"/>
                <w:highlight w:val="none"/>
                <w:lang w:val="en-US" w:eastAsia="zh-CN" w:bidi="ar-SA"/>
              </w:rPr>
            </w:pPr>
            <w:r>
              <w:rPr>
                <w:rFonts w:hint="eastAsia" w:ascii="Times New Roman" w:hAnsi="Times New Roman" w:eastAsia="宋体" w:cs="Times New Roman"/>
                <w:color w:val="auto"/>
                <w:sz w:val="22"/>
                <w:szCs w:val="22"/>
                <w:highlight w:val="none"/>
                <w:lang w:val="en-US" w:eastAsia="zh-CN"/>
              </w:rPr>
              <w:t>/</w:t>
            </w:r>
          </w:p>
        </w:tc>
        <w:tc>
          <w:tcPr>
            <w:tcW w:w="1642" w:type="dxa"/>
            <w:shd w:val="clear" w:color="auto" w:fill="auto"/>
            <w:vAlign w:val="center"/>
          </w:tcPr>
          <w:p w14:paraId="178112D9">
            <w:pPr>
              <w:widowControl/>
              <w:adjustRightInd w:val="0"/>
              <w:snapToGrid w:val="0"/>
              <w:spacing w:line="240" w:lineRule="auto"/>
              <w:jc w:val="center"/>
              <w:rPr>
                <w:rFonts w:hint="default" w:ascii="Times New Roman" w:hAnsi="Times New Roman" w:eastAsia="宋体" w:cs="Times New Roman"/>
                <w:color w:val="auto"/>
                <w:kern w:val="2"/>
                <w:sz w:val="22"/>
                <w:szCs w:val="22"/>
                <w:highlight w:val="none"/>
                <w:lang w:val="en-US" w:eastAsia="zh-CN" w:bidi="ar-SA"/>
              </w:rPr>
            </w:pPr>
            <w:r>
              <w:rPr>
                <w:rFonts w:hint="eastAsia" w:cs="Times New Roman"/>
                <w:color w:val="auto"/>
                <w:sz w:val="22"/>
                <w:szCs w:val="22"/>
                <w:highlight w:val="none"/>
                <w:lang w:val="en-US" w:eastAsia="zh-CN"/>
              </w:rPr>
              <w:t>0.5</w:t>
            </w:r>
          </w:p>
        </w:tc>
        <w:tc>
          <w:tcPr>
            <w:tcW w:w="1396" w:type="dxa"/>
            <w:shd w:val="clear" w:color="auto" w:fill="auto"/>
            <w:vAlign w:val="center"/>
          </w:tcPr>
          <w:p w14:paraId="4DBCBDE3">
            <w:pPr>
              <w:widowControl/>
              <w:adjustRightInd w:val="0"/>
              <w:snapToGrid w:val="0"/>
              <w:spacing w:line="240" w:lineRule="auto"/>
              <w:jc w:val="center"/>
              <w:rPr>
                <w:rFonts w:hint="default" w:ascii="Times New Roman" w:hAnsi="Times New Roman" w:eastAsia="宋体" w:cs="Times New Roman"/>
                <w:color w:val="auto"/>
                <w:kern w:val="2"/>
                <w:sz w:val="22"/>
                <w:szCs w:val="22"/>
                <w:highlight w:val="none"/>
                <w:lang w:val="en-US" w:eastAsia="zh-CN" w:bidi="ar-SA"/>
              </w:rPr>
            </w:pPr>
            <w:r>
              <w:rPr>
                <w:rFonts w:hint="eastAsia" w:cs="Times New Roman"/>
                <w:color w:val="auto"/>
                <w:sz w:val="22"/>
                <w:szCs w:val="22"/>
                <w:highlight w:val="none"/>
                <w:lang w:val="en-US" w:eastAsia="zh-CN"/>
              </w:rPr>
              <w:t>+0.5</w:t>
            </w:r>
          </w:p>
        </w:tc>
      </w:tr>
      <w:tr w14:paraId="709C32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12" w:type="dxa"/>
            <w:vMerge w:val="continue"/>
            <w:vAlign w:val="center"/>
          </w:tcPr>
          <w:p w14:paraId="6AB35E26">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2906" w:type="dxa"/>
            <w:shd w:val="clear" w:color="auto" w:fill="auto"/>
            <w:vAlign w:val="center"/>
          </w:tcPr>
          <w:p w14:paraId="79A33508">
            <w:pPr>
              <w:widowControl/>
              <w:adjustRightInd w:val="0"/>
              <w:snapToGrid w:val="0"/>
              <w:spacing w:line="240" w:lineRule="auto"/>
              <w:jc w:val="center"/>
              <w:rPr>
                <w:rFonts w:hint="default" w:ascii="Times New Roman" w:hAnsi="Times New Roman" w:eastAsia="宋体" w:cs="Times New Roman"/>
                <w:color w:val="auto"/>
                <w:sz w:val="22"/>
                <w:szCs w:val="22"/>
                <w:highlight w:val="none"/>
                <w:lang w:val="en-US" w:eastAsia="zh-CN"/>
              </w:rPr>
            </w:pPr>
            <w:r>
              <w:rPr>
                <w:rFonts w:hint="eastAsia" w:cs="Times New Roman"/>
                <w:color w:val="auto"/>
                <w:sz w:val="22"/>
                <w:szCs w:val="22"/>
                <w:highlight w:val="none"/>
                <w:lang w:val="en-US" w:eastAsia="zh-CN"/>
              </w:rPr>
              <w:t>纯水制备废滤芯</w:t>
            </w:r>
          </w:p>
        </w:tc>
        <w:tc>
          <w:tcPr>
            <w:tcW w:w="1407" w:type="dxa"/>
            <w:shd w:val="clear" w:color="auto" w:fill="auto"/>
            <w:vAlign w:val="center"/>
          </w:tcPr>
          <w:p w14:paraId="5D7D8D40">
            <w:pPr>
              <w:widowControl/>
              <w:adjustRightInd w:val="0"/>
              <w:snapToGrid w:val="0"/>
              <w:spacing w:line="240" w:lineRule="auto"/>
              <w:jc w:val="center"/>
              <w:rPr>
                <w:rFonts w:hint="eastAsia"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w:t>
            </w:r>
          </w:p>
        </w:tc>
        <w:tc>
          <w:tcPr>
            <w:tcW w:w="1101" w:type="dxa"/>
            <w:shd w:val="clear" w:color="auto" w:fill="auto"/>
            <w:vAlign w:val="center"/>
          </w:tcPr>
          <w:p w14:paraId="5EEDA203">
            <w:pPr>
              <w:widowControl/>
              <w:adjustRightInd w:val="0"/>
              <w:snapToGrid w:val="0"/>
              <w:spacing w:line="240" w:lineRule="auto"/>
              <w:jc w:val="center"/>
              <w:rPr>
                <w:rFonts w:hint="eastAsia"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w:t>
            </w:r>
          </w:p>
        </w:tc>
        <w:tc>
          <w:tcPr>
            <w:tcW w:w="1469" w:type="dxa"/>
            <w:shd w:val="clear" w:color="auto" w:fill="auto"/>
            <w:vAlign w:val="center"/>
          </w:tcPr>
          <w:p w14:paraId="5E544E45">
            <w:pPr>
              <w:widowControl/>
              <w:adjustRightInd w:val="0"/>
              <w:snapToGrid w:val="0"/>
              <w:spacing w:line="240" w:lineRule="auto"/>
              <w:jc w:val="center"/>
              <w:rPr>
                <w:rFonts w:hint="eastAsia"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w:t>
            </w:r>
          </w:p>
        </w:tc>
        <w:tc>
          <w:tcPr>
            <w:tcW w:w="1458" w:type="dxa"/>
            <w:shd w:val="clear" w:color="auto" w:fill="auto"/>
            <w:vAlign w:val="center"/>
          </w:tcPr>
          <w:p w14:paraId="6778794B">
            <w:pPr>
              <w:widowControl/>
              <w:adjustRightInd w:val="0"/>
              <w:snapToGrid w:val="0"/>
              <w:spacing w:line="240" w:lineRule="auto"/>
              <w:jc w:val="center"/>
              <w:rPr>
                <w:rFonts w:hint="default" w:ascii="Times New Roman" w:hAnsi="Times New Roman" w:eastAsia="宋体" w:cs="Times New Roman"/>
                <w:color w:val="auto"/>
                <w:sz w:val="22"/>
                <w:szCs w:val="22"/>
                <w:highlight w:val="none"/>
                <w:lang w:val="en-US" w:eastAsia="zh-CN"/>
              </w:rPr>
            </w:pPr>
            <w:r>
              <w:rPr>
                <w:rFonts w:hint="eastAsia" w:cs="Times New Roman"/>
                <w:color w:val="auto"/>
                <w:sz w:val="22"/>
                <w:szCs w:val="22"/>
                <w:highlight w:val="none"/>
                <w:lang w:val="en-US" w:eastAsia="zh-CN"/>
              </w:rPr>
              <w:t>0.05</w:t>
            </w:r>
          </w:p>
        </w:tc>
        <w:tc>
          <w:tcPr>
            <w:tcW w:w="1264" w:type="dxa"/>
            <w:shd w:val="clear" w:color="auto" w:fill="auto"/>
            <w:vAlign w:val="center"/>
          </w:tcPr>
          <w:p w14:paraId="77509987">
            <w:pPr>
              <w:widowControl/>
              <w:adjustRightInd w:val="0"/>
              <w:snapToGrid w:val="0"/>
              <w:spacing w:line="240" w:lineRule="auto"/>
              <w:jc w:val="center"/>
              <w:rPr>
                <w:rFonts w:hint="eastAsia"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w:t>
            </w:r>
          </w:p>
        </w:tc>
        <w:tc>
          <w:tcPr>
            <w:tcW w:w="1642" w:type="dxa"/>
            <w:shd w:val="clear" w:color="auto" w:fill="auto"/>
            <w:vAlign w:val="center"/>
          </w:tcPr>
          <w:p w14:paraId="0D368676">
            <w:pPr>
              <w:widowControl/>
              <w:adjustRightInd w:val="0"/>
              <w:snapToGrid w:val="0"/>
              <w:spacing w:line="240" w:lineRule="auto"/>
              <w:jc w:val="center"/>
              <w:rPr>
                <w:rFonts w:hint="eastAsia" w:ascii="Times New Roman" w:hAnsi="Times New Roman" w:eastAsia="宋体" w:cs="Times New Roman"/>
                <w:color w:val="auto"/>
                <w:kern w:val="2"/>
                <w:sz w:val="22"/>
                <w:szCs w:val="22"/>
                <w:highlight w:val="none"/>
                <w:lang w:val="en-US" w:eastAsia="zh-CN" w:bidi="ar-SA"/>
              </w:rPr>
            </w:pPr>
            <w:r>
              <w:rPr>
                <w:rFonts w:hint="eastAsia" w:cs="Times New Roman"/>
                <w:color w:val="auto"/>
                <w:sz w:val="22"/>
                <w:szCs w:val="22"/>
                <w:highlight w:val="none"/>
                <w:lang w:val="en-US" w:eastAsia="zh-CN"/>
              </w:rPr>
              <w:t>0.05</w:t>
            </w:r>
          </w:p>
        </w:tc>
        <w:tc>
          <w:tcPr>
            <w:tcW w:w="1396" w:type="dxa"/>
            <w:shd w:val="clear" w:color="auto" w:fill="auto"/>
            <w:vAlign w:val="center"/>
          </w:tcPr>
          <w:p w14:paraId="0FE92566">
            <w:pPr>
              <w:widowControl/>
              <w:adjustRightInd w:val="0"/>
              <w:snapToGrid w:val="0"/>
              <w:spacing w:line="240" w:lineRule="auto"/>
              <w:jc w:val="center"/>
              <w:rPr>
                <w:rFonts w:hint="eastAsia" w:ascii="Times New Roman" w:hAnsi="Times New Roman" w:eastAsia="宋体" w:cs="Times New Roman"/>
                <w:i w:val="0"/>
                <w:iCs w:val="0"/>
                <w:color w:val="auto"/>
                <w:kern w:val="0"/>
                <w:sz w:val="22"/>
                <w:szCs w:val="22"/>
                <w:u w:val="none"/>
                <w:lang w:val="en-US" w:eastAsia="zh-CN" w:bidi="ar"/>
              </w:rPr>
            </w:pPr>
            <w:r>
              <w:rPr>
                <w:rFonts w:hint="eastAsia" w:cs="Times New Roman"/>
                <w:color w:val="auto"/>
                <w:sz w:val="22"/>
                <w:szCs w:val="22"/>
                <w:highlight w:val="none"/>
                <w:lang w:val="en-US" w:eastAsia="zh-CN"/>
              </w:rPr>
              <w:t>+0.05</w:t>
            </w:r>
          </w:p>
        </w:tc>
      </w:tr>
      <w:tr w14:paraId="014BE4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12" w:type="dxa"/>
            <w:vAlign w:val="center"/>
          </w:tcPr>
          <w:p w14:paraId="7993938B">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lang w:val="en-US" w:eastAsia="zh-CN"/>
              </w:rPr>
              <w:t>生活垃圾</w:t>
            </w:r>
          </w:p>
        </w:tc>
        <w:tc>
          <w:tcPr>
            <w:tcW w:w="2906" w:type="dxa"/>
            <w:shd w:val="clear" w:color="auto" w:fill="auto"/>
            <w:vAlign w:val="center"/>
          </w:tcPr>
          <w:p w14:paraId="6F07D555">
            <w:pPr>
              <w:widowControl/>
              <w:adjustRightInd w:val="0"/>
              <w:snapToGrid w:val="0"/>
              <w:spacing w:line="240" w:lineRule="auto"/>
              <w:jc w:val="center"/>
              <w:rPr>
                <w:rFonts w:hint="default" w:ascii="Times New Roman" w:hAnsi="Times New Roman" w:eastAsia="宋体" w:cs="Times New Roman"/>
                <w:color w:val="auto"/>
                <w:kern w:val="2"/>
                <w:sz w:val="22"/>
                <w:szCs w:val="22"/>
                <w:highlight w:val="none"/>
                <w:lang w:val="en-US" w:eastAsia="zh-CN" w:bidi="ar-SA"/>
              </w:rPr>
            </w:pPr>
            <w:r>
              <w:rPr>
                <w:rFonts w:hint="default" w:ascii="Times New Roman" w:hAnsi="Times New Roman" w:eastAsia="宋体" w:cs="Times New Roman"/>
                <w:color w:val="auto"/>
                <w:sz w:val="22"/>
                <w:szCs w:val="22"/>
                <w:highlight w:val="none"/>
                <w:lang w:val="en-US" w:eastAsia="zh-CN"/>
              </w:rPr>
              <w:t>生活垃圾</w:t>
            </w:r>
          </w:p>
        </w:tc>
        <w:tc>
          <w:tcPr>
            <w:tcW w:w="1407" w:type="dxa"/>
            <w:shd w:val="clear" w:color="auto" w:fill="auto"/>
            <w:vAlign w:val="center"/>
          </w:tcPr>
          <w:p w14:paraId="26EECFA4">
            <w:pPr>
              <w:widowControl/>
              <w:adjustRightInd w:val="0"/>
              <w:snapToGrid w:val="0"/>
              <w:spacing w:line="240" w:lineRule="auto"/>
              <w:jc w:val="center"/>
              <w:rPr>
                <w:rFonts w:hint="default" w:ascii="Times New Roman" w:hAnsi="Times New Roman" w:eastAsia="宋体" w:cs="Times New Roman"/>
                <w:color w:val="auto"/>
                <w:kern w:val="2"/>
                <w:sz w:val="22"/>
                <w:szCs w:val="22"/>
                <w:highlight w:val="none"/>
                <w:lang w:val="en-US" w:eastAsia="zh-CN" w:bidi="ar-SA"/>
              </w:rPr>
            </w:pPr>
            <w:r>
              <w:rPr>
                <w:rFonts w:hint="eastAsia" w:ascii="Times New Roman" w:hAnsi="Times New Roman" w:eastAsia="宋体" w:cs="Times New Roman"/>
                <w:color w:val="auto"/>
                <w:sz w:val="22"/>
                <w:szCs w:val="22"/>
                <w:highlight w:val="none"/>
                <w:lang w:val="en-US" w:eastAsia="zh-CN"/>
              </w:rPr>
              <w:t>/</w:t>
            </w:r>
          </w:p>
        </w:tc>
        <w:tc>
          <w:tcPr>
            <w:tcW w:w="1101" w:type="dxa"/>
            <w:shd w:val="clear" w:color="auto" w:fill="auto"/>
            <w:vAlign w:val="center"/>
          </w:tcPr>
          <w:p w14:paraId="36993381">
            <w:pPr>
              <w:widowControl/>
              <w:adjustRightInd w:val="0"/>
              <w:snapToGrid w:val="0"/>
              <w:spacing w:line="240" w:lineRule="auto"/>
              <w:jc w:val="center"/>
              <w:rPr>
                <w:rFonts w:hint="eastAsia" w:ascii="Times New Roman" w:hAnsi="Times New Roman" w:eastAsia="宋体" w:cs="Times New Roman"/>
                <w:color w:val="auto"/>
                <w:kern w:val="2"/>
                <w:sz w:val="22"/>
                <w:szCs w:val="22"/>
                <w:highlight w:val="none"/>
                <w:lang w:val="en-US" w:eastAsia="zh-CN" w:bidi="ar-SA"/>
              </w:rPr>
            </w:pPr>
            <w:r>
              <w:rPr>
                <w:rFonts w:hint="eastAsia" w:ascii="Times New Roman" w:hAnsi="Times New Roman" w:eastAsia="宋体" w:cs="Times New Roman"/>
                <w:color w:val="auto"/>
                <w:sz w:val="22"/>
                <w:szCs w:val="22"/>
                <w:highlight w:val="none"/>
                <w:lang w:val="en-US" w:eastAsia="zh-CN"/>
              </w:rPr>
              <w:t>/</w:t>
            </w:r>
          </w:p>
        </w:tc>
        <w:tc>
          <w:tcPr>
            <w:tcW w:w="1469" w:type="dxa"/>
            <w:shd w:val="clear" w:color="auto" w:fill="auto"/>
            <w:vAlign w:val="center"/>
          </w:tcPr>
          <w:p w14:paraId="7F647B01">
            <w:pPr>
              <w:widowControl/>
              <w:adjustRightInd w:val="0"/>
              <w:snapToGrid w:val="0"/>
              <w:spacing w:line="240" w:lineRule="auto"/>
              <w:jc w:val="center"/>
              <w:rPr>
                <w:rFonts w:hint="eastAsia" w:ascii="Times New Roman" w:hAnsi="Times New Roman" w:eastAsia="宋体" w:cs="Times New Roman"/>
                <w:color w:val="auto"/>
                <w:kern w:val="2"/>
                <w:sz w:val="22"/>
                <w:szCs w:val="22"/>
                <w:highlight w:val="none"/>
                <w:lang w:val="en-US" w:eastAsia="zh-CN" w:bidi="ar-SA"/>
              </w:rPr>
            </w:pPr>
            <w:r>
              <w:rPr>
                <w:rFonts w:hint="eastAsia" w:ascii="Times New Roman" w:hAnsi="Times New Roman" w:eastAsia="宋体" w:cs="Times New Roman"/>
                <w:color w:val="auto"/>
                <w:sz w:val="22"/>
                <w:szCs w:val="22"/>
                <w:highlight w:val="none"/>
                <w:lang w:val="en-US" w:eastAsia="zh-CN"/>
              </w:rPr>
              <w:t>/</w:t>
            </w:r>
          </w:p>
        </w:tc>
        <w:tc>
          <w:tcPr>
            <w:tcW w:w="1458" w:type="dxa"/>
            <w:shd w:val="clear" w:color="auto" w:fill="auto"/>
            <w:vAlign w:val="center"/>
          </w:tcPr>
          <w:p w14:paraId="1676CB43">
            <w:pPr>
              <w:widowControl/>
              <w:adjustRightInd w:val="0"/>
              <w:snapToGrid w:val="0"/>
              <w:spacing w:line="240" w:lineRule="auto"/>
              <w:jc w:val="center"/>
              <w:rPr>
                <w:rFonts w:hint="default" w:ascii="Times New Roman" w:hAnsi="Times New Roman" w:eastAsia="宋体" w:cs="Times New Roman"/>
                <w:color w:val="auto"/>
                <w:kern w:val="2"/>
                <w:sz w:val="22"/>
                <w:szCs w:val="22"/>
                <w:highlight w:val="none"/>
                <w:lang w:val="en-US" w:eastAsia="zh-CN" w:bidi="ar-SA"/>
              </w:rPr>
            </w:pPr>
            <w:r>
              <w:rPr>
                <w:rFonts w:hint="eastAsia" w:cs="Times New Roman"/>
                <w:color w:val="auto"/>
                <w:kern w:val="2"/>
                <w:sz w:val="22"/>
                <w:szCs w:val="22"/>
                <w:highlight w:val="none"/>
                <w:lang w:val="en-US" w:eastAsia="zh-CN" w:bidi="ar-SA"/>
              </w:rPr>
              <w:t>1.125</w:t>
            </w:r>
          </w:p>
        </w:tc>
        <w:tc>
          <w:tcPr>
            <w:tcW w:w="1264" w:type="dxa"/>
            <w:shd w:val="clear" w:color="auto" w:fill="auto"/>
            <w:vAlign w:val="center"/>
          </w:tcPr>
          <w:p w14:paraId="66DF578A">
            <w:pPr>
              <w:widowControl/>
              <w:adjustRightInd w:val="0"/>
              <w:snapToGrid w:val="0"/>
              <w:spacing w:line="240" w:lineRule="auto"/>
              <w:jc w:val="center"/>
              <w:rPr>
                <w:rFonts w:hint="eastAsia" w:ascii="Times New Roman" w:hAnsi="Times New Roman" w:eastAsia="宋体" w:cs="Times New Roman"/>
                <w:color w:val="auto"/>
                <w:kern w:val="2"/>
                <w:sz w:val="22"/>
                <w:szCs w:val="22"/>
                <w:highlight w:val="none"/>
                <w:lang w:val="en-US" w:eastAsia="zh-CN" w:bidi="ar-SA"/>
              </w:rPr>
            </w:pPr>
            <w:r>
              <w:rPr>
                <w:rFonts w:hint="eastAsia" w:ascii="Times New Roman" w:hAnsi="Times New Roman" w:eastAsia="宋体" w:cs="Times New Roman"/>
                <w:color w:val="auto"/>
                <w:sz w:val="22"/>
                <w:szCs w:val="22"/>
                <w:highlight w:val="none"/>
                <w:lang w:val="en-US" w:eastAsia="zh-CN"/>
              </w:rPr>
              <w:t>/</w:t>
            </w:r>
          </w:p>
        </w:tc>
        <w:tc>
          <w:tcPr>
            <w:tcW w:w="1642" w:type="dxa"/>
            <w:shd w:val="clear" w:color="auto" w:fill="auto"/>
            <w:vAlign w:val="center"/>
          </w:tcPr>
          <w:p w14:paraId="2DA922EE">
            <w:pPr>
              <w:widowControl/>
              <w:adjustRightInd w:val="0"/>
              <w:snapToGrid w:val="0"/>
              <w:spacing w:line="240" w:lineRule="auto"/>
              <w:jc w:val="center"/>
              <w:rPr>
                <w:rFonts w:hint="eastAsia" w:ascii="Times New Roman" w:hAnsi="Times New Roman" w:eastAsia="宋体" w:cs="Times New Roman"/>
                <w:color w:val="auto"/>
                <w:kern w:val="2"/>
                <w:sz w:val="22"/>
                <w:szCs w:val="22"/>
                <w:highlight w:val="none"/>
                <w:lang w:val="en-US" w:eastAsia="zh-CN" w:bidi="ar-SA"/>
              </w:rPr>
            </w:pPr>
            <w:r>
              <w:rPr>
                <w:rFonts w:hint="eastAsia" w:cs="Times New Roman"/>
                <w:color w:val="auto"/>
                <w:kern w:val="2"/>
                <w:sz w:val="22"/>
                <w:szCs w:val="22"/>
                <w:highlight w:val="none"/>
                <w:lang w:val="en-US" w:eastAsia="zh-CN" w:bidi="ar-SA"/>
              </w:rPr>
              <w:t>1.125</w:t>
            </w:r>
          </w:p>
        </w:tc>
        <w:tc>
          <w:tcPr>
            <w:tcW w:w="1396" w:type="dxa"/>
            <w:shd w:val="clear" w:color="auto" w:fill="auto"/>
            <w:vAlign w:val="center"/>
          </w:tcPr>
          <w:p w14:paraId="346DA9FF">
            <w:pPr>
              <w:keepNext w:val="0"/>
              <w:keepLines w:val="0"/>
              <w:widowControl/>
              <w:suppressLineNumbers w:val="0"/>
              <w:jc w:val="center"/>
              <w:textAlignment w:val="center"/>
              <w:rPr>
                <w:rFonts w:hint="default" w:ascii="Times New Roman" w:hAnsi="Times New Roman" w:eastAsia="宋体" w:cs="Times New Roman"/>
                <w:color w:val="auto"/>
                <w:kern w:val="2"/>
                <w:sz w:val="22"/>
                <w:szCs w:val="22"/>
                <w:highlight w:val="none"/>
                <w:lang w:val="en-US" w:eastAsia="zh-CN" w:bidi="ar-SA"/>
              </w:rPr>
            </w:pPr>
            <w:r>
              <w:rPr>
                <w:rFonts w:hint="eastAsia" w:cs="Times New Roman"/>
                <w:color w:val="auto"/>
                <w:kern w:val="2"/>
                <w:sz w:val="22"/>
                <w:szCs w:val="22"/>
                <w:highlight w:val="none"/>
                <w:lang w:val="en-US" w:eastAsia="zh-CN" w:bidi="ar-SA"/>
              </w:rPr>
              <w:t>+1.125</w:t>
            </w:r>
          </w:p>
        </w:tc>
      </w:tr>
      <w:tr w14:paraId="7A3296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12" w:type="dxa"/>
            <w:vMerge w:val="restart"/>
            <w:vAlign w:val="center"/>
          </w:tcPr>
          <w:p w14:paraId="4713A51E">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r>
              <w:rPr>
                <w:rFonts w:hint="default" w:ascii="Times New Roman" w:hAnsi="Times New Roman" w:eastAsia="宋体" w:cs="Times New Roman"/>
                <w:color w:val="auto"/>
                <w:sz w:val="22"/>
                <w:szCs w:val="22"/>
                <w:highlight w:val="none"/>
              </w:rPr>
              <w:t>危险废物</w:t>
            </w:r>
          </w:p>
        </w:tc>
        <w:tc>
          <w:tcPr>
            <w:tcW w:w="2906" w:type="dxa"/>
            <w:shd w:val="clear" w:color="auto" w:fill="auto"/>
            <w:vAlign w:val="center"/>
          </w:tcPr>
          <w:p w14:paraId="57B25414">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废试剂瓶</w:t>
            </w:r>
          </w:p>
        </w:tc>
        <w:tc>
          <w:tcPr>
            <w:tcW w:w="1407" w:type="dxa"/>
            <w:shd w:val="clear" w:color="auto" w:fill="auto"/>
            <w:vAlign w:val="center"/>
          </w:tcPr>
          <w:p w14:paraId="6F50577C">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2"/>
                <w:szCs w:val="22"/>
                <w:highlight w:val="none"/>
                <w:lang w:val="en-US" w:eastAsia="zh-CN"/>
              </w:rPr>
              <w:t>/</w:t>
            </w:r>
          </w:p>
        </w:tc>
        <w:tc>
          <w:tcPr>
            <w:tcW w:w="1101" w:type="dxa"/>
            <w:shd w:val="clear" w:color="auto" w:fill="auto"/>
            <w:vAlign w:val="center"/>
          </w:tcPr>
          <w:p w14:paraId="7839102D">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2"/>
                <w:szCs w:val="22"/>
                <w:highlight w:val="none"/>
                <w:lang w:val="en-US" w:eastAsia="zh-CN"/>
              </w:rPr>
              <w:t>/</w:t>
            </w:r>
          </w:p>
        </w:tc>
        <w:tc>
          <w:tcPr>
            <w:tcW w:w="1469" w:type="dxa"/>
            <w:shd w:val="clear" w:color="auto" w:fill="auto"/>
            <w:vAlign w:val="center"/>
          </w:tcPr>
          <w:p w14:paraId="402E9059">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2"/>
                <w:szCs w:val="22"/>
                <w:highlight w:val="none"/>
                <w:lang w:val="en-US" w:eastAsia="zh-CN"/>
              </w:rPr>
              <w:t>/</w:t>
            </w:r>
          </w:p>
        </w:tc>
        <w:tc>
          <w:tcPr>
            <w:tcW w:w="1458" w:type="dxa"/>
            <w:shd w:val="clear" w:color="auto" w:fill="auto"/>
            <w:vAlign w:val="center"/>
          </w:tcPr>
          <w:p w14:paraId="556485DD">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0.1</w:t>
            </w:r>
          </w:p>
        </w:tc>
        <w:tc>
          <w:tcPr>
            <w:tcW w:w="1264" w:type="dxa"/>
            <w:shd w:val="clear" w:color="auto" w:fill="auto"/>
            <w:vAlign w:val="center"/>
          </w:tcPr>
          <w:p w14:paraId="0C705FD5">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2"/>
                <w:szCs w:val="22"/>
                <w:highlight w:val="none"/>
                <w:lang w:val="en-US" w:eastAsia="zh-CN"/>
              </w:rPr>
              <w:t>/</w:t>
            </w:r>
          </w:p>
        </w:tc>
        <w:tc>
          <w:tcPr>
            <w:tcW w:w="1642" w:type="dxa"/>
            <w:shd w:val="clear" w:color="auto" w:fill="auto"/>
            <w:vAlign w:val="center"/>
          </w:tcPr>
          <w:p w14:paraId="4E191B1C">
            <w:pPr>
              <w:spacing w:line="240" w:lineRule="auto"/>
              <w:jc w:val="center"/>
              <w:rPr>
                <w:rFonts w:hint="default" w:ascii="Times New Roman" w:hAnsi="Times New Roman" w:eastAsia="宋体" w:cs="Times New Roman"/>
                <w:color w:val="auto"/>
                <w:kern w:val="2"/>
                <w:sz w:val="22"/>
                <w:szCs w:val="22"/>
                <w:highlight w:val="none"/>
                <w:lang w:val="en-US" w:eastAsia="zh-CN" w:bidi="ar-SA"/>
              </w:rPr>
            </w:pPr>
            <w:r>
              <w:rPr>
                <w:rFonts w:hint="eastAsia" w:cs="Times New Roman"/>
                <w:color w:val="auto"/>
                <w:sz w:val="21"/>
                <w:szCs w:val="21"/>
                <w:highlight w:val="none"/>
                <w:lang w:val="en-US" w:eastAsia="zh-CN"/>
              </w:rPr>
              <w:t>0.1</w:t>
            </w:r>
          </w:p>
        </w:tc>
        <w:tc>
          <w:tcPr>
            <w:tcW w:w="1396" w:type="dxa"/>
            <w:shd w:val="clear" w:color="auto" w:fill="auto"/>
            <w:vAlign w:val="center"/>
          </w:tcPr>
          <w:p w14:paraId="3431EBDF">
            <w:pPr>
              <w:spacing w:line="240" w:lineRule="auto"/>
              <w:jc w:val="center"/>
              <w:rPr>
                <w:rFonts w:hint="default" w:ascii="Times New Roman" w:hAnsi="Times New Roman" w:eastAsia="宋体" w:cs="Times New Roman"/>
                <w:color w:val="auto"/>
                <w:kern w:val="2"/>
                <w:sz w:val="22"/>
                <w:szCs w:val="22"/>
                <w:highlight w:val="none"/>
                <w:lang w:val="en-US" w:eastAsia="zh-CN" w:bidi="ar-SA"/>
              </w:rPr>
            </w:pPr>
            <w:r>
              <w:rPr>
                <w:rFonts w:hint="eastAsia" w:cs="Times New Roman"/>
                <w:color w:val="auto"/>
                <w:sz w:val="21"/>
                <w:szCs w:val="21"/>
                <w:highlight w:val="none"/>
                <w:lang w:val="en-US" w:eastAsia="zh-CN"/>
              </w:rPr>
              <w:t>+0.1</w:t>
            </w:r>
          </w:p>
        </w:tc>
      </w:tr>
      <w:tr w14:paraId="657494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12" w:type="dxa"/>
            <w:vMerge w:val="continue"/>
            <w:vAlign w:val="center"/>
          </w:tcPr>
          <w:p w14:paraId="7D7C205C">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2906" w:type="dxa"/>
            <w:shd w:val="clear" w:color="auto" w:fill="auto"/>
            <w:vAlign w:val="center"/>
          </w:tcPr>
          <w:p w14:paraId="1DF264E8">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废一次性实验耗材</w:t>
            </w:r>
          </w:p>
        </w:tc>
        <w:tc>
          <w:tcPr>
            <w:tcW w:w="1407" w:type="dxa"/>
            <w:shd w:val="clear" w:color="auto" w:fill="auto"/>
            <w:vAlign w:val="center"/>
          </w:tcPr>
          <w:p w14:paraId="7715D8F1">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2"/>
                <w:szCs w:val="22"/>
                <w:highlight w:val="none"/>
                <w:lang w:val="en-US" w:eastAsia="zh-CN"/>
              </w:rPr>
              <w:t>/</w:t>
            </w:r>
          </w:p>
        </w:tc>
        <w:tc>
          <w:tcPr>
            <w:tcW w:w="1101" w:type="dxa"/>
            <w:shd w:val="clear" w:color="auto" w:fill="auto"/>
            <w:vAlign w:val="center"/>
          </w:tcPr>
          <w:p w14:paraId="1C308C64">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2"/>
                <w:szCs w:val="22"/>
                <w:highlight w:val="none"/>
                <w:lang w:val="en-US" w:eastAsia="zh-CN"/>
              </w:rPr>
              <w:t>/</w:t>
            </w:r>
          </w:p>
        </w:tc>
        <w:tc>
          <w:tcPr>
            <w:tcW w:w="1469" w:type="dxa"/>
            <w:shd w:val="clear" w:color="auto" w:fill="auto"/>
            <w:vAlign w:val="center"/>
          </w:tcPr>
          <w:p w14:paraId="0D868F1B">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2"/>
                <w:szCs w:val="22"/>
                <w:highlight w:val="none"/>
                <w:lang w:val="en-US" w:eastAsia="zh-CN"/>
              </w:rPr>
              <w:t>/</w:t>
            </w:r>
          </w:p>
        </w:tc>
        <w:tc>
          <w:tcPr>
            <w:tcW w:w="1458" w:type="dxa"/>
            <w:shd w:val="clear" w:color="auto" w:fill="auto"/>
            <w:vAlign w:val="center"/>
          </w:tcPr>
          <w:p w14:paraId="7E2CA9D0">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0.05</w:t>
            </w:r>
          </w:p>
        </w:tc>
        <w:tc>
          <w:tcPr>
            <w:tcW w:w="1264" w:type="dxa"/>
            <w:shd w:val="clear" w:color="auto" w:fill="auto"/>
            <w:vAlign w:val="center"/>
          </w:tcPr>
          <w:p w14:paraId="127B9ACF">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2"/>
                <w:szCs w:val="22"/>
                <w:highlight w:val="none"/>
                <w:lang w:val="en-US" w:eastAsia="zh-CN"/>
              </w:rPr>
              <w:t>/</w:t>
            </w:r>
          </w:p>
        </w:tc>
        <w:tc>
          <w:tcPr>
            <w:tcW w:w="1642" w:type="dxa"/>
            <w:shd w:val="clear" w:color="auto" w:fill="auto"/>
            <w:vAlign w:val="center"/>
          </w:tcPr>
          <w:p w14:paraId="2AEEAF9F">
            <w:pPr>
              <w:spacing w:line="240" w:lineRule="auto"/>
              <w:jc w:val="center"/>
              <w:rPr>
                <w:rFonts w:hint="default" w:ascii="Times New Roman" w:hAnsi="Times New Roman" w:eastAsia="宋体" w:cs="Times New Roman"/>
                <w:color w:val="auto"/>
                <w:kern w:val="2"/>
                <w:sz w:val="22"/>
                <w:szCs w:val="22"/>
                <w:highlight w:val="none"/>
                <w:lang w:val="en-US" w:eastAsia="zh-CN" w:bidi="ar-SA"/>
              </w:rPr>
            </w:pPr>
            <w:r>
              <w:rPr>
                <w:rFonts w:hint="eastAsia" w:cs="Times New Roman"/>
                <w:color w:val="auto"/>
                <w:sz w:val="21"/>
                <w:szCs w:val="21"/>
                <w:highlight w:val="none"/>
                <w:lang w:val="en-US" w:eastAsia="zh-CN"/>
              </w:rPr>
              <w:t>0.05</w:t>
            </w:r>
          </w:p>
        </w:tc>
        <w:tc>
          <w:tcPr>
            <w:tcW w:w="1396" w:type="dxa"/>
            <w:shd w:val="clear" w:color="auto" w:fill="auto"/>
            <w:vAlign w:val="center"/>
          </w:tcPr>
          <w:p w14:paraId="21D437FC">
            <w:pPr>
              <w:spacing w:line="240" w:lineRule="auto"/>
              <w:jc w:val="center"/>
              <w:rPr>
                <w:rFonts w:hint="default" w:ascii="Times New Roman" w:hAnsi="Times New Roman" w:eastAsia="宋体" w:cs="Times New Roman"/>
                <w:color w:val="auto"/>
                <w:kern w:val="2"/>
                <w:sz w:val="22"/>
                <w:szCs w:val="22"/>
                <w:highlight w:val="none"/>
                <w:lang w:val="en-US" w:eastAsia="zh-CN" w:bidi="ar-SA"/>
              </w:rPr>
            </w:pPr>
            <w:r>
              <w:rPr>
                <w:rFonts w:hint="eastAsia" w:cs="Times New Roman"/>
                <w:color w:val="auto"/>
                <w:sz w:val="21"/>
                <w:szCs w:val="21"/>
                <w:highlight w:val="none"/>
                <w:lang w:val="en-US" w:eastAsia="zh-CN"/>
              </w:rPr>
              <w:t>+0.05</w:t>
            </w:r>
          </w:p>
        </w:tc>
      </w:tr>
      <w:tr w14:paraId="3E7493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12" w:type="dxa"/>
            <w:vMerge w:val="continue"/>
            <w:vAlign w:val="center"/>
          </w:tcPr>
          <w:p w14:paraId="4471665D">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2906" w:type="dxa"/>
            <w:shd w:val="clear" w:color="auto" w:fill="auto"/>
            <w:vAlign w:val="center"/>
          </w:tcPr>
          <w:p w14:paraId="4D70C74A">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清洗废液</w:t>
            </w:r>
          </w:p>
        </w:tc>
        <w:tc>
          <w:tcPr>
            <w:tcW w:w="1407" w:type="dxa"/>
            <w:shd w:val="clear" w:color="auto" w:fill="auto"/>
            <w:vAlign w:val="center"/>
          </w:tcPr>
          <w:p w14:paraId="7A9A42FD">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2"/>
                <w:szCs w:val="22"/>
                <w:highlight w:val="none"/>
                <w:lang w:val="en-US" w:eastAsia="zh-CN"/>
              </w:rPr>
              <w:t>/</w:t>
            </w:r>
          </w:p>
        </w:tc>
        <w:tc>
          <w:tcPr>
            <w:tcW w:w="1101" w:type="dxa"/>
            <w:shd w:val="clear" w:color="auto" w:fill="auto"/>
            <w:vAlign w:val="center"/>
          </w:tcPr>
          <w:p w14:paraId="0B08CD56">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2"/>
                <w:szCs w:val="22"/>
                <w:highlight w:val="none"/>
                <w:lang w:val="en-US" w:eastAsia="zh-CN"/>
              </w:rPr>
              <w:t>/</w:t>
            </w:r>
          </w:p>
        </w:tc>
        <w:tc>
          <w:tcPr>
            <w:tcW w:w="1469" w:type="dxa"/>
            <w:shd w:val="clear" w:color="auto" w:fill="auto"/>
            <w:vAlign w:val="center"/>
          </w:tcPr>
          <w:p w14:paraId="6BBA2598">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2"/>
                <w:szCs w:val="22"/>
                <w:highlight w:val="none"/>
                <w:lang w:val="en-US" w:eastAsia="zh-CN"/>
              </w:rPr>
              <w:t>/</w:t>
            </w:r>
          </w:p>
        </w:tc>
        <w:tc>
          <w:tcPr>
            <w:tcW w:w="1458" w:type="dxa"/>
            <w:shd w:val="clear" w:color="auto" w:fill="auto"/>
            <w:vAlign w:val="center"/>
          </w:tcPr>
          <w:p w14:paraId="5F4131C0">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0.54</w:t>
            </w:r>
          </w:p>
        </w:tc>
        <w:tc>
          <w:tcPr>
            <w:tcW w:w="1264" w:type="dxa"/>
            <w:shd w:val="clear" w:color="auto" w:fill="auto"/>
            <w:vAlign w:val="center"/>
          </w:tcPr>
          <w:p w14:paraId="631E8490">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2"/>
                <w:szCs w:val="22"/>
                <w:highlight w:val="none"/>
                <w:lang w:val="en-US" w:eastAsia="zh-CN"/>
              </w:rPr>
              <w:t>/</w:t>
            </w:r>
          </w:p>
        </w:tc>
        <w:tc>
          <w:tcPr>
            <w:tcW w:w="1642" w:type="dxa"/>
            <w:shd w:val="clear" w:color="auto" w:fill="auto"/>
            <w:vAlign w:val="center"/>
          </w:tcPr>
          <w:p w14:paraId="24D08525">
            <w:pPr>
              <w:spacing w:line="240" w:lineRule="auto"/>
              <w:jc w:val="center"/>
              <w:rPr>
                <w:rFonts w:hint="default" w:ascii="Times New Roman" w:hAnsi="Times New Roman" w:eastAsia="宋体" w:cs="Times New Roman"/>
                <w:color w:val="auto"/>
                <w:kern w:val="2"/>
                <w:sz w:val="22"/>
                <w:szCs w:val="22"/>
                <w:highlight w:val="none"/>
                <w:lang w:val="en-US" w:eastAsia="zh-CN" w:bidi="ar-SA"/>
              </w:rPr>
            </w:pPr>
            <w:r>
              <w:rPr>
                <w:rFonts w:hint="eastAsia" w:cs="Times New Roman"/>
                <w:color w:val="auto"/>
                <w:sz w:val="21"/>
                <w:szCs w:val="21"/>
                <w:highlight w:val="none"/>
                <w:lang w:val="en-US" w:eastAsia="zh-CN"/>
              </w:rPr>
              <w:t>0.54</w:t>
            </w:r>
          </w:p>
        </w:tc>
        <w:tc>
          <w:tcPr>
            <w:tcW w:w="1396" w:type="dxa"/>
            <w:shd w:val="clear" w:color="auto" w:fill="auto"/>
            <w:vAlign w:val="center"/>
          </w:tcPr>
          <w:p w14:paraId="6E90A771">
            <w:pPr>
              <w:spacing w:line="240" w:lineRule="auto"/>
              <w:jc w:val="center"/>
              <w:rPr>
                <w:rFonts w:hint="default" w:ascii="Times New Roman" w:hAnsi="Times New Roman" w:eastAsia="宋体" w:cs="Times New Roman"/>
                <w:color w:val="auto"/>
                <w:kern w:val="2"/>
                <w:sz w:val="22"/>
                <w:szCs w:val="22"/>
                <w:highlight w:val="none"/>
                <w:lang w:val="en-US" w:eastAsia="zh-CN" w:bidi="ar-SA"/>
              </w:rPr>
            </w:pPr>
            <w:r>
              <w:rPr>
                <w:rFonts w:hint="eastAsia" w:cs="Times New Roman"/>
                <w:color w:val="auto"/>
                <w:sz w:val="21"/>
                <w:szCs w:val="21"/>
                <w:highlight w:val="none"/>
                <w:lang w:val="en-US" w:eastAsia="zh-CN"/>
              </w:rPr>
              <w:t>+0.54</w:t>
            </w:r>
          </w:p>
        </w:tc>
      </w:tr>
      <w:tr w14:paraId="4DD23F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12" w:type="dxa"/>
            <w:vMerge w:val="continue"/>
            <w:vAlign w:val="center"/>
          </w:tcPr>
          <w:p w14:paraId="1948ED0E">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2906" w:type="dxa"/>
            <w:shd w:val="clear" w:color="auto" w:fill="auto"/>
            <w:vAlign w:val="center"/>
          </w:tcPr>
          <w:p w14:paraId="1DBB02DC">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4"/>
                <w:highlight w:val="none"/>
                <w:lang w:val="en-US" w:eastAsia="zh-CN"/>
              </w:rPr>
              <w:t>废N-甲基吡咯烷酮</w:t>
            </w:r>
          </w:p>
        </w:tc>
        <w:tc>
          <w:tcPr>
            <w:tcW w:w="1407" w:type="dxa"/>
            <w:shd w:val="clear" w:color="auto" w:fill="auto"/>
            <w:vAlign w:val="center"/>
          </w:tcPr>
          <w:p w14:paraId="2A69846B">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2"/>
                <w:szCs w:val="22"/>
                <w:highlight w:val="none"/>
                <w:lang w:val="en-US" w:eastAsia="zh-CN"/>
              </w:rPr>
              <w:t>/</w:t>
            </w:r>
          </w:p>
        </w:tc>
        <w:tc>
          <w:tcPr>
            <w:tcW w:w="1101" w:type="dxa"/>
            <w:shd w:val="clear" w:color="auto" w:fill="auto"/>
            <w:vAlign w:val="center"/>
          </w:tcPr>
          <w:p w14:paraId="2D09D630">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2"/>
                <w:szCs w:val="22"/>
                <w:highlight w:val="none"/>
                <w:lang w:val="en-US" w:eastAsia="zh-CN"/>
              </w:rPr>
              <w:t>/</w:t>
            </w:r>
          </w:p>
        </w:tc>
        <w:tc>
          <w:tcPr>
            <w:tcW w:w="1469" w:type="dxa"/>
            <w:shd w:val="clear" w:color="auto" w:fill="auto"/>
            <w:vAlign w:val="center"/>
          </w:tcPr>
          <w:p w14:paraId="6D6AB6B1">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2"/>
                <w:szCs w:val="22"/>
                <w:highlight w:val="none"/>
                <w:lang w:val="en-US" w:eastAsia="zh-CN"/>
              </w:rPr>
              <w:t>/</w:t>
            </w:r>
          </w:p>
        </w:tc>
        <w:tc>
          <w:tcPr>
            <w:tcW w:w="1458" w:type="dxa"/>
            <w:shd w:val="clear" w:color="auto" w:fill="auto"/>
            <w:vAlign w:val="center"/>
          </w:tcPr>
          <w:p w14:paraId="31EF9A8A">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0.05</w:t>
            </w:r>
          </w:p>
        </w:tc>
        <w:tc>
          <w:tcPr>
            <w:tcW w:w="1264" w:type="dxa"/>
            <w:shd w:val="clear" w:color="auto" w:fill="auto"/>
            <w:vAlign w:val="center"/>
          </w:tcPr>
          <w:p w14:paraId="50086BE2">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2"/>
                <w:szCs w:val="22"/>
                <w:highlight w:val="none"/>
                <w:lang w:val="en-US" w:eastAsia="zh-CN"/>
              </w:rPr>
              <w:t>/</w:t>
            </w:r>
          </w:p>
        </w:tc>
        <w:tc>
          <w:tcPr>
            <w:tcW w:w="1642" w:type="dxa"/>
            <w:shd w:val="clear" w:color="auto" w:fill="auto"/>
            <w:vAlign w:val="center"/>
          </w:tcPr>
          <w:p w14:paraId="6E1FAF71">
            <w:pPr>
              <w:spacing w:line="240" w:lineRule="auto"/>
              <w:jc w:val="center"/>
              <w:rPr>
                <w:rFonts w:hint="default" w:ascii="Times New Roman" w:hAnsi="Times New Roman" w:eastAsia="宋体" w:cs="Times New Roman"/>
                <w:color w:val="auto"/>
                <w:kern w:val="2"/>
                <w:sz w:val="22"/>
                <w:szCs w:val="22"/>
                <w:highlight w:val="none"/>
                <w:lang w:val="en-US" w:eastAsia="zh-CN" w:bidi="ar-SA"/>
              </w:rPr>
            </w:pPr>
            <w:r>
              <w:rPr>
                <w:rFonts w:hint="eastAsia" w:cs="Times New Roman"/>
                <w:color w:val="auto"/>
                <w:sz w:val="21"/>
                <w:szCs w:val="21"/>
                <w:highlight w:val="none"/>
                <w:lang w:val="en-US" w:eastAsia="zh-CN"/>
              </w:rPr>
              <w:t>0.05</w:t>
            </w:r>
          </w:p>
        </w:tc>
        <w:tc>
          <w:tcPr>
            <w:tcW w:w="1396" w:type="dxa"/>
            <w:shd w:val="clear" w:color="auto" w:fill="auto"/>
            <w:vAlign w:val="center"/>
          </w:tcPr>
          <w:p w14:paraId="509A62EF">
            <w:pPr>
              <w:spacing w:line="240" w:lineRule="auto"/>
              <w:jc w:val="center"/>
              <w:rPr>
                <w:rFonts w:hint="default" w:ascii="Times New Roman" w:hAnsi="Times New Roman" w:eastAsia="宋体" w:cs="Times New Roman"/>
                <w:color w:val="auto"/>
                <w:kern w:val="2"/>
                <w:sz w:val="22"/>
                <w:szCs w:val="22"/>
                <w:highlight w:val="none"/>
                <w:lang w:val="en-US" w:eastAsia="zh-CN" w:bidi="ar-SA"/>
              </w:rPr>
            </w:pPr>
            <w:r>
              <w:rPr>
                <w:rFonts w:hint="eastAsia" w:cs="Times New Roman"/>
                <w:color w:val="auto"/>
                <w:sz w:val="21"/>
                <w:szCs w:val="21"/>
                <w:highlight w:val="none"/>
                <w:lang w:val="en-US" w:eastAsia="zh-CN"/>
              </w:rPr>
              <w:t>+0.05</w:t>
            </w:r>
          </w:p>
        </w:tc>
      </w:tr>
      <w:tr w14:paraId="71F47C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12" w:type="dxa"/>
            <w:vMerge w:val="continue"/>
            <w:vAlign w:val="center"/>
          </w:tcPr>
          <w:p w14:paraId="15D7C87C">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2906" w:type="dxa"/>
            <w:shd w:val="clear" w:color="auto" w:fill="auto"/>
            <w:vAlign w:val="center"/>
          </w:tcPr>
          <w:p w14:paraId="12330402">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废活性炭</w:t>
            </w:r>
          </w:p>
        </w:tc>
        <w:tc>
          <w:tcPr>
            <w:tcW w:w="1407" w:type="dxa"/>
            <w:shd w:val="clear" w:color="auto" w:fill="auto"/>
            <w:vAlign w:val="center"/>
          </w:tcPr>
          <w:p w14:paraId="4A2D74BA">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2"/>
                <w:szCs w:val="22"/>
                <w:highlight w:val="none"/>
                <w:lang w:val="en-US" w:eastAsia="zh-CN"/>
              </w:rPr>
              <w:t>/</w:t>
            </w:r>
          </w:p>
        </w:tc>
        <w:tc>
          <w:tcPr>
            <w:tcW w:w="1101" w:type="dxa"/>
            <w:shd w:val="clear" w:color="auto" w:fill="auto"/>
            <w:vAlign w:val="center"/>
          </w:tcPr>
          <w:p w14:paraId="4CE3DFA8">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2"/>
                <w:szCs w:val="22"/>
                <w:highlight w:val="none"/>
                <w:lang w:val="en-US" w:eastAsia="zh-CN"/>
              </w:rPr>
              <w:t>/</w:t>
            </w:r>
          </w:p>
        </w:tc>
        <w:tc>
          <w:tcPr>
            <w:tcW w:w="1469" w:type="dxa"/>
            <w:shd w:val="clear" w:color="auto" w:fill="auto"/>
            <w:vAlign w:val="center"/>
          </w:tcPr>
          <w:p w14:paraId="5D0812EF">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2"/>
                <w:szCs w:val="22"/>
                <w:highlight w:val="none"/>
                <w:lang w:val="en-US" w:eastAsia="zh-CN"/>
              </w:rPr>
              <w:t>/</w:t>
            </w:r>
          </w:p>
        </w:tc>
        <w:tc>
          <w:tcPr>
            <w:tcW w:w="1458" w:type="dxa"/>
            <w:shd w:val="clear" w:color="auto" w:fill="auto"/>
            <w:vAlign w:val="center"/>
          </w:tcPr>
          <w:p w14:paraId="19CB520A">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0.1</w:t>
            </w:r>
          </w:p>
        </w:tc>
        <w:tc>
          <w:tcPr>
            <w:tcW w:w="1264" w:type="dxa"/>
            <w:shd w:val="clear" w:color="auto" w:fill="auto"/>
            <w:vAlign w:val="center"/>
          </w:tcPr>
          <w:p w14:paraId="2816FCBC">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2"/>
                <w:szCs w:val="22"/>
                <w:highlight w:val="none"/>
                <w:lang w:val="en-US" w:eastAsia="zh-CN"/>
              </w:rPr>
              <w:t>/</w:t>
            </w:r>
          </w:p>
        </w:tc>
        <w:tc>
          <w:tcPr>
            <w:tcW w:w="1642" w:type="dxa"/>
            <w:shd w:val="clear" w:color="auto" w:fill="auto"/>
            <w:vAlign w:val="center"/>
          </w:tcPr>
          <w:p w14:paraId="14EA8D7E">
            <w:pPr>
              <w:spacing w:line="240" w:lineRule="auto"/>
              <w:jc w:val="center"/>
              <w:rPr>
                <w:rFonts w:hint="default" w:ascii="Times New Roman" w:hAnsi="Times New Roman" w:eastAsia="宋体" w:cs="Times New Roman"/>
                <w:color w:val="auto"/>
                <w:kern w:val="2"/>
                <w:sz w:val="22"/>
                <w:szCs w:val="22"/>
                <w:highlight w:val="none"/>
                <w:lang w:val="en-US" w:eastAsia="zh-CN" w:bidi="ar-SA"/>
              </w:rPr>
            </w:pPr>
            <w:r>
              <w:rPr>
                <w:rFonts w:hint="eastAsia" w:cs="Times New Roman"/>
                <w:color w:val="auto"/>
                <w:sz w:val="21"/>
                <w:szCs w:val="21"/>
                <w:highlight w:val="none"/>
                <w:lang w:val="en-US" w:eastAsia="zh-CN"/>
              </w:rPr>
              <w:t>0.1</w:t>
            </w:r>
          </w:p>
        </w:tc>
        <w:tc>
          <w:tcPr>
            <w:tcW w:w="1396" w:type="dxa"/>
            <w:shd w:val="clear" w:color="auto" w:fill="auto"/>
            <w:vAlign w:val="center"/>
          </w:tcPr>
          <w:p w14:paraId="0542E269">
            <w:pPr>
              <w:spacing w:line="240" w:lineRule="auto"/>
              <w:jc w:val="center"/>
              <w:rPr>
                <w:rFonts w:hint="default" w:ascii="Times New Roman" w:hAnsi="Times New Roman" w:eastAsia="宋体" w:cs="Times New Roman"/>
                <w:color w:val="auto"/>
                <w:kern w:val="2"/>
                <w:sz w:val="22"/>
                <w:szCs w:val="22"/>
                <w:highlight w:val="none"/>
                <w:lang w:val="en-US" w:eastAsia="zh-CN" w:bidi="ar-SA"/>
              </w:rPr>
            </w:pPr>
            <w:r>
              <w:rPr>
                <w:rFonts w:hint="eastAsia" w:cs="Times New Roman"/>
                <w:color w:val="auto"/>
                <w:sz w:val="21"/>
                <w:szCs w:val="21"/>
                <w:highlight w:val="none"/>
                <w:lang w:val="en-US" w:eastAsia="zh-CN"/>
              </w:rPr>
              <w:t>+0.1</w:t>
            </w:r>
          </w:p>
        </w:tc>
      </w:tr>
      <w:tr w14:paraId="3BE530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1312" w:type="dxa"/>
            <w:vMerge w:val="continue"/>
            <w:vAlign w:val="center"/>
          </w:tcPr>
          <w:p w14:paraId="4B4B01B6">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2906" w:type="dxa"/>
            <w:shd w:val="clear" w:color="auto" w:fill="auto"/>
            <w:vAlign w:val="center"/>
          </w:tcPr>
          <w:p w14:paraId="178D898C">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废吸附剂</w:t>
            </w:r>
          </w:p>
        </w:tc>
        <w:tc>
          <w:tcPr>
            <w:tcW w:w="1407" w:type="dxa"/>
            <w:shd w:val="clear" w:color="auto" w:fill="auto"/>
            <w:vAlign w:val="center"/>
          </w:tcPr>
          <w:p w14:paraId="2BE27EF3">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2"/>
                <w:szCs w:val="22"/>
                <w:highlight w:val="none"/>
                <w:lang w:val="en-US" w:eastAsia="zh-CN"/>
              </w:rPr>
              <w:t>/</w:t>
            </w:r>
          </w:p>
        </w:tc>
        <w:tc>
          <w:tcPr>
            <w:tcW w:w="1101" w:type="dxa"/>
            <w:shd w:val="clear" w:color="auto" w:fill="auto"/>
            <w:vAlign w:val="center"/>
          </w:tcPr>
          <w:p w14:paraId="2B2D07DF">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2"/>
                <w:szCs w:val="22"/>
                <w:highlight w:val="none"/>
                <w:lang w:val="en-US" w:eastAsia="zh-CN"/>
              </w:rPr>
              <w:t>/</w:t>
            </w:r>
          </w:p>
        </w:tc>
        <w:tc>
          <w:tcPr>
            <w:tcW w:w="1469" w:type="dxa"/>
            <w:shd w:val="clear" w:color="auto" w:fill="auto"/>
            <w:vAlign w:val="center"/>
          </w:tcPr>
          <w:p w14:paraId="7993B672">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2"/>
                <w:szCs w:val="22"/>
                <w:highlight w:val="none"/>
                <w:lang w:val="en-US" w:eastAsia="zh-CN"/>
              </w:rPr>
              <w:t>/</w:t>
            </w:r>
          </w:p>
        </w:tc>
        <w:tc>
          <w:tcPr>
            <w:tcW w:w="1458" w:type="dxa"/>
            <w:shd w:val="clear" w:color="auto" w:fill="auto"/>
            <w:vAlign w:val="center"/>
          </w:tcPr>
          <w:p w14:paraId="32CB3BB6">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0.1</w:t>
            </w:r>
          </w:p>
        </w:tc>
        <w:tc>
          <w:tcPr>
            <w:tcW w:w="1264" w:type="dxa"/>
            <w:shd w:val="clear" w:color="auto" w:fill="auto"/>
            <w:vAlign w:val="center"/>
          </w:tcPr>
          <w:p w14:paraId="39BE782E">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2"/>
                <w:szCs w:val="22"/>
                <w:highlight w:val="none"/>
                <w:lang w:val="en-US" w:eastAsia="zh-CN"/>
              </w:rPr>
              <w:t>/</w:t>
            </w:r>
          </w:p>
        </w:tc>
        <w:tc>
          <w:tcPr>
            <w:tcW w:w="1642" w:type="dxa"/>
            <w:shd w:val="clear" w:color="auto" w:fill="auto"/>
            <w:vAlign w:val="center"/>
          </w:tcPr>
          <w:p w14:paraId="5B1545FD">
            <w:pPr>
              <w:spacing w:line="240" w:lineRule="auto"/>
              <w:jc w:val="center"/>
              <w:rPr>
                <w:rFonts w:hint="default" w:ascii="Times New Roman" w:hAnsi="Times New Roman" w:eastAsia="宋体" w:cs="Times New Roman"/>
                <w:color w:val="auto"/>
                <w:kern w:val="2"/>
                <w:sz w:val="22"/>
                <w:szCs w:val="22"/>
                <w:highlight w:val="none"/>
                <w:lang w:val="en-US" w:eastAsia="zh-CN" w:bidi="ar-SA"/>
              </w:rPr>
            </w:pPr>
            <w:r>
              <w:rPr>
                <w:rFonts w:hint="eastAsia" w:cs="Times New Roman"/>
                <w:color w:val="auto"/>
                <w:sz w:val="21"/>
                <w:szCs w:val="21"/>
                <w:highlight w:val="none"/>
                <w:lang w:val="en-US" w:eastAsia="zh-CN"/>
              </w:rPr>
              <w:t>0.1</w:t>
            </w:r>
          </w:p>
        </w:tc>
        <w:tc>
          <w:tcPr>
            <w:tcW w:w="1396" w:type="dxa"/>
            <w:shd w:val="clear" w:color="auto" w:fill="auto"/>
            <w:vAlign w:val="center"/>
          </w:tcPr>
          <w:p w14:paraId="5A2AED79">
            <w:pPr>
              <w:spacing w:line="240" w:lineRule="auto"/>
              <w:jc w:val="center"/>
              <w:rPr>
                <w:rFonts w:hint="default" w:ascii="Times New Roman" w:hAnsi="Times New Roman" w:eastAsia="宋体" w:cs="Times New Roman"/>
                <w:color w:val="auto"/>
                <w:kern w:val="2"/>
                <w:sz w:val="22"/>
                <w:szCs w:val="22"/>
                <w:highlight w:val="none"/>
                <w:lang w:val="en-US" w:eastAsia="zh-CN" w:bidi="ar-SA"/>
              </w:rPr>
            </w:pPr>
            <w:r>
              <w:rPr>
                <w:rFonts w:hint="eastAsia" w:cs="Times New Roman"/>
                <w:color w:val="auto"/>
                <w:sz w:val="21"/>
                <w:szCs w:val="21"/>
                <w:highlight w:val="none"/>
                <w:lang w:val="en-US" w:eastAsia="zh-CN"/>
              </w:rPr>
              <w:t>+0.1</w:t>
            </w:r>
          </w:p>
        </w:tc>
      </w:tr>
      <w:tr w14:paraId="23A6DE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12" w:type="dxa"/>
            <w:vMerge w:val="continue"/>
            <w:vAlign w:val="center"/>
          </w:tcPr>
          <w:p w14:paraId="714347D8">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2906" w:type="dxa"/>
            <w:shd w:val="clear" w:color="auto" w:fill="auto"/>
            <w:vAlign w:val="center"/>
          </w:tcPr>
          <w:p w14:paraId="7C617726">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废润滑油</w:t>
            </w:r>
          </w:p>
        </w:tc>
        <w:tc>
          <w:tcPr>
            <w:tcW w:w="1407" w:type="dxa"/>
            <w:shd w:val="clear" w:color="auto" w:fill="auto"/>
            <w:vAlign w:val="center"/>
          </w:tcPr>
          <w:p w14:paraId="7ACB3EC4">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2"/>
                <w:szCs w:val="22"/>
                <w:highlight w:val="none"/>
                <w:lang w:val="en-US" w:eastAsia="zh-CN"/>
              </w:rPr>
              <w:t>/</w:t>
            </w:r>
          </w:p>
        </w:tc>
        <w:tc>
          <w:tcPr>
            <w:tcW w:w="1101" w:type="dxa"/>
            <w:shd w:val="clear" w:color="auto" w:fill="auto"/>
            <w:vAlign w:val="center"/>
          </w:tcPr>
          <w:p w14:paraId="04E78546">
            <w:pPr>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2"/>
                <w:szCs w:val="22"/>
                <w:highlight w:val="none"/>
                <w:lang w:val="en-US" w:eastAsia="zh-CN"/>
              </w:rPr>
              <w:t>/</w:t>
            </w:r>
          </w:p>
        </w:tc>
        <w:tc>
          <w:tcPr>
            <w:tcW w:w="1469" w:type="dxa"/>
            <w:shd w:val="clear" w:color="auto" w:fill="auto"/>
            <w:vAlign w:val="center"/>
          </w:tcPr>
          <w:p w14:paraId="2C71987F">
            <w:pPr>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2"/>
                <w:szCs w:val="22"/>
                <w:highlight w:val="none"/>
                <w:lang w:val="en-US" w:eastAsia="zh-CN"/>
              </w:rPr>
              <w:t>/</w:t>
            </w:r>
          </w:p>
        </w:tc>
        <w:tc>
          <w:tcPr>
            <w:tcW w:w="1458" w:type="dxa"/>
            <w:shd w:val="clear" w:color="auto" w:fill="auto"/>
            <w:vAlign w:val="center"/>
          </w:tcPr>
          <w:p w14:paraId="0AC8061C">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0.1</w:t>
            </w:r>
          </w:p>
        </w:tc>
        <w:tc>
          <w:tcPr>
            <w:tcW w:w="1264" w:type="dxa"/>
            <w:shd w:val="clear" w:color="auto" w:fill="auto"/>
            <w:vAlign w:val="center"/>
          </w:tcPr>
          <w:p w14:paraId="01EAE2F9">
            <w:pPr>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2"/>
                <w:szCs w:val="22"/>
                <w:highlight w:val="none"/>
                <w:lang w:val="en-US" w:eastAsia="zh-CN"/>
              </w:rPr>
              <w:t>/</w:t>
            </w:r>
          </w:p>
        </w:tc>
        <w:tc>
          <w:tcPr>
            <w:tcW w:w="1642" w:type="dxa"/>
            <w:shd w:val="clear" w:color="auto" w:fill="auto"/>
            <w:vAlign w:val="center"/>
          </w:tcPr>
          <w:p w14:paraId="5E7ABC97">
            <w:pPr>
              <w:spacing w:line="240" w:lineRule="auto"/>
              <w:jc w:val="center"/>
              <w:rPr>
                <w:rFonts w:hint="default" w:ascii="Times New Roman" w:hAnsi="Times New Roman" w:eastAsia="宋体" w:cs="Times New Roman"/>
                <w:color w:val="auto"/>
                <w:kern w:val="2"/>
                <w:sz w:val="22"/>
                <w:szCs w:val="22"/>
                <w:highlight w:val="none"/>
                <w:lang w:val="en-US" w:eastAsia="zh-CN" w:bidi="ar-SA"/>
              </w:rPr>
            </w:pPr>
            <w:r>
              <w:rPr>
                <w:rFonts w:hint="eastAsia" w:cs="Times New Roman"/>
                <w:color w:val="auto"/>
                <w:sz w:val="21"/>
                <w:szCs w:val="21"/>
                <w:highlight w:val="none"/>
                <w:lang w:val="en-US" w:eastAsia="zh-CN"/>
              </w:rPr>
              <w:t>0.1</w:t>
            </w:r>
          </w:p>
        </w:tc>
        <w:tc>
          <w:tcPr>
            <w:tcW w:w="1396" w:type="dxa"/>
            <w:shd w:val="clear" w:color="auto" w:fill="auto"/>
            <w:vAlign w:val="center"/>
          </w:tcPr>
          <w:p w14:paraId="04574AAD">
            <w:pPr>
              <w:spacing w:line="240" w:lineRule="auto"/>
              <w:jc w:val="center"/>
              <w:rPr>
                <w:rFonts w:hint="default" w:ascii="Times New Roman" w:hAnsi="Times New Roman" w:eastAsia="宋体" w:cs="Times New Roman"/>
                <w:color w:val="auto"/>
                <w:kern w:val="2"/>
                <w:sz w:val="22"/>
                <w:szCs w:val="22"/>
                <w:highlight w:val="none"/>
                <w:lang w:val="en-US" w:eastAsia="zh-CN" w:bidi="ar-SA"/>
              </w:rPr>
            </w:pPr>
            <w:r>
              <w:rPr>
                <w:rFonts w:hint="eastAsia" w:cs="Times New Roman"/>
                <w:color w:val="auto"/>
                <w:sz w:val="21"/>
                <w:szCs w:val="21"/>
                <w:highlight w:val="none"/>
                <w:lang w:val="en-US" w:eastAsia="zh-CN"/>
              </w:rPr>
              <w:t>+0.1</w:t>
            </w:r>
          </w:p>
        </w:tc>
      </w:tr>
      <w:tr w14:paraId="1548C3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12" w:type="dxa"/>
            <w:vMerge w:val="continue"/>
            <w:vAlign w:val="center"/>
          </w:tcPr>
          <w:p w14:paraId="1A939A4B">
            <w:pPr>
              <w:widowControl/>
              <w:adjustRightInd w:val="0"/>
              <w:snapToGrid w:val="0"/>
              <w:spacing w:line="240" w:lineRule="auto"/>
              <w:jc w:val="center"/>
              <w:rPr>
                <w:rFonts w:hint="default" w:ascii="Times New Roman" w:hAnsi="Times New Roman" w:eastAsia="宋体" w:cs="Times New Roman"/>
                <w:color w:val="auto"/>
                <w:sz w:val="22"/>
                <w:szCs w:val="22"/>
                <w:highlight w:val="none"/>
              </w:rPr>
            </w:pPr>
          </w:p>
        </w:tc>
        <w:tc>
          <w:tcPr>
            <w:tcW w:w="2906" w:type="dxa"/>
            <w:shd w:val="clear" w:color="auto" w:fill="auto"/>
            <w:vAlign w:val="center"/>
          </w:tcPr>
          <w:p w14:paraId="7B53E23E">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废油桶</w:t>
            </w:r>
          </w:p>
        </w:tc>
        <w:tc>
          <w:tcPr>
            <w:tcW w:w="1407" w:type="dxa"/>
            <w:shd w:val="clear" w:color="auto" w:fill="auto"/>
            <w:vAlign w:val="center"/>
          </w:tcPr>
          <w:p w14:paraId="42D5EB5F">
            <w:pPr>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2"/>
                <w:szCs w:val="22"/>
                <w:highlight w:val="none"/>
                <w:lang w:val="en-US" w:eastAsia="zh-CN"/>
              </w:rPr>
              <w:t>/</w:t>
            </w:r>
          </w:p>
        </w:tc>
        <w:tc>
          <w:tcPr>
            <w:tcW w:w="1101" w:type="dxa"/>
            <w:shd w:val="clear" w:color="auto" w:fill="auto"/>
            <w:vAlign w:val="center"/>
          </w:tcPr>
          <w:p w14:paraId="29107506">
            <w:pPr>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2"/>
                <w:szCs w:val="22"/>
                <w:highlight w:val="none"/>
                <w:lang w:val="en-US" w:eastAsia="zh-CN"/>
              </w:rPr>
              <w:t>/</w:t>
            </w:r>
          </w:p>
        </w:tc>
        <w:tc>
          <w:tcPr>
            <w:tcW w:w="1469" w:type="dxa"/>
            <w:shd w:val="clear" w:color="auto" w:fill="auto"/>
            <w:vAlign w:val="center"/>
          </w:tcPr>
          <w:p w14:paraId="1F3A4BE5">
            <w:pPr>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2"/>
                <w:szCs w:val="22"/>
                <w:highlight w:val="none"/>
                <w:lang w:val="en-US" w:eastAsia="zh-CN"/>
              </w:rPr>
              <w:t>/</w:t>
            </w:r>
          </w:p>
        </w:tc>
        <w:tc>
          <w:tcPr>
            <w:tcW w:w="1458" w:type="dxa"/>
            <w:shd w:val="clear" w:color="auto" w:fill="auto"/>
            <w:vAlign w:val="center"/>
          </w:tcPr>
          <w:p w14:paraId="63262065">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0.1</w:t>
            </w:r>
          </w:p>
        </w:tc>
        <w:tc>
          <w:tcPr>
            <w:tcW w:w="1264" w:type="dxa"/>
            <w:shd w:val="clear" w:color="auto" w:fill="auto"/>
            <w:vAlign w:val="center"/>
          </w:tcPr>
          <w:p w14:paraId="2CE8C629">
            <w:pPr>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2"/>
                <w:szCs w:val="22"/>
                <w:highlight w:val="none"/>
                <w:lang w:val="en-US" w:eastAsia="zh-CN"/>
              </w:rPr>
              <w:t>/</w:t>
            </w:r>
          </w:p>
        </w:tc>
        <w:tc>
          <w:tcPr>
            <w:tcW w:w="1642" w:type="dxa"/>
            <w:shd w:val="clear" w:color="auto" w:fill="auto"/>
            <w:vAlign w:val="center"/>
          </w:tcPr>
          <w:p w14:paraId="4AC05734">
            <w:pPr>
              <w:spacing w:line="240" w:lineRule="auto"/>
              <w:jc w:val="center"/>
              <w:rPr>
                <w:rFonts w:hint="eastAsia" w:ascii="Times New Roman" w:hAnsi="Times New Roman" w:eastAsia="宋体" w:cs="Times New Roman"/>
                <w:color w:val="auto"/>
                <w:kern w:val="2"/>
                <w:sz w:val="22"/>
                <w:szCs w:val="22"/>
                <w:highlight w:val="none"/>
                <w:lang w:val="en-US" w:eastAsia="zh-CN" w:bidi="ar-SA"/>
              </w:rPr>
            </w:pPr>
            <w:r>
              <w:rPr>
                <w:rFonts w:hint="eastAsia" w:cs="Times New Roman"/>
                <w:color w:val="auto"/>
                <w:sz w:val="21"/>
                <w:szCs w:val="21"/>
                <w:highlight w:val="none"/>
                <w:lang w:val="en-US" w:eastAsia="zh-CN"/>
              </w:rPr>
              <w:t>0.1</w:t>
            </w:r>
          </w:p>
        </w:tc>
        <w:tc>
          <w:tcPr>
            <w:tcW w:w="1396" w:type="dxa"/>
            <w:shd w:val="clear" w:color="auto" w:fill="auto"/>
            <w:vAlign w:val="center"/>
          </w:tcPr>
          <w:p w14:paraId="33980CFC">
            <w:pPr>
              <w:spacing w:line="240" w:lineRule="auto"/>
              <w:jc w:val="center"/>
              <w:rPr>
                <w:rFonts w:hint="eastAsia" w:ascii="Times New Roman" w:hAnsi="Times New Roman" w:eastAsia="宋体" w:cs="Times New Roman"/>
                <w:color w:val="auto"/>
                <w:kern w:val="2"/>
                <w:sz w:val="22"/>
                <w:szCs w:val="22"/>
                <w:highlight w:val="none"/>
                <w:lang w:val="en-US" w:eastAsia="zh-CN" w:bidi="ar-SA"/>
              </w:rPr>
            </w:pPr>
            <w:r>
              <w:rPr>
                <w:rFonts w:hint="eastAsia" w:cs="Times New Roman"/>
                <w:color w:val="auto"/>
                <w:sz w:val="21"/>
                <w:szCs w:val="21"/>
                <w:highlight w:val="none"/>
                <w:lang w:val="en-US" w:eastAsia="zh-CN"/>
              </w:rPr>
              <w:t>+0.1</w:t>
            </w:r>
          </w:p>
        </w:tc>
      </w:tr>
    </w:tbl>
    <w:p w14:paraId="586156F7">
      <w:pPr>
        <w:pStyle w:val="44"/>
        <w:spacing w:before="192" w:beforeLines="80" w:after="24"/>
        <w:jc w:val="left"/>
        <w:rPr>
          <w:rFonts w:hint="default" w:ascii="Times New Roman" w:hAnsi="Times New Roman" w:eastAsia="宋体" w:cs="Times New Roman"/>
          <w:snapToGrid w:val="0"/>
          <w:color w:val="auto"/>
          <w:spacing w:val="-6"/>
          <w:kern w:val="21"/>
          <w:sz w:val="24"/>
          <w:szCs w:val="24"/>
          <w:highlight w:val="none"/>
        </w:rPr>
      </w:pPr>
      <w:r>
        <w:rPr>
          <w:rFonts w:hint="default" w:ascii="Times New Roman" w:hAnsi="Times New Roman" w:eastAsia="宋体" w:cs="Times New Roman"/>
          <w:snapToGrid w:val="0"/>
          <w:color w:val="auto"/>
          <w:kern w:val="21"/>
          <w:sz w:val="24"/>
          <w:szCs w:val="24"/>
          <w:highlight w:val="none"/>
        </w:rPr>
        <w:t>注：</w:t>
      </w:r>
      <w:r>
        <w:rPr>
          <w:rFonts w:hint="default" w:ascii="Times New Roman" w:hAnsi="Times New Roman" w:eastAsia="宋体" w:cs="Times New Roman"/>
          <w:snapToGrid w:val="0"/>
          <w:color w:val="auto"/>
          <w:spacing w:val="-16"/>
          <w:kern w:val="21"/>
          <w:sz w:val="24"/>
          <w:szCs w:val="24"/>
          <w:highlight w:val="none"/>
        </w:rPr>
        <w:fldChar w:fldCharType="begin"/>
      </w:r>
      <w:r>
        <w:rPr>
          <w:rFonts w:hint="default" w:ascii="Times New Roman" w:hAnsi="Times New Roman" w:eastAsia="宋体" w:cs="Times New Roman"/>
          <w:snapToGrid w:val="0"/>
          <w:color w:val="auto"/>
          <w:spacing w:val="-16"/>
          <w:kern w:val="21"/>
          <w:sz w:val="24"/>
          <w:szCs w:val="24"/>
          <w:highlight w:val="none"/>
        </w:rPr>
        <w:instrText xml:space="preserve"> = 6 \* GB3 \* MERGEFORMAT </w:instrText>
      </w:r>
      <w:r>
        <w:rPr>
          <w:rFonts w:hint="default" w:ascii="Times New Roman" w:hAnsi="Times New Roman" w:eastAsia="宋体" w:cs="Times New Roman"/>
          <w:snapToGrid w:val="0"/>
          <w:color w:val="auto"/>
          <w:spacing w:val="-16"/>
          <w:kern w:val="21"/>
          <w:sz w:val="24"/>
          <w:szCs w:val="24"/>
          <w:highlight w:val="none"/>
        </w:rPr>
        <w:fldChar w:fldCharType="separate"/>
      </w:r>
      <w:r>
        <w:rPr>
          <w:rFonts w:hint="default" w:ascii="Times New Roman" w:hAnsi="Times New Roman" w:eastAsia="宋体" w:cs="Times New Roman"/>
          <w:color w:val="auto"/>
          <w:sz w:val="24"/>
          <w:szCs w:val="24"/>
          <w:highlight w:val="none"/>
        </w:rPr>
        <w:t>⑥</w:t>
      </w:r>
      <w:r>
        <w:rPr>
          <w:rFonts w:hint="default" w:ascii="Times New Roman" w:hAnsi="Times New Roman" w:eastAsia="宋体" w:cs="Times New Roman"/>
          <w:snapToGrid w:val="0"/>
          <w:color w:val="auto"/>
          <w:spacing w:val="-16"/>
          <w:kern w:val="21"/>
          <w:sz w:val="24"/>
          <w:szCs w:val="24"/>
          <w:highlight w:val="none"/>
        </w:rPr>
        <w:fldChar w:fldCharType="end"/>
      </w:r>
      <w:r>
        <w:rPr>
          <w:rFonts w:hint="default" w:ascii="Times New Roman" w:hAnsi="Times New Roman" w:eastAsia="宋体" w:cs="Times New Roman"/>
          <w:snapToGrid w:val="0"/>
          <w:color w:val="auto"/>
          <w:spacing w:val="-16"/>
          <w:kern w:val="21"/>
          <w:sz w:val="24"/>
          <w:szCs w:val="24"/>
          <w:highlight w:val="none"/>
        </w:rPr>
        <w:t>=</w:t>
      </w:r>
      <w:r>
        <w:rPr>
          <w:rFonts w:hint="default" w:ascii="Times New Roman" w:hAnsi="Times New Roman" w:eastAsia="宋体" w:cs="Times New Roman"/>
          <w:snapToGrid w:val="0"/>
          <w:color w:val="auto"/>
          <w:spacing w:val="-6"/>
          <w:kern w:val="21"/>
          <w:sz w:val="24"/>
          <w:szCs w:val="24"/>
          <w:highlight w:val="none"/>
        </w:rPr>
        <w:fldChar w:fldCharType="begin"/>
      </w:r>
      <w:r>
        <w:rPr>
          <w:rFonts w:hint="default" w:ascii="Times New Roman" w:hAnsi="Times New Roman" w:eastAsia="宋体" w:cs="Times New Roman"/>
          <w:snapToGrid w:val="0"/>
          <w:color w:val="auto"/>
          <w:spacing w:val="-6"/>
          <w:kern w:val="21"/>
          <w:sz w:val="24"/>
          <w:szCs w:val="24"/>
          <w:highlight w:val="none"/>
        </w:rPr>
        <w:instrText xml:space="preserve"> = 1 \* GB3 \* MERGEFORMAT </w:instrText>
      </w:r>
      <w:r>
        <w:rPr>
          <w:rFonts w:hint="default" w:ascii="Times New Roman" w:hAnsi="Times New Roman" w:eastAsia="宋体" w:cs="Times New Roman"/>
          <w:snapToGrid w:val="0"/>
          <w:color w:val="auto"/>
          <w:spacing w:val="-6"/>
          <w:kern w:val="21"/>
          <w:sz w:val="24"/>
          <w:szCs w:val="24"/>
          <w:highlight w:val="none"/>
        </w:rPr>
        <w:fldChar w:fldCharType="separate"/>
      </w:r>
      <w:r>
        <w:rPr>
          <w:rFonts w:hint="default" w:ascii="Times New Roman" w:hAnsi="Times New Roman" w:eastAsia="宋体" w:cs="Times New Roman"/>
          <w:color w:val="auto"/>
          <w:sz w:val="24"/>
          <w:szCs w:val="24"/>
          <w:highlight w:val="none"/>
        </w:rPr>
        <w:t>①</w:t>
      </w:r>
      <w:r>
        <w:rPr>
          <w:rFonts w:hint="default" w:ascii="Times New Roman" w:hAnsi="Times New Roman" w:eastAsia="宋体" w:cs="Times New Roman"/>
          <w:snapToGrid w:val="0"/>
          <w:color w:val="auto"/>
          <w:spacing w:val="-6"/>
          <w:kern w:val="21"/>
          <w:sz w:val="24"/>
          <w:szCs w:val="24"/>
          <w:highlight w:val="none"/>
        </w:rPr>
        <w:fldChar w:fldCharType="end"/>
      </w:r>
      <w:r>
        <w:rPr>
          <w:rFonts w:hint="default" w:ascii="Times New Roman" w:hAnsi="Times New Roman" w:eastAsia="宋体" w:cs="Times New Roman"/>
          <w:snapToGrid w:val="0"/>
          <w:color w:val="auto"/>
          <w:spacing w:val="-6"/>
          <w:kern w:val="21"/>
          <w:sz w:val="24"/>
          <w:szCs w:val="24"/>
          <w:highlight w:val="none"/>
        </w:rPr>
        <w:t>+</w:t>
      </w:r>
      <w:r>
        <w:rPr>
          <w:rFonts w:hint="default" w:ascii="Times New Roman" w:hAnsi="Times New Roman" w:eastAsia="宋体" w:cs="Times New Roman"/>
          <w:snapToGrid w:val="0"/>
          <w:color w:val="auto"/>
          <w:spacing w:val="-6"/>
          <w:kern w:val="21"/>
          <w:sz w:val="24"/>
          <w:szCs w:val="24"/>
          <w:highlight w:val="none"/>
        </w:rPr>
        <w:fldChar w:fldCharType="begin"/>
      </w:r>
      <w:r>
        <w:rPr>
          <w:rFonts w:hint="default" w:ascii="Times New Roman" w:hAnsi="Times New Roman" w:eastAsia="宋体" w:cs="Times New Roman"/>
          <w:snapToGrid w:val="0"/>
          <w:color w:val="auto"/>
          <w:spacing w:val="-6"/>
          <w:kern w:val="21"/>
          <w:sz w:val="24"/>
          <w:szCs w:val="24"/>
          <w:highlight w:val="none"/>
        </w:rPr>
        <w:instrText xml:space="preserve"> = 3 \* GB3 \* MERGEFORMAT </w:instrText>
      </w:r>
      <w:r>
        <w:rPr>
          <w:rFonts w:hint="default" w:ascii="Times New Roman" w:hAnsi="Times New Roman" w:eastAsia="宋体" w:cs="Times New Roman"/>
          <w:snapToGrid w:val="0"/>
          <w:color w:val="auto"/>
          <w:spacing w:val="-6"/>
          <w:kern w:val="21"/>
          <w:sz w:val="24"/>
          <w:szCs w:val="24"/>
          <w:highlight w:val="none"/>
        </w:rPr>
        <w:fldChar w:fldCharType="separate"/>
      </w:r>
      <w:r>
        <w:rPr>
          <w:rFonts w:hint="default" w:ascii="Times New Roman" w:hAnsi="Times New Roman" w:eastAsia="宋体" w:cs="Times New Roman"/>
          <w:color w:val="auto"/>
          <w:sz w:val="24"/>
          <w:szCs w:val="24"/>
          <w:highlight w:val="none"/>
        </w:rPr>
        <w:t>③</w:t>
      </w:r>
      <w:r>
        <w:rPr>
          <w:rFonts w:hint="default" w:ascii="Times New Roman" w:hAnsi="Times New Roman" w:eastAsia="宋体" w:cs="Times New Roman"/>
          <w:snapToGrid w:val="0"/>
          <w:color w:val="auto"/>
          <w:spacing w:val="-6"/>
          <w:kern w:val="21"/>
          <w:sz w:val="24"/>
          <w:szCs w:val="24"/>
          <w:highlight w:val="none"/>
        </w:rPr>
        <w:fldChar w:fldCharType="end"/>
      </w:r>
      <w:r>
        <w:rPr>
          <w:rFonts w:hint="default" w:ascii="Times New Roman" w:hAnsi="Times New Roman" w:eastAsia="宋体" w:cs="Times New Roman"/>
          <w:snapToGrid w:val="0"/>
          <w:color w:val="auto"/>
          <w:spacing w:val="-6"/>
          <w:kern w:val="21"/>
          <w:sz w:val="24"/>
          <w:szCs w:val="24"/>
          <w:highlight w:val="none"/>
        </w:rPr>
        <w:t>+</w:t>
      </w:r>
      <w:r>
        <w:rPr>
          <w:rFonts w:hint="default" w:ascii="Times New Roman" w:hAnsi="Times New Roman" w:eastAsia="宋体" w:cs="Times New Roman"/>
          <w:snapToGrid w:val="0"/>
          <w:color w:val="auto"/>
          <w:spacing w:val="-6"/>
          <w:kern w:val="21"/>
          <w:sz w:val="24"/>
          <w:szCs w:val="24"/>
          <w:highlight w:val="none"/>
        </w:rPr>
        <w:fldChar w:fldCharType="begin"/>
      </w:r>
      <w:r>
        <w:rPr>
          <w:rFonts w:hint="default" w:ascii="Times New Roman" w:hAnsi="Times New Roman" w:eastAsia="宋体" w:cs="Times New Roman"/>
          <w:snapToGrid w:val="0"/>
          <w:color w:val="auto"/>
          <w:spacing w:val="-6"/>
          <w:kern w:val="21"/>
          <w:sz w:val="24"/>
          <w:szCs w:val="24"/>
          <w:highlight w:val="none"/>
        </w:rPr>
        <w:instrText xml:space="preserve"> = 4 \* GB3 \* MERGEFORMAT </w:instrText>
      </w:r>
      <w:r>
        <w:rPr>
          <w:rFonts w:hint="default" w:ascii="Times New Roman" w:hAnsi="Times New Roman" w:eastAsia="宋体" w:cs="Times New Roman"/>
          <w:snapToGrid w:val="0"/>
          <w:color w:val="auto"/>
          <w:spacing w:val="-6"/>
          <w:kern w:val="21"/>
          <w:sz w:val="24"/>
          <w:szCs w:val="24"/>
          <w:highlight w:val="none"/>
        </w:rPr>
        <w:fldChar w:fldCharType="separate"/>
      </w:r>
      <w:r>
        <w:rPr>
          <w:rFonts w:hint="default" w:ascii="Times New Roman" w:hAnsi="Times New Roman" w:eastAsia="宋体" w:cs="Times New Roman"/>
          <w:color w:val="auto"/>
          <w:sz w:val="24"/>
          <w:szCs w:val="24"/>
          <w:highlight w:val="none"/>
        </w:rPr>
        <w:t>④</w:t>
      </w:r>
      <w:r>
        <w:rPr>
          <w:rFonts w:hint="default" w:ascii="Times New Roman" w:hAnsi="Times New Roman" w:eastAsia="宋体" w:cs="Times New Roman"/>
          <w:snapToGrid w:val="0"/>
          <w:color w:val="auto"/>
          <w:spacing w:val="-6"/>
          <w:kern w:val="21"/>
          <w:sz w:val="24"/>
          <w:szCs w:val="24"/>
          <w:highlight w:val="none"/>
        </w:rPr>
        <w:fldChar w:fldCharType="end"/>
      </w:r>
      <w:r>
        <w:rPr>
          <w:rFonts w:hint="default" w:ascii="Times New Roman" w:hAnsi="Times New Roman" w:eastAsia="宋体" w:cs="Times New Roman"/>
          <w:snapToGrid w:val="0"/>
          <w:color w:val="auto"/>
          <w:spacing w:val="-6"/>
          <w:kern w:val="21"/>
          <w:sz w:val="24"/>
          <w:szCs w:val="24"/>
          <w:highlight w:val="none"/>
        </w:rPr>
        <w:t>-</w:t>
      </w:r>
      <w:r>
        <w:rPr>
          <w:rFonts w:hint="default" w:ascii="Times New Roman" w:hAnsi="Times New Roman" w:eastAsia="宋体" w:cs="Times New Roman"/>
          <w:snapToGrid w:val="0"/>
          <w:color w:val="auto"/>
          <w:spacing w:val="-16"/>
          <w:kern w:val="21"/>
          <w:sz w:val="24"/>
          <w:szCs w:val="24"/>
          <w:highlight w:val="none"/>
        </w:rPr>
        <w:fldChar w:fldCharType="begin"/>
      </w:r>
      <w:r>
        <w:rPr>
          <w:rFonts w:hint="default" w:ascii="Times New Roman" w:hAnsi="Times New Roman" w:eastAsia="宋体" w:cs="Times New Roman"/>
          <w:snapToGrid w:val="0"/>
          <w:color w:val="auto"/>
          <w:spacing w:val="-16"/>
          <w:kern w:val="21"/>
          <w:sz w:val="24"/>
          <w:szCs w:val="24"/>
          <w:highlight w:val="none"/>
        </w:rPr>
        <w:instrText xml:space="preserve"> = 5 \* GB3 \* MERGEFORMAT </w:instrText>
      </w:r>
      <w:r>
        <w:rPr>
          <w:rFonts w:hint="default" w:ascii="Times New Roman" w:hAnsi="Times New Roman" w:eastAsia="宋体" w:cs="Times New Roman"/>
          <w:snapToGrid w:val="0"/>
          <w:color w:val="auto"/>
          <w:spacing w:val="-16"/>
          <w:kern w:val="21"/>
          <w:sz w:val="24"/>
          <w:szCs w:val="24"/>
          <w:highlight w:val="none"/>
        </w:rPr>
        <w:fldChar w:fldCharType="separate"/>
      </w:r>
      <w:r>
        <w:rPr>
          <w:rFonts w:hint="default" w:ascii="Times New Roman" w:hAnsi="Times New Roman" w:eastAsia="宋体" w:cs="Times New Roman"/>
          <w:color w:val="auto"/>
          <w:sz w:val="24"/>
          <w:szCs w:val="24"/>
          <w:highlight w:val="none"/>
        </w:rPr>
        <w:t>⑤</w:t>
      </w:r>
      <w:r>
        <w:rPr>
          <w:rFonts w:hint="default" w:ascii="Times New Roman" w:hAnsi="Times New Roman" w:eastAsia="宋体" w:cs="Times New Roman"/>
          <w:snapToGrid w:val="0"/>
          <w:color w:val="auto"/>
          <w:spacing w:val="-16"/>
          <w:kern w:val="21"/>
          <w:sz w:val="24"/>
          <w:szCs w:val="24"/>
          <w:highlight w:val="none"/>
        </w:rPr>
        <w:fldChar w:fldCharType="end"/>
      </w:r>
      <w:r>
        <w:rPr>
          <w:rFonts w:hint="default" w:ascii="Times New Roman" w:hAnsi="Times New Roman" w:eastAsia="宋体" w:cs="Times New Roman"/>
          <w:snapToGrid w:val="0"/>
          <w:color w:val="auto"/>
          <w:spacing w:val="-16"/>
          <w:kern w:val="21"/>
          <w:sz w:val="24"/>
          <w:szCs w:val="24"/>
          <w:highlight w:val="none"/>
        </w:rPr>
        <w:t>；</w:t>
      </w:r>
      <w:r>
        <w:rPr>
          <w:rFonts w:hint="default" w:ascii="Times New Roman" w:hAnsi="Times New Roman" w:eastAsia="宋体" w:cs="Times New Roman"/>
          <w:snapToGrid w:val="0"/>
          <w:color w:val="auto"/>
          <w:spacing w:val="-6"/>
          <w:kern w:val="21"/>
          <w:sz w:val="24"/>
          <w:szCs w:val="24"/>
          <w:highlight w:val="none"/>
        </w:rPr>
        <w:fldChar w:fldCharType="begin"/>
      </w:r>
      <w:r>
        <w:rPr>
          <w:rFonts w:hint="default" w:ascii="Times New Roman" w:hAnsi="Times New Roman" w:eastAsia="宋体" w:cs="Times New Roman"/>
          <w:snapToGrid w:val="0"/>
          <w:color w:val="auto"/>
          <w:spacing w:val="-6"/>
          <w:kern w:val="21"/>
          <w:sz w:val="24"/>
          <w:szCs w:val="24"/>
          <w:highlight w:val="none"/>
        </w:rPr>
        <w:instrText xml:space="preserve"> = 7 \* GB3 \* MERGEFORMAT </w:instrText>
      </w:r>
      <w:r>
        <w:rPr>
          <w:rFonts w:hint="default" w:ascii="Times New Roman" w:hAnsi="Times New Roman" w:eastAsia="宋体" w:cs="Times New Roman"/>
          <w:snapToGrid w:val="0"/>
          <w:color w:val="auto"/>
          <w:spacing w:val="-6"/>
          <w:kern w:val="21"/>
          <w:sz w:val="24"/>
          <w:szCs w:val="24"/>
          <w:highlight w:val="none"/>
        </w:rPr>
        <w:fldChar w:fldCharType="separate"/>
      </w:r>
      <w:r>
        <w:rPr>
          <w:rFonts w:hint="default" w:ascii="Times New Roman" w:hAnsi="Times New Roman" w:eastAsia="宋体" w:cs="Times New Roman"/>
          <w:color w:val="auto"/>
          <w:sz w:val="24"/>
          <w:szCs w:val="24"/>
          <w:highlight w:val="none"/>
        </w:rPr>
        <w:t>⑦</w:t>
      </w:r>
      <w:r>
        <w:rPr>
          <w:rFonts w:hint="default" w:ascii="Times New Roman" w:hAnsi="Times New Roman" w:eastAsia="宋体" w:cs="Times New Roman"/>
          <w:snapToGrid w:val="0"/>
          <w:color w:val="auto"/>
          <w:spacing w:val="-6"/>
          <w:kern w:val="21"/>
          <w:sz w:val="24"/>
          <w:szCs w:val="24"/>
          <w:highlight w:val="none"/>
        </w:rPr>
        <w:fldChar w:fldCharType="end"/>
      </w:r>
      <w:r>
        <w:rPr>
          <w:rFonts w:hint="default" w:ascii="Times New Roman" w:hAnsi="Times New Roman" w:eastAsia="宋体" w:cs="Times New Roman"/>
          <w:snapToGrid w:val="0"/>
          <w:color w:val="auto"/>
          <w:spacing w:val="-6"/>
          <w:kern w:val="21"/>
          <w:sz w:val="24"/>
          <w:szCs w:val="24"/>
          <w:highlight w:val="none"/>
        </w:rPr>
        <w:t>=</w:t>
      </w:r>
      <w:r>
        <w:rPr>
          <w:rFonts w:hint="default" w:ascii="Times New Roman" w:hAnsi="Times New Roman" w:eastAsia="宋体" w:cs="Times New Roman"/>
          <w:snapToGrid w:val="0"/>
          <w:color w:val="auto"/>
          <w:spacing w:val="-16"/>
          <w:kern w:val="21"/>
          <w:sz w:val="24"/>
          <w:szCs w:val="24"/>
          <w:highlight w:val="none"/>
        </w:rPr>
        <w:fldChar w:fldCharType="begin"/>
      </w:r>
      <w:r>
        <w:rPr>
          <w:rFonts w:hint="default" w:ascii="Times New Roman" w:hAnsi="Times New Roman" w:eastAsia="宋体" w:cs="Times New Roman"/>
          <w:snapToGrid w:val="0"/>
          <w:color w:val="auto"/>
          <w:spacing w:val="-16"/>
          <w:kern w:val="21"/>
          <w:sz w:val="24"/>
          <w:szCs w:val="24"/>
          <w:highlight w:val="none"/>
        </w:rPr>
        <w:instrText xml:space="preserve"> = 6 \* GB3 \* MERGEFORMAT </w:instrText>
      </w:r>
      <w:r>
        <w:rPr>
          <w:rFonts w:hint="default" w:ascii="Times New Roman" w:hAnsi="Times New Roman" w:eastAsia="宋体" w:cs="Times New Roman"/>
          <w:snapToGrid w:val="0"/>
          <w:color w:val="auto"/>
          <w:spacing w:val="-16"/>
          <w:kern w:val="21"/>
          <w:sz w:val="24"/>
          <w:szCs w:val="24"/>
          <w:highlight w:val="none"/>
        </w:rPr>
        <w:fldChar w:fldCharType="separate"/>
      </w:r>
      <w:r>
        <w:rPr>
          <w:rFonts w:hint="default" w:ascii="Times New Roman" w:hAnsi="Times New Roman" w:eastAsia="宋体" w:cs="Times New Roman"/>
          <w:color w:val="auto"/>
          <w:sz w:val="24"/>
          <w:szCs w:val="24"/>
          <w:highlight w:val="none"/>
        </w:rPr>
        <w:t>⑥</w:t>
      </w:r>
      <w:r>
        <w:rPr>
          <w:rFonts w:hint="default" w:ascii="Times New Roman" w:hAnsi="Times New Roman" w:eastAsia="宋体" w:cs="Times New Roman"/>
          <w:snapToGrid w:val="0"/>
          <w:color w:val="auto"/>
          <w:spacing w:val="-16"/>
          <w:kern w:val="21"/>
          <w:sz w:val="24"/>
          <w:szCs w:val="24"/>
          <w:highlight w:val="none"/>
        </w:rPr>
        <w:fldChar w:fldCharType="end"/>
      </w:r>
      <w:r>
        <w:rPr>
          <w:rFonts w:hint="default" w:ascii="Times New Roman" w:hAnsi="Times New Roman" w:eastAsia="宋体" w:cs="Times New Roman"/>
          <w:snapToGrid w:val="0"/>
          <w:color w:val="auto"/>
          <w:spacing w:val="-16"/>
          <w:kern w:val="21"/>
          <w:sz w:val="24"/>
          <w:szCs w:val="24"/>
          <w:highlight w:val="none"/>
        </w:rPr>
        <w:t>-</w:t>
      </w:r>
      <w:r>
        <w:rPr>
          <w:rFonts w:hint="default" w:ascii="Times New Roman" w:hAnsi="Times New Roman" w:eastAsia="宋体" w:cs="Times New Roman"/>
          <w:snapToGrid w:val="0"/>
          <w:color w:val="auto"/>
          <w:spacing w:val="-6"/>
          <w:kern w:val="21"/>
          <w:sz w:val="24"/>
          <w:szCs w:val="24"/>
          <w:highlight w:val="none"/>
        </w:rPr>
        <w:fldChar w:fldCharType="begin"/>
      </w:r>
      <w:r>
        <w:rPr>
          <w:rFonts w:hint="default" w:ascii="Times New Roman" w:hAnsi="Times New Roman" w:eastAsia="宋体" w:cs="Times New Roman"/>
          <w:snapToGrid w:val="0"/>
          <w:color w:val="auto"/>
          <w:spacing w:val="-6"/>
          <w:kern w:val="21"/>
          <w:sz w:val="24"/>
          <w:szCs w:val="24"/>
          <w:highlight w:val="none"/>
        </w:rPr>
        <w:instrText xml:space="preserve"> = 1 \* GB3 \* MERGEFORMAT </w:instrText>
      </w:r>
      <w:r>
        <w:rPr>
          <w:rFonts w:hint="default" w:ascii="Times New Roman" w:hAnsi="Times New Roman" w:eastAsia="宋体" w:cs="Times New Roman"/>
          <w:snapToGrid w:val="0"/>
          <w:color w:val="auto"/>
          <w:spacing w:val="-6"/>
          <w:kern w:val="21"/>
          <w:sz w:val="24"/>
          <w:szCs w:val="24"/>
          <w:highlight w:val="none"/>
        </w:rPr>
        <w:fldChar w:fldCharType="separate"/>
      </w:r>
      <w:r>
        <w:rPr>
          <w:rFonts w:hint="default" w:ascii="Times New Roman" w:hAnsi="Times New Roman" w:eastAsia="宋体" w:cs="Times New Roman"/>
          <w:color w:val="auto"/>
          <w:sz w:val="24"/>
          <w:szCs w:val="24"/>
          <w:highlight w:val="none"/>
        </w:rPr>
        <w:t>①</w:t>
      </w:r>
      <w:r>
        <w:rPr>
          <w:rFonts w:hint="default" w:ascii="Times New Roman" w:hAnsi="Times New Roman" w:eastAsia="宋体" w:cs="Times New Roman"/>
          <w:snapToGrid w:val="0"/>
          <w:color w:val="auto"/>
          <w:spacing w:val="-6"/>
          <w:kern w:val="21"/>
          <w:sz w:val="24"/>
          <w:szCs w:val="24"/>
          <w:highlight w:val="none"/>
        </w:rPr>
        <w:fldChar w:fldCharType="end"/>
      </w:r>
    </w:p>
    <w:p w14:paraId="295217E6">
      <w:pPr>
        <w:pStyle w:val="20"/>
        <w:adjustRightInd w:val="0"/>
        <w:snapToGrid w:val="0"/>
        <w:spacing w:before="0" w:beforeAutospacing="0" w:after="0" w:afterAutospacing="0"/>
        <w:jc w:val="both"/>
        <w:outlineLvl w:val="0"/>
        <w:rPr>
          <w:rFonts w:hint="default" w:ascii="Times New Roman" w:hAnsi="Times New Roman" w:eastAsia="宋体" w:cs="Times New Roman"/>
          <w:b/>
          <w:color w:val="auto"/>
          <w:sz w:val="36"/>
          <w:szCs w:val="36"/>
          <w:highlight w:val="none"/>
          <w:lang w:val="en-US" w:eastAsia="zh-CN"/>
        </w:rPr>
      </w:pPr>
    </w:p>
    <w:p w14:paraId="5A07DDD9">
      <w:pPr>
        <w:pStyle w:val="20"/>
        <w:adjustRightInd w:val="0"/>
        <w:snapToGrid w:val="0"/>
        <w:spacing w:before="0" w:beforeAutospacing="0" w:after="0" w:afterAutospacing="0"/>
        <w:jc w:val="both"/>
        <w:outlineLvl w:val="0"/>
        <w:rPr>
          <w:rFonts w:hint="default" w:ascii="Times New Roman" w:hAnsi="Times New Roman" w:eastAsia="宋体" w:cs="Times New Roman"/>
          <w:b/>
          <w:color w:val="auto"/>
          <w:sz w:val="36"/>
          <w:szCs w:val="36"/>
          <w:highlight w:val="none"/>
          <w:lang w:val="en-US"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5138158A">
      <w:pPr>
        <w:rPr>
          <w:rFonts w:hint="eastAsia"/>
          <w:color w:val="auto"/>
          <w:lang w:val="en-US" w:eastAsia="zh-CN"/>
        </w:rPr>
      </w:pPr>
      <w:r>
        <w:rPr>
          <w:rFonts w:hint="eastAsia"/>
          <w:b/>
          <w:bCs/>
          <w:color w:val="auto"/>
          <w:sz w:val="24"/>
          <w:szCs w:val="24"/>
          <w:lang w:val="en-US" w:eastAsia="zh-CN"/>
        </w:rPr>
        <w:t>附图</w:t>
      </w:r>
    </w:p>
    <w:p w14:paraId="2A840484">
      <w:pPr>
        <w:spacing w:line="360" w:lineRule="auto"/>
        <w:rPr>
          <w:rFonts w:hint="eastAsia"/>
          <w:color w:val="auto"/>
          <w:sz w:val="24"/>
          <w:szCs w:val="24"/>
          <w:lang w:val="en-US" w:eastAsia="zh-CN"/>
        </w:rPr>
      </w:pPr>
      <w:r>
        <w:rPr>
          <w:rFonts w:hint="eastAsia"/>
          <w:color w:val="auto"/>
          <w:sz w:val="24"/>
          <w:szCs w:val="24"/>
          <w:lang w:val="en-US" w:eastAsia="zh-CN"/>
        </w:rPr>
        <w:t>附图1项目地理位置示意图</w:t>
      </w:r>
    </w:p>
    <w:p w14:paraId="0E3A572B">
      <w:pPr>
        <w:spacing w:line="360" w:lineRule="auto"/>
        <w:rPr>
          <w:rFonts w:hint="eastAsia"/>
          <w:color w:val="auto"/>
          <w:sz w:val="24"/>
          <w:szCs w:val="24"/>
          <w:lang w:val="en-US" w:eastAsia="zh-CN"/>
        </w:rPr>
      </w:pPr>
      <w:r>
        <w:rPr>
          <w:rFonts w:hint="eastAsia"/>
          <w:color w:val="auto"/>
          <w:sz w:val="24"/>
          <w:szCs w:val="24"/>
          <w:lang w:val="en-US" w:eastAsia="zh-CN"/>
        </w:rPr>
        <w:t>附图2项目周边关系图</w:t>
      </w:r>
    </w:p>
    <w:p w14:paraId="48B263DD">
      <w:pPr>
        <w:spacing w:line="360" w:lineRule="auto"/>
        <w:rPr>
          <w:rFonts w:hint="default"/>
          <w:color w:val="auto"/>
          <w:sz w:val="24"/>
          <w:szCs w:val="24"/>
          <w:lang w:val="en-US" w:eastAsia="zh-CN"/>
        </w:rPr>
      </w:pPr>
      <w:r>
        <w:rPr>
          <w:rFonts w:hint="eastAsia"/>
          <w:color w:val="auto"/>
          <w:sz w:val="24"/>
          <w:szCs w:val="24"/>
          <w:lang w:val="en-US" w:eastAsia="zh-CN"/>
        </w:rPr>
        <w:t>附图3项目平面布局图</w:t>
      </w:r>
    </w:p>
    <w:p w14:paraId="49E35F7C">
      <w:pPr>
        <w:spacing w:line="360" w:lineRule="auto"/>
        <w:rPr>
          <w:rFonts w:hint="default"/>
          <w:color w:val="auto"/>
          <w:sz w:val="24"/>
          <w:szCs w:val="24"/>
          <w:lang w:val="en-US" w:eastAsia="zh-CN"/>
        </w:rPr>
      </w:pPr>
      <w:r>
        <w:rPr>
          <w:rFonts w:hint="eastAsia"/>
          <w:color w:val="auto"/>
          <w:sz w:val="24"/>
          <w:szCs w:val="24"/>
          <w:lang w:val="en-US" w:eastAsia="zh-CN"/>
        </w:rPr>
        <w:t>附图4项目周边敏感目标分布图</w:t>
      </w:r>
    </w:p>
    <w:p w14:paraId="064A03BB">
      <w:pPr>
        <w:rPr>
          <w:rFonts w:hint="eastAsia"/>
          <w:color w:val="auto"/>
          <w:lang w:val="en-US" w:eastAsia="zh-CN"/>
        </w:rPr>
      </w:pPr>
    </w:p>
    <w:p w14:paraId="036C8A3C">
      <w:pPr>
        <w:rPr>
          <w:rFonts w:hint="default"/>
          <w:b/>
          <w:bCs/>
          <w:color w:val="auto"/>
          <w:sz w:val="24"/>
          <w:szCs w:val="24"/>
          <w:lang w:val="en-US" w:eastAsia="zh-CN"/>
        </w:rPr>
      </w:pPr>
      <w:r>
        <w:rPr>
          <w:rFonts w:hint="eastAsia"/>
          <w:b/>
          <w:bCs/>
          <w:color w:val="auto"/>
          <w:sz w:val="24"/>
          <w:szCs w:val="24"/>
          <w:lang w:val="en-US" w:eastAsia="zh-CN"/>
        </w:rPr>
        <w:t>附件</w:t>
      </w:r>
    </w:p>
    <w:p w14:paraId="5CE7AC54">
      <w:pPr>
        <w:spacing w:line="360" w:lineRule="auto"/>
        <w:rPr>
          <w:rFonts w:hint="eastAsia"/>
          <w:color w:val="auto"/>
          <w:sz w:val="24"/>
          <w:szCs w:val="24"/>
          <w:lang w:val="en-US" w:eastAsia="zh-CN"/>
        </w:rPr>
      </w:pPr>
      <w:r>
        <w:rPr>
          <w:rFonts w:hint="eastAsia"/>
          <w:color w:val="auto"/>
          <w:sz w:val="24"/>
          <w:szCs w:val="24"/>
          <w:lang w:val="en-US" w:eastAsia="zh-CN"/>
        </w:rPr>
        <w:t>附件1营业执照</w:t>
      </w:r>
    </w:p>
    <w:p w14:paraId="142887CE">
      <w:pPr>
        <w:spacing w:line="360" w:lineRule="auto"/>
        <w:rPr>
          <w:rFonts w:hint="eastAsia"/>
          <w:color w:val="auto"/>
          <w:sz w:val="24"/>
          <w:szCs w:val="24"/>
          <w:lang w:val="en-US" w:eastAsia="zh-CN"/>
        </w:rPr>
      </w:pPr>
      <w:r>
        <w:rPr>
          <w:rFonts w:hint="eastAsia"/>
          <w:color w:val="auto"/>
          <w:sz w:val="24"/>
          <w:szCs w:val="24"/>
          <w:lang w:val="en-US" w:eastAsia="zh-CN"/>
        </w:rPr>
        <w:t>附件2房产证</w:t>
      </w:r>
    </w:p>
    <w:p w14:paraId="63CC9A37">
      <w:pPr>
        <w:spacing w:line="360" w:lineRule="auto"/>
        <w:rPr>
          <w:rFonts w:hint="eastAsia"/>
          <w:color w:val="auto"/>
          <w:sz w:val="24"/>
          <w:szCs w:val="24"/>
          <w:lang w:val="en-US" w:eastAsia="zh-CN"/>
        </w:rPr>
      </w:pPr>
      <w:r>
        <w:rPr>
          <w:rFonts w:hint="eastAsia"/>
          <w:color w:val="auto"/>
          <w:sz w:val="24"/>
          <w:szCs w:val="24"/>
          <w:lang w:val="en-US" w:eastAsia="zh-CN"/>
        </w:rPr>
        <w:t>附件3危废处置合同</w:t>
      </w:r>
    </w:p>
    <w:p w14:paraId="17D9AFDC">
      <w:pPr>
        <w:spacing w:line="360" w:lineRule="auto"/>
        <w:rPr>
          <w:rFonts w:hint="default"/>
          <w:color w:val="auto"/>
          <w:sz w:val="24"/>
          <w:szCs w:val="24"/>
          <w:lang w:val="en-US" w:eastAsia="zh-CN"/>
        </w:rPr>
      </w:pPr>
    </w:p>
    <w:sectPr>
      <w:footerReference r:id="rId5"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Unicode MS">
    <w:panose1 w:val="020B0604020202020204"/>
    <w:charset w:val="86"/>
    <w:family w:val="roman"/>
    <w:pitch w:val="default"/>
    <w:sig w:usb0="F7FFAEFF" w:usb1="F9DFFFFF" w:usb2="0000007F" w:usb3="00000000" w:csb0="203F01FF" w:csb1="DFFF0000"/>
  </w:font>
  <w:font w:name="TimesNewRoman">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Calibri Light">
    <w:panose1 w:val="020F0302020204030204"/>
    <w:charset w:val="00"/>
    <w:family w:val="auto"/>
    <w:pitch w:val="default"/>
    <w:sig w:usb0="E4002EFF" w:usb1="C000247B" w:usb2="00000009" w:usb3="00000000" w:csb0="200001FF"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BF2B62">
    <w:pPr>
      <w:pStyle w:val="14"/>
      <w:tabs>
        <w:tab w:val="center" w:pos="4422"/>
        <w:tab w:val="clear" w:pos="4153"/>
      </w:tabs>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F1EB4F">
                          <w:pPr>
                            <w:pStyle w:val="14"/>
                            <w:rPr>
                              <w:sz w:val="32"/>
                              <w:szCs w:val="36"/>
                            </w:rPr>
                          </w:pPr>
                          <w:r>
                            <w:rPr>
                              <w:sz w:val="32"/>
                              <w:szCs w:val="36"/>
                            </w:rPr>
                            <w:t xml:space="preserve">— </w:t>
                          </w:r>
                          <w:r>
                            <w:rPr>
                              <w:sz w:val="32"/>
                              <w:szCs w:val="36"/>
                            </w:rPr>
                            <w:fldChar w:fldCharType="begin"/>
                          </w:r>
                          <w:r>
                            <w:rPr>
                              <w:sz w:val="32"/>
                              <w:szCs w:val="36"/>
                            </w:rPr>
                            <w:instrText xml:space="preserve"> PAGE  \* MERGEFORMAT </w:instrText>
                          </w:r>
                          <w:r>
                            <w:rPr>
                              <w:sz w:val="32"/>
                              <w:szCs w:val="36"/>
                            </w:rPr>
                            <w:fldChar w:fldCharType="separate"/>
                          </w:r>
                          <w:r>
                            <w:rPr>
                              <w:sz w:val="32"/>
                              <w:szCs w:val="36"/>
                            </w:rPr>
                            <w:t>1</w:t>
                          </w:r>
                          <w:r>
                            <w:rPr>
                              <w:sz w:val="32"/>
                              <w:szCs w:val="36"/>
                            </w:rPr>
                            <w:fldChar w:fldCharType="end"/>
                          </w:r>
                          <w:r>
                            <w:rPr>
                              <w:sz w:val="32"/>
                              <w:szCs w:val="36"/>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QaAL0tAgAAVwQAAA4AAABkcnMvZTJvRG9jLnhtbK1UzY7TMBC+I/EO&#10;lu80aRd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69pkQzhYqfvn87&#10;/fh1+vmV4AwCtdbPEPdgERm6t6ZD2wznHoeRd1c5Fb9gROCHvMeLvKILhMdL08l0msPF4Rs2wM8e&#10;r1vnwzthFIlGQR3ql2Rlh40PfegQErNps26kTDWUmrQFvb56k6cLFw/ApUaOSKJ/bLRCt+3OzLam&#10;PIKYM31veMvXDZJvmA/3zKEZ8GCMS7jDUkmDJOZsUVIb9+Vf5zEeNYKXkhbNVVCNWaJEvteoHQDD&#10;YLjB2A6G3qtbg24dYwwtTyYuuCAHs3JGfcYMLWMOuJjmyFTQMJi3oW9wzCAXy2UKQrdZFjb6wfII&#10;HcXzdrkPEDDpGkXplThrhX5LlTnPRmzoP/cp6vF/sPg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EQaAL0tAgAAVwQAAA4AAAAAAAAAAQAgAAAAHwEAAGRycy9lMm9Eb2MueG1sUEsFBgAAAAAG&#10;AAYAWQEAAL4FAAAAAA==&#10;">
              <v:fill on="f" focussize="0,0"/>
              <v:stroke on="f" weight="0.5pt"/>
              <v:imagedata o:title=""/>
              <o:lock v:ext="edit" aspectratio="f"/>
              <v:textbox inset="0mm,0mm,0mm,0mm" style="mso-fit-shape-to-text:t;">
                <w:txbxContent>
                  <w:p w14:paraId="78F1EB4F">
                    <w:pPr>
                      <w:pStyle w:val="14"/>
                      <w:rPr>
                        <w:sz w:val="32"/>
                        <w:szCs w:val="36"/>
                      </w:rPr>
                    </w:pPr>
                    <w:r>
                      <w:rPr>
                        <w:sz w:val="32"/>
                        <w:szCs w:val="36"/>
                      </w:rPr>
                      <w:t xml:space="preserve">— </w:t>
                    </w:r>
                    <w:r>
                      <w:rPr>
                        <w:sz w:val="32"/>
                        <w:szCs w:val="36"/>
                      </w:rPr>
                      <w:fldChar w:fldCharType="begin"/>
                    </w:r>
                    <w:r>
                      <w:rPr>
                        <w:sz w:val="32"/>
                        <w:szCs w:val="36"/>
                      </w:rPr>
                      <w:instrText xml:space="preserve"> PAGE  \* MERGEFORMAT </w:instrText>
                    </w:r>
                    <w:r>
                      <w:rPr>
                        <w:sz w:val="32"/>
                        <w:szCs w:val="36"/>
                      </w:rPr>
                      <w:fldChar w:fldCharType="separate"/>
                    </w:r>
                    <w:r>
                      <w:rPr>
                        <w:sz w:val="32"/>
                        <w:szCs w:val="36"/>
                      </w:rPr>
                      <w:t>1</w:t>
                    </w:r>
                    <w:r>
                      <w:rPr>
                        <w:sz w:val="32"/>
                        <w:szCs w:val="36"/>
                      </w:rPr>
                      <w:fldChar w:fldCharType="end"/>
                    </w:r>
                    <w:r>
                      <w:rPr>
                        <w:sz w:val="32"/>
                        <w:szCs w:val="36"/>
                      </w:rPr>
                      <w:t xml:space="preserve"> —</w:t>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8C5AB4">
                          <w:pPr>
                            <w:pStyle w:val="14"/>
                            <w:rPr>
                              <w:sz w:val="28"/>
                              <w:szCs w:val="28"/>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078C5AB4">
                    <w:pPr>
                      <w:pStyle w:val="14"/>
                      <w:rPr>
                        <w:sz w:val="28"/>
                        <w:szCs w:val="28"/>
                      </w:rPr>
                    </w:pPr>
                  </w:p>
                </w:txbxContent>
              </v:textbox>
            </v:shape>
          </w:pict>
        </mc:Fallback>
      </mc:AlternateContent>
    </w: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E00E57">
    <w:pPr>
      <w:pStyle w:val="14"/>
      <w:ind w:firstLine="360"/>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14397D1">
                          <w:pPr>
                            <w:pStyle w:val="14"/>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24</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owfDAyAgAAZQQAAA4AAABkcnMvZTJvRG9jLnhtbK1UzY7TMBC+I/EO&#10;lu80bRFVVTVdla2KkCp2pQVxdh2nieQ/2W6T8gDwBpy4cOe5+hx8dpIuWjjsgUs69oy/me+bmS5v&#10;WiXJSThfG53TyWhMidDcFLU+5PTTx+2rOSU+MF0wabTI6Vl4erN6+WLZ2IWYmsrIQjgCEO0Xjc1p&#10;FYJdZJnnlVDMj4wVGs7SOMUCju6QFY41QFcym47Hs6wxrrDOcOE9bjedk/aI7jmApixrLjaGH5XQ&#10;oUN1QrIASr6qraerVG1ZCh7uytKLQGROwTSkL5LA3sdvtlqyxcExW9W8L4E9p4QnnBSrNZJeoTYs&#10;MHJ09V9QqubOeFOGETcq64gkRcBiMn6izUPFrEhcILW3V9H9/4PlH073jtRFTqczSjRT6Pjl+7fL&#10;j1+Xn18J7iBQY/0CcQ8WkaF9a1qMzXDvcRl5t6VT8ReMCPyQ93yVV7SB8PhoPp3Px3Bx+IYD8LPH&#10;59b58E4YRaKRU4f+JVnZaedDFzqExGzabGspUw+lJk1OZ6/fjNODqwfgUsdYkaahh4mUutKjFdp9&#10;2/Pcm+IMms50k+It39YoZcd8uGcOo4HysTzhDp9SGqQ0vUVJZdyXf93HeHQMXkoajFpONTaLEvle&#10;o5MADIPhBmM/GPqobg1md4KltDyZeOCCHMzSGfUZG7WOOeBimiNTTsNg3oZu3LGRXKzXKQizZ1nY&#10;6QfLI3SUx9v1MUDOpHIUpVMC3YkHTF/qU78pcbz/PKeox3+H1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yjB8MDICAABlBAAADgAAAAAAAAABACAAAAAfAQAAZHJzL2Uyb0RvYy54bWxQSwUG&#10;AAAAAAYABgBZAQAAwwUAAAAA&#10;">
              <v:fill on="f" focussize="0,0"/>
              <v:stroke on="f" weight="0.5pt"/>
              <v:imagedata o:title=""/>
              <o:lock v:ext="edit" aspectratio="f"/>
              <v:textbox inset="0mm,0mm,0mm,0mm" style="mso-fit-shape-to-text:t;">
                <w:txbxContent>
                  <w:p w14:paraId="214397D1">
                    <w:pPr>
                      <w:pStyle w:val="14"/>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24</w:t>
                    </w:r>
                    <w:r>
                      <w:rPr>
                        <w:sz w:val="28"/>
                        <w:szCs w:val="28"/>
                      </w:rPr>
                      <w:fldChar w:fldCharType="end"/>
                    </w:r>
                    <w:r>
                      <w:rPr>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BBAA6B">
    <w:r>
      <w:pict>
        <v:shape id="IPGWMV_P-BB50_T-3_U-94D9AAC8" o:spid="_x0000_s2049" o:spt="75" alt="IPGWMV_P-BB50_T-3_U-94D9AAC8" type="#_x0000_t75" style="position:absolute;left:0pt;margin-left:0pt;margin-top:0pt;height:840pt;width:594pt;mso-position-horizontal-relative:page;mso-position-vertical-relative:page;z-index:-251657216;mso-width-relative:page;mso-height-relative:page;" filled="f" stroked="f" coordsize="21600,21600">
          <v:path/>
          <v:fill on="f" focussize="0,0"/>
          <v:stroke on="f"/>
          <v:imagedata r:id="rId1" o:title="QK-C561E1DC-B45C7407-DE741D22-319-461.png"/>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CA49F6"/>
    <w:multiLevelType w:val="singleLevel"/>
    <w:tmpl w:val="82CA49F6"/>
    <w:lvl w:ilvl="0" w:tentative="0">
      <w:start w:val="1"/>
      <w:numFmt w:val="decimal"/>
      <w:lvlText w:val="表2-%1"/>
      <w:lvlJc w:val="left"/>
      <w:pPr>
        <w:tabs>
          <w:tab w:val="left" w:pos="420"/>
        </w:tabs>
        <w:ind w:left="425" w:hanging="425"/>
      </w:pPr>
      <w:rPr>
        <w:rFonts w:hint="default"/>
        <w:b/>
        <w:bCs/>
        <w:color w:val="auto"/>
      </w:rPr>
    </w:lvl>
  </w:abstractNum>
  <w:abstractNum w:abstractNumId="1">
    <w:nsid w:val="8F6CC6E6"/>
    <w:multiLevelType w:val="singleLevel"/>
    <w:tmpl w:val="8F6CC6E6"/>
    <w:lvl w:ilvl="0" w:tentative="0">
      <w:start w:val="1"/>
      <w:numFmt w:val="chineseCounting"/>
      <w:suff w:val="nothing"/>
      <w:lvlText w:val="%1、"/>
      <w:lvlJc w:val="left"/>
      <w:rPr>
        <w:rFonts w:hint="eastAsia"/>
      </w:rPr>
    </w:lvl>
  </w:abstractNum>
  <w:abstractNum w:abstractNumId="2">
    <w:nsid w:val="9A9116C9"/>
    <w:multiLevelType w:val="singleLevel"/>
    <w:tmpl w:val="9A9116C9"/>
    <w:lvl w:ilvl="0" w:tentative="0">
      <w:start w:val="1"/>
      <w:numFmt w:val="decimalEnclosedCircleChinese"/>
      <w:suff w:val="nothing"/>
      <w:lvlText w:val="%1　"/>
      <w:lvlJc w:val="left"/>
      <w:pPr>
        <w:ind w:left="0" w:firstLine="400"/>
      </w:pPr>
      <w:rPr>
        <w:rFonts w:hint="eastAsia"/>
      </w:rPr>
    </w:lvl>
  </w:abstractNum>
  <w:abstractNum w:abstractNumId="3">
    <w:nsid w:val="A377B6BD"/>
    <w:multiLevelType w:val="singleLevel"/>
    <w:tmpl w:val="A377B6BD"/>
    <w:lvl w:ilvl="0" w:tentative="0">
      <w:start w:val="1"/>
      <w:numFmt w:val="chineseCounting"/>
      <w:suff w:val="nothing"/>
      <w:lvlText w:val="%1、"/>
      <w:lvlJc w:val="left"/>
      <w:pPr>
        <w:ind w:left="0" w:firstLine="420"/>
      </w:pPr>
      <w:rPr>
        <w:rFonts w:hint="eastAsia"/>
      </w:rPr>
    </w:lvl>
  </w:abstractNum>
  <w:abstractNum w:abstractNumId="4">
    <w:nsid w:val="A6FB92C4"/>
    <w:multiLevelType w:val="singleLevel"/>
    <w:tmpl w:val="A6FB92C4"/>
    <w:lvl w:ilvl="0" w:tentative="0">
      <w:start w:val="1"/>
      <w:numFmt w:val="decimal"/>
      <w:lvlText w:val="%1"/>
      <w:lvlJc w:val="left"/>
      <w:pPr>
        <w:tabs>
          <w:tab w:val="left" w:pos="420"/>
        </w:tabs>
        <w:ind w:left="425" w:leftChars="0" w:hanging="425" w:firstLineChars="0"/>
      </w:pPr>
      <w:rPr>
        <w:rFonts w:hint="default"/>
      </w:rPr>
    </w:lvl>
  </w:abstractNum>
  <w:abstractNum w:abstractNumId="5">
    <w:nsid w:val="BD73F333"/>
    <w:multiLevelType w:val="singleLevel"/>
    <w:tmpl w:val="BD73F333"/>
    <w:lvl w:ilvl="0" w:tentative="0">
      <w:start w:val="1"/>
      <w:numFmt w:val="decimal"/>
      <w:lvlText w:val="图2-%1"/>
      <w:lvlJc w:val="left"/>
      <w:pPr>
        <w:tabs>
          <w:tab w:val="left" w:pos="420"/>
        </w:tabs>
        <w:ind w:left="425" w:leftChars="0" w:hanging="425" w:firstLineChars="0"/>
      </w:pPr>
      <w:rPr>
        <w:rFonts w:hint="default"/>
        <w:b/>
        <w:bCs/>
      </w:rPr>
    </w:lvl>
  </w:abstractNum>
  <w:abstractNum w:abstractNumId="6">
    <w:nsid w:val="C6484467"/>
    <w:multiLevelType w:val="singleLevel"/>
    <w:tmpl w:val="C6484467"/>
    <w:lvl w:ilvl="0" w:tentative="0">
      <w:start w:val="1"/>
      <w:numFmt w:val="decimalEnclosedCircleChinese"/>
      <w:suff w:val="nothing"/>
      <w:lvlText w:val="%1　"/>
      <w:lvlJc w:val="left"/>
      <w:pPr>
        <w:ind w:left="0" w:firstLine="400"/>
      </w:pPr>
      <w:rPr>
        <w:rFonts w:hint="eastAsia"/>
      </w:rPr>
    </w:lvl>
  </w:abstractNum>
  <w:abstractNum w:abstractNumId="7">
    <w:nsid w:val="D2E66460"/>
    <w:multiLevelType w:val="singleLevel"/>
    <w:tmpl w:val="D2E66460"/>
    <w:lvl w:ilvl="0" w:tentative="0">
      <w:start w:val="1"/>
      <w:numFmt w:val="decimal"/>
      <w:lvlText w:val="图1-%1"/>
      <w:lvlJc w:val="left"/>
      <w:pPr>
        <w:tabs>
          <w:tab w:val="left" w:pos="420"/>
        </w:tabs>
        <w:ind w:left="425" w:leftChars="0" w:hanging="425" w:firstLineChars="0"/>
      </w:pPr>
      <w:rPr>
        <w:rFonts w:hint="default"/>
        <w:b/>
        <w:bCs/>
        <w:sz w:val="24"/>
        <w:szCs w:val="24"/>
      </w:rPr>
    </w:lvl>
  </w:abstractNum>
  <w:abstractNum w:abstractNumId="8">
    <w:nsid w:val="E23D0A08"/>
    <w:multiLevelType w:val="singleLevel"/>
    <w:tmpl w:val="E23D0A08"/>
    <w:lvl w:ilvl="0" w:tentative="0">
      <w:start w:val="2"/>
      <w:numFmt w:val="decimal"/>
      <w:suff w:val="nothing"/>
      <w:lvlText w:val="%1）"/>
      <w:lvlJc w:val="left"/>
    </w:lvl>
  </w:abstractNum>
  <w:abstractNum w:abstractNumId="9">
    <w:nsid w:val="EF7F2199"/>
    <w:multiLevelType w:val="singleLevel"/>
    <w:tmpl w:val="EF7F2199"/>
    <w:lvl w:ilvl="0" w:tentative="0">
      <w:start w:val="1"/>
      <w:numFmt w:val="decimalEnclosedCircleChinese"/>
      <w:suff w:val="nothing"/>
      <w:lvlText w:val="%1　"/>
      <w:lvlJc w:val="left"/>
      <w:pPr>
        <w:ind w:left="0" w:firstLine="400"/>
      </w:pPr>
      <w:rPr>
        <w:rFonts w:hint="eastAsia"/>
      </w:rPr>
    </w:lvl>
  </w:abstractNum>
  <w:abstractNum w:abstractNumId="10">
    <w:nsid w:val="F7D767D8"/>
    <w:multiLevelType w:val="singleLevel"/>
    <w:tmpl w:val="F7D767D8"/>
    <w:lvl w:ilvl="0" w:tentative="0">
      <w:start w:val="1"/>
      <w:numFmt w:val="decimal"/>
      <w:suff w:val="nothing"/>
      <w:lvlText w:val="%1　"/>
      <w:lvlJc w:val="left"/>
      <w:pPr>
        <w:ind w:left="0" w:firstLine="0"/>
      </w:pPr>
      <w:rPr>
        <w:rFonts w:hint="default" w:ascii="Times New Roman" w:hAnsi="Times New Roman" w:cs="Times New Roman"/>
        <w:snapToGrid w:val="0"/>
        <w:color w:val="auto"/>
        <w:spacing w:val="-20"/>
        <w:sz w:val="18"/>
        <w:szCs w:val="18"/>
        <w:highlight w:val="none"/>
      </w:rPr>
    </w:lvl>
  </w:abstractNum>
  <w:abstractNum w:abstractNumId="11">
    <w:nsid w:val="00914AB5"/>
    <w:multiLevelType w:val="singleLevel"/>
    <w:tmpl w:val="00914AB5"/>
    <w:lvl w:ilvl="0" w:tentative="0">
      <w:start w:val="1"/>
      <w:numFmt w:val="decimal"/>
      <w:lvlText w:val="%1"/>
      <w:lvlJc w:val="left"/>
      <w:pPr>
        <w:tabs>
          <w:tab w:val="left" w:pos="420"/>
        </w:tabs>
        <w:ind w:left="425" w:leftChars="0" w:hanging="425" w:firstLineChars="0"/>
      </w:pPr>
      <w:rPr>
        <w:rFonts w:hint="default"/>
      </w:rPr>
    </w:lvl>
  </w:abstractNum>
  <w:abstractNum w:abstractNumId="12">
    <w:nsid w:val="0A37CA6C"/>
    <w:multiLevelType w:val="singleLevel"/>
    <w:tmpl w:val="0A37CA6C"/>
    <w:lvl w:ilvl="0" w:tentative="0">
      <w:start w:val="1"/>
      <w:numFmt w:val="decimal"/>
      <w:suff w:val="nothing"/>
      <w:lvlText w:val="%1、"/>
      <w:lvlJc w:val="left"/>
    </w:lvl>
  </w:abstractNum>
  <w:abstractNum w:abstractNumId="13">
    <w:nsid w:val="0A7AB26C"/>
    <w:multiLevelType w:val="singleLevel"/>
    <w:tmpl w:val="0A7AB26C"/>
    <w:lvl w:ilvl="0" w:tentative="0">
      <w:start w:val="2"/>
      <w:numFmt w:val="decimal"/>
      <w:suff w:val="nothing"/>
      <w:lvlText w:val="%1、"/>
      <w:lvlJc w:val="left"/>
    </w:lvl>
  </w:abstractNum>
  <w:abstractNum w:abstractNumId="14">
    <w:nsid w:val="10CB2A01"/>
    <w:multiLevelType w:val="singleLevel"/>
    <w:tmpl w:val="10CB2A01"/>
    <w:lvl w:ilvl="0" w:tentative="0">
      <w:start w:val="1"/>
      <w:numFmt w:val="decimalEnclosedCircleChinese"/>
      <w:suff w:val="nothing"/>
      <w:lvlText w:val="%1　"/>
      <w:lvlJc w:val="left"/>
      <w:pPr>
        <w:ind w:left="0" w:firstLine="400"/>
      </w:pPr>
      <w:rPr>
        <w:rFonts w:hint="eastAsia"/>
      </w:rPr>
    </w:lvl>
  </w:abstractNum>
  <w:abstractNum w:abstractNumId="15">
    <w:nsid w:val="11F1F12A"/>
    <w:multiLevelType w:val="singleLevel"/>
    <w:tmpl w:val="11F1F12A"/>
    <w:lvl w:ilvl="0" w:tentative="0">
      <w:start w:val="1"/>
      <w:numFmt w:val="decimal"/>
      <w:lvlText w:val="%1"/>
      <w:lvlJc w:val="left"/>
      <w:pPr>
        <w:tabs>
          <w:tab w:val="left" w:pos="420"/>
        </w:tabs>
        <w:ind w:left="425" w:leftChars="0" w:hanging="425" w:firstLineChars="0"/>
      </w:pPr>
      <w:rPr>
        <w:rFonts w:hint="default"/>
      </w:rPr>
    </w:lvl>
  </w:abstractNum>
  <w:abstractNum w:abstractNumId="16">
    <w:nsid w:val="18CF62C4"/>
    <w:multiLevelType w:val="singleLevel"/>
    <w:tmpl w:val="18CF62C4"/>
    <w:lvl w:ilvl="0" w:tentative="0">
      <w:start w:val="1"/>
      <w:numFmt w:val="chineseCounting"/>
      <w:suff w:val="nothing"/>
      <w:lvlText w:val="%1、"/>
      <w:lvlJc w:val="left"/>
      <w:pPr>
        <w:ind w:left="-420" w:firstLine="420"/>
      </w:pPr>
      <w:rPr>
        <w:rFonts w:hint="eastAsia"/>
        <w:b/>
        <w:bCs/>
        <w:sz w:val="24"/>
        <w:szCs w:val="24"/>
      </w:rPr>
    </w:lvl>
  </w:abstractNum>
  <w:abstractNum w:abstractNumId="17">
    <w:nsid w:val="2A293518"/>
    <w:multiLevelType w:val="singleLevel"/>
    <w:tmpl w:val="2A293518"/>
    <w:lvl w:ilvl="0" w:tentative="0">
      <w:start w:val="1"/>
      <w:numFmt w:val="decimal"/>
      <w:lvlText w:val="表5-%1"/>
      <w:lvlJc w:val="left"/>
      <w:pPr>
        <w:tabs>
          <w:tab w:val="left" w:pos="420"/>
        </w:tabs>
        <w:ind w:left="425" w:leftChars="0" w:hanging="425" w:firstLineChars="0"/>
      </w:pPr>
      <w:rPr>
        <w:rFonts w:hint="default"/>
        <w:b/>
        <w:bCs/>
      </w:rPr>
    </w:lvl>
  </w:abstractNum>
  <w:abstractNum w:abstractNumId="18">
    <w:nsid w:val="37002C56"/>
    <w:multiLevelType w:val="singleLevel"/>
    <w:tmpl w:val="37002C56"/>
    <w:lvl w:ilvl="0" w:tentative="0">
      <w:start w:val="1"/>
      <w:numFmt w:val="chineseCounting"/>
      <w:suff w:val="nothing"/>
      <w:lvlText w:val="%1、"/>
      <w:lvlJc w:val="left"/>
      <w:pPr>
        <w:ind w:left="-442" w:firstLine="420"/>
      </w:pPr>
      <w:rPr>
        <w:rFonts w:hint="eastAsia"/>
      </w:rPr>
    </w:lvl>
  </w:abstractNum>
  <w:abstractNum w:abstractNumId="19">
    <w:nsid w:val="390F296A"/>
    <w:multiLevelType w:val="singleLevel"/>
    <w:tmpl w:val="390F296A"/>
    <w:lvl w:ilvl="0" w:tentative="0">
      <w:start w:val="1"/>
      <w:numFmt w:val="decimalEnclosedCircleChinese"/>
      <w:suff w:val="nothing"/>
      <w:lvlText w:val="%1　"/>
      <w:lvlJc w:val="left"/>
      <w:pPr>
        <w:ind w:left="0" w:firstLine="400"/>
      </w:pPr>
      <w:rPr>
        <w:rFonts w:hint="eastAsia"/>
      </w:rPr>
    </w:lvl>
  </w:abstractNum>
  <w:abstractNum w:abstractNumId="20">
    <w:nsid w:val="46E5DCD5"/>
    <w:multiLevelType w:val="singleLevel"/>
    <w:tmpl w:val="46E5DCD5"/>
    <w:lvl w:ilvl="0" w:tentative="0">
      <w:start w:val="1"/>
      <w:numFmt w:val="decimal"/>
      <w:suff w:val="space"/>
      <w:lvlText w:val="表3-%1"/>
      <w:lvlJc w:val="left"/>
      <w:pPr>
        <w:ind w:left="425" w:hanging="425"/>
      </w:pPr>
      <w:rPr>
        <w:rFonts w:hint="default"/>
        <w:b/>
        <w:bCs/>
        <w:color w:val="auto"/>
        <w:sz w:val="24"/>
        <w:szCs w:val="24"/>
      </w:rPr>
    </w:lvl>
  </w:abstractNum>
  <w:abstractNum w:abstractNumId="21">
    <w:nsid w:val="495C44B5"/>
    <w:multiLevelType w:val="singleLevel"/>
    <w:tmpl w:val="495C44B5"/>
    <w:lvl w:ilvl="0" w:tentative="0">
      <w:start w:val="1"/>
      <w:numFmt w:val="decimal"/>
      <w:suff w:val="nothing"/>
      <w:lvlText w:val="（%1）"/>
      <w:lvlJc w:val="left"/>
      <w:rPr>
        <w:rFonts w:hint="default"/>
        <w:b/>
        <w:bCs/>
      </w:rPr>
    </w:lvl>
  </w:abstractNum>
  <w:abstractNum w:abstractNumId="22">
    <w:nsid w:val="5887DB75"/>
    <w:multiLevelType w:val="singleLevel"/>
    <w:tmpl w:val="5887DB75"/>
    <w:lvl w:ilvl="0" w:tentative="0">
      <w:start w:val="1"/>
      <w:numFmt w:val="decimal"/>
      <w:lvlText w:val="表1-%1"/>
      <w:lvlJc w:val="left"/>
      <w:pPr>
        <w:tabs>
          <w:tab w:val="left" w:pos="420"/>
        </w:tabs>
        <w:ind w:left="425" w:leftChars="0" w:hanging="425" w:firstLineChars="0"/>
      </w:pPr>
      <w:rPr>
        <w:rFonts w:hint="default"/>
      </w:rPr>
    </w:lvl>
  </w:abstractNum>
  <w:abstractNum w:abstractNumId="23">
    <w:nsid w:val="62AA806D"/>
    <w:multiLevelType w:val="singleLevel"/>
    <w:tmpl w:val="62AA806D"/>
    <w:lvl w:ilvl="0" w:tentative="0">
      <w:start w:val="1"/>
      <w:numFmt w:val="decimal"/>
      <w:lvlText w:val="表4-%1"/>
      <w:lvlJc w:val="left"/>
      <w:pPr>
        <w:tabs>
          <w:tab w:val="left" w:pos="420"/>
        </w:tabs>
        <w:ind w:left="425" w:leftChars="0" w:hanging="425" w:firstLineChars="0"/>
      </w:pPr>
      <w:rPr>
        <w:rFonts w:hint="default"/>
        <w:b/>
        <w:bCs/>
        <w:sz w:val="24"/>
        <w:szCs w:val="24"/>
      </w:rPr>
    </w:lvl>
  </w:abstractNum>
  <w:abstractNum w:abstractNumId="24">
    <w:nsid w:val="6A8FD384"/>
    <w:multiLevelType w:val="singleLevel"/>
    <w:tmpl w:val="6A8FD384"/>
    <w:lvl w:ilvl="0" w:tentative="0">
      <w:start w:val="2"/>
      <w:numFmt w:val="decimal"/>
      <w:suff w:val="nothing"/>
      <w:lvlText w:val="%1）"/>
      <w:lvlJc w:val="left"/>
    </w:lvl>
  </w:abstractNum>
  <w:abstractNum w:abstractNumId="25">
    <w:nsid w:val="72E084E3"/>
    <w:multiLevelType w:val="singleLevel"/>
    <w:tmpl w:val="72E084E3"/>
    <w:lvl w:ilvl="0" w:tentative="0">
      <w:start w:val="1"/>
      <w:numFmt w:val="decimal"/>
      <w:lvlText w:val="表4-%1"/>
      <w:lvlJc w:val="left"/>
      <w:pPr>
        <w:tabs>
          <w:tab w:val="left" w:pos="420"/>
        </w:tabs>
        <w:ind w:left="425" w:leftChars="0" w:hanging="425" w:firstLineChars="0"/>
      </w:pPr>
      <w:rPr>
        <w:rFonts w:hint="default"/>
        <w:sz w:val="24"/>
        <w:szCs w:val="24"/>
      </w:rPr>
    </w:lvl>
  </w:abstractNum>
  <w:abstractNum w:abstractNumId="26">
    <w:nsid w:val="79973A19"/>
    <w:multiLevelType w:val="singleLevel"/>
    <w:tmpl w:val="79973A19"/>
    <w:lvl w:ilvl="0" w:tentative="0">
      <w:start w:val="1"/>
      <w:numFmt w:val="decimal"/>
      <w:lvlText w:val="%1."/>
      <w:lvlJc w:val="left"/>
      <w:pPr>
        <w:ind w:left="425" w:hanging="425"/>
      </w:pPr>
      <w:rPr>
        <w:rFonts w:hint="default"/>
      </w:rPr>
    </w:lvl>
  </w:abstractNum>
  <w:abstractNum w:abstractNumId="27">
    <w:nsid w:val="79EB4547"/>
    <w:multiLevelType w:val="singleLevel"/>
    <w:tmpl w:val="79EB4547"/>
    <w:lvl w:ilvl="0" w:tentative="0">
      <w:start w:val="1"/>
      <w:numFmt w:val="decimal"/>
      <w:suff w:val="nothing"/>
      <w:lvlText w:val="（%1）"/>
      <w:lvlJc w:val="left"/>
    </w:lvl>
  </w:abstractNum>
  <w:num w:numId="1">
    <w:abstractNumId w:val="18"/>
  </w:num>
  <w:num w:numId="2">
    <w:abstractNumId w:val="21"/>
  </w:num>
  <w:num w:numId="3">
    <w:abstractNumId w:val="7"/>
  </w:num>
  <w:num w:numId="4">
    <w:abstractNumId w:val="22"/>
  </w:num>
  <w:num w:numId="5">
    <w:abstractNumId w:val="8"/>
  </w:num>
  <w:num w:numId="6">
    <w:abstractNumId w:val="1"/>
  </w:num>
  <w:num w:numId="7">
    <w:abstractNumId w:val="0"/>
  </w:num>
  <w:num w:numId="8">
    <w:abstractNumId w:val="11"/>
  </w:num>
  <w:num w:numId="9">
    <w:abstractNumId w:val="4"/>
  </w:num>
  <w:num w:numId="10">
    <w:abstractNumId w:val="15"/>
  </w:num>
  <w:num w:numId="11">
    <w:abstractNumId w:val="5"/>
  </w:num>
  <w:num w:numId="12">
    <w:abstractNumId w:val="13"/>
  </w:num>
  <w:num w:numId="13">
    <w:abstractNumId w:val="24"/>
  </w:num>
  <w:num w:numId="14">
    <w:abstractNumId w:val="20"/>
  </w:num>
  <w:num w:numId="15">
    <w:abstractNumId w:val="16"/>
  </w:num>
  <w:num w:numId="16">
    <w:abstractNumId w:val="26"/>
  </w:num>
  <w:num w:numId="17">
    <w:abstractNumId w:val="27"/>
  </w:num>
  <w:num w:numId="18">
    <w:abstractNumId w:val="12"/>
  </w:num>
  <w:num w:numId="19">
    <w:abstractNumId w:val="3"/>
  </w:num>
  <w:num w:numId="20">
    <w:abstractNumId w:val="25"/>
  </w:num>
  <w:num w:numId="21">
    <w:abstractNumId w:val="23"/>
  </w:num>
  <w:num w:numId="22">
    <w:abstractNumId w:val="14"/>
  </w:num>
  <w:num w:numId="23">
    <w:abstractNumId w:val="19"/>
  </w:num>
  <w:num w:numId="24">
    <w:abstractNumId w:val="10"/>
  </w:num>
  <w:num w:numId="25">
    <w:abstractNumId w:val="2"/>
  </w:num>
  <w:num w:numId="26">
    <w:abstractNumId w:val="6"/>
  </w:num>
  <w:num w:numId="27">
    <w:abstractNumId w:val="9"/>
  </w:num>
  <w:num w:numId="2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U1MGU1ODJlYWE2ODNmZmM4MWJmY2Y4Njg1NDk5ZDgifQ=="/>
  </w:docVars>
  <w:rsids>
    <w:rsidRoot w:val="00172A27"/>
    <w:rsid w:val="00042383"/>
    <w:rsid w:val="00076791"/>
    <w:rsid w:val="000A002F"/>
    <w:rsid w:val="000C1FF9"/>
    <w:rsid w:val="000D49EA"/>
    <w:rsid w:val="00103897"/>
    <w:rsid w:val="0011590D"/>
    <w:rsid w:val="0011760F"/>
    <w:rsid w:val="00172A27"/>
    <w:rsid w:val="001D7D62"/>
    <w:rsid w:val="00212CDA"/>
    <w:rsid w:val="00214EA5"/>
    <w:rsid w:val="00225A44"/>
    <w:rsid w:val="00236FBD"/>
    <w:rsid w:val="00247343"/>
    <w:rsid w:val="00294959"/>
    <w:rsid w:val="002B06D1"/>
    <w:rsid w:val="00305CE7"/>
    <w:rsid w:val="00307A95"/>
    <w:rsid w:val="00360E24"/>
    <w:rsid w:val="00381040"/>
    <w:rsid w:val="003C28DE"/>
    <w:rsid w:val="003F417C"/>
    <w:rsid w:val="00417EF4"/>
    <w:rsid w:val="00425A1B"/>
    <w:rsid w:val="00441793"/>
    <w:rsid w:val="00443541"/>
    <w:rsid w:val="00446D34"/>
    <w:rsid w:val="0046550B"/>
    <w:rsid w:val="00473031"/>
    <w:rsid w:val="00475BFE"/>
    <w:rsid w:val="00490B57"/>
    <w:rsid w:val="004C0647"/>
    <w:rsid w:val="004E43BF"/>
    <w:rsid w:val="00501B2B"/>
    <w:rsid w:val="005319D6"/>
    <w:rsid w:val="00544619"/>
    <w:rsid w:val="0055574E"/>
    <w:rsid w:val="00577718"/>
    <w:rsid w:val="005A0FB6"/>
    <w:rsid w:val="005A7208"/>
    <w:rsid w:val="005C4D2E"/>
    <w:rsid w:val="006336EF"/>
    <w:rsid w:val="00635B77"/>
    <w:rsid w:val="006360BD"/>
    <w:rsid w:val="0066749F"/>
    <w:rsid w:val="00683FF1"/>
    <w:rsid w:val="006911F9"/>
    <w:rsid w:val="006F7850"/>
    <w:rsid w:val="007402CA"/>
    <w:rsid w:val="0078768E"/>
    <w:rsid w:val="0083050D"/>
    <w:rsid w:val="00844285"/>
    <w:rsid w:val="00846033"/>
    <w:rsid w:val="00867FFD"/>
    <w:rsid w:val="00885B23"/>
    <w:rsid w:val="008B5614"/>
    <w:rsid w:val="008C6C96"/>
    <w:rsid w:val="008D313A"/>
    <w:rsid w:val="009224FE"/>
    <w:rsid w:val="009269A2"/>
    <w:rsid w:val="00937981"/>
    <w:rsid w:val="009A13B3"/>
    <w:rsid w:val="009A63EB"/>
    <w:rsid w:val="009A7605"/>
    <w:rsid w:val="009E4D10"/>
    <w:rsid w:val="00A13691"/>
    <w:rsid w:val="00A36E92"/>
    <w:rsid w:val="00A41184"/>
    <w:rsid w:val="00A81D22"/>
    <w:rsid w:val="00AE30C4"/>
    <w:rsid w:val="00AF1302"/>
    <w:rsid w:val="00B2494E"/>
    <w:rsid w:val="00B74651"/>
    <w:rsid w:val="00B76409"/>
    <w:rsid w:val="00B93F2F"/>
    <w:rsid w:val="00BA0E00"/>
    <w:rsid w:val="00BE1545"/>
    <w:rsid w:val="00C33E5A"/>
    <w:rsid w:val="00C34DAD"/>
    <w:rsid w:val="00C528D4"/>
    <w:rsid w:val="00C621A8"/>
    <w:rsid w:val="00CB77BE"/>
    <w:rsid w:val="00CE26AE"/>
    <w:rsid w:val="00CF5500"/>
    <w:rsid w:val="00D40D69"/>
    <w:rsid w:val="00D479B0"/>
    <w:rsid w:val="00D82C72"/>
    <w:rsid w:val="00DA0C51"/>
    <w:rsid w:val="00DB32E3"/>
    <w:rsid w:val="00DD3279"/>
    <w:rsid w:val="00DE079A"/>
    <w:rsid w:val="00E05F53"/>
    <w:rsid w:val="00EB60B2"/>
    <w:rsid w:val="00ED33C1"/>
    <w:rsid w:val="00EF7950"/>
    <w:rsid w:val="00F036C9"/>
    <w:rsid w:val="00F30697"/>
    <w:rsid w:val="00F443C8"/>
    <w:rsid w:val="00FB62F5"/>
    <w:rsid w:val="00FC206D"/>
    <w:rsid w:val="010417EE"/>
    <w:rsid w:val="010827C0"/>
    <w:rsid w:val="010F3B4F"/>
    <w:rsid w:val="01154EDD"/>
    <w:rsid w:val="011963C9"/>
    <w:rsid w:val="011B2E8F"/>
    <w:rsid w:val="01214EA6"/>
    <w:rsid w:val="01233A9E"/>
    <w:rsid w:val="0123584C"/>
    <w:rsid w:val="012515C4"/>
    <w:rsid w:val="012958F6"/>
    <w:rsid w:val="012B64AF"/>
    <w:rsid w:val="01325A8F"/>
    <w:rsid w:val="01331319"/>
    <w:rsid w:val="01341807"/>
    <w:rsid w:val="0136557F"/>
    <w:rsid w:val="01395070"/>
    <w:rsid w:val="01396E1E"/>
    <w:rsid w:val="013B1D7A"/>
    <w:rsid w:val="013C690E"/>
    <w:rsid w:val="01420154"/>
    <w:rsid w:val="01437EC0"/>
    <w:rsid w:val="01453A14"/>
    <w:rsid w:val="01464FA1"/>
    <w:rsid w:val="0147778C"/>
    <w:rsid w:val="01483505"/>
    <w:rsid w:val="014852B3"/>
    <w:rsid w:val="01497B84"/>
    <w:rsid w:val="014F219D"/>
    <w:rsid w:val="014F6641"/>
    <w:rsid w:val="01565DA4"/>
    <w:rsid w:val="015A3E73"/>
    <w:rsid w:val="016420B7"/>
    <w:rsid w:val="01664E35"/>
    <w:rsid w:val="01687703"/>
    <w:rsid w:val="01695955"/>
    <w:rsid w:val="016C0FA1"/>
    <w:rsid w:val="017165B7"/>
    <w:rsid w:val="017716F4"/>
    <w:rsid w:val="017C6D0A"/>
    <w:rsid w:val="017D4F5C"/>
    <w:rsid w:val="017E6F26"/>
    <w:rsid w:val="01852063"/>
    <w:rsid w:val="01863CD4"/>
    <w:rsid w:val="018750D4"/>
    <w:rsid w:val="018856AF"/>
    <w:rsid w:val="018C1375"/>
    <w:rsid w:val="01910A08"/>
    <w:rsid w:val="0196601E"/>
    <w:rsid w:val="01967DCC"/>
    <w:rsid w:val="01A324E9"/>
    <w:rsid w:val="01A506ED"/>
    <w:rsid w:val="01A73D87"/>
    <w:rsid w:val="01A81D9E"/>
    <w:rsid w:val="01A85D51"/>
    <w:rsid w:val="01AC1704"/>
    <w:rsid w:val="01AF5332"/>
    <w:rsid w:val="01B446F6"/>
    <w:rsid w:val="01B666C0"/>
    <w:rsid w:val="01B80C08"/>
    <w:rsid w:val="01B85F94"/>
    <w:rsid w:val="01BB5A85"/>
    <w:rsid w:val="01BD17FD"/>
    <w:rsid w:val="01BD7A4F"/>
    <w:rsid w:val="01C20BC1"/>
    <w:rsid w:val="01C34939"/>
    <w:rsid w:val="01CA3F1A"/>
    <w:rsid w:val="01CF32DE"/>
    <w:rsid w:val="01D152A8"/>
    <w:rsid w:val="01D1627A"/>
    <w:rsid w:val="01D17056"/>
    <w:rsid w:val="01D408F4"/>
    <w:rsid w:val="01E07623"/>
    <w:rsid w:val="01E66FA5"/>
    <w:rsid w:val="01E857F1"/>
    <w:rsid w:val="01E90844"/>
    <w:rsid w:val="01EB6738"/>
    <w:rsid w:val="01F01BD2"/>
    <w:rsid w:val="01F176F8"/>
    <w:rsid w:val="01F571E8"/>
    <w:rsid w:val="01F62F61"/>
    <w:rsid w:val="01FA47FF"/>
    <w:rsid w:val="01FB2325"/>
    <w:rsid w:val="02000D3F"/>
    <w:rsid w:val="02025461"/>
    <w:rsid w:val="02027416"/>
    <w:rsid w:val="020372A9"/>
    <w:rsid w:val="0204742C"/>
    <w:rsid w:val="02072A78"/>
    <w:rsid w:val="020D21BB"/>
    <w:rsid w:val="020E02AA"/>
    <w:rsid w:val="020F621C"/>
    <w:rsid w:val="02140D77"/>
    <w:rsid w:val="021653B1"/>
    <w:rsid w:val="0216715F"/>
    <w:rsid w:val="02180623"/>
    <w:rsid w:val="02191E9F"/>
    <w:rsid w:val="021A09FD"/>
    <w:rsid w:val="021C23A2"/>
    <w:rsid w:val="02235B22"/>
    <w:rsid w:val="0229022E"/>
    <w:rsid w:val="02291994"/>
    <w:rsid w:val="022C5744"/>
    <w:rsid w:val="02301FCF"/>
    <w:rsid w:val="02337D11"/>
    <w:rsid w:val="023575E5"/>
    <w:rsid w:val="023615AF"/>
    <w:rsid w:val="0236335D"/>
    <w:rsid w:val="02380E83"/>
    <w:rsid w:val="023F0464"/>
    <w:rsid w:val="02454286"/>
    <w:rsid w:val="02467A44"/>
    <w:rsid w:val="02480AFD"/>
    <w:rsid w:val="02493090"/>
    <w:rsid w:val="02502671"/>
    <w:rsid w:val="025263E9"/>
    <w:rsid w:val="02553FCA"/>
    <w:rsid w:val="025658D6"/>
    <w:rsid w:val="025739FF"/>
    <w:rsid w:val="025926C3"/>
    <w:rsid w:val="025D4572"/>
    <w:rsid w:val="0261487E"/>
    <w:rsid w:val="02624152"/>
    <w:rsid w:val="026305F6"/>
    <w:rsid w:val="02641C78"/>
    <w:rsid w:val="026E0D49"/>
    <w:rsid w:val="0273635F"/>
    <w:rsid w:val="027427F8"/>
    <w:rsid w:val="02785724"/>
    <w:rsid w:val="027D0F8C"/>
    <w:rsid w:val="027D288D"/>
    <w:rsid w:val="027D71DE"/>
    <w:rsid w:val="027F2F56"/>
    <w:rsid w:val="028B18FB"/>
    <w:rsid w:val="02900CBF"/>
    <w:rsid w:val="029511B3"/>
    <w:rsid w:val="0295277A"/>
    <w:rsid w:val="0295339B"/>
    <w:rsid w:val="02954528"/>
    <w:rsid w:val="029562D6"/>
    <w:rsid w:val="029C3B08"/>
    <w:rsid w:val="029F53A6"/>
    <w:rsid w:val="02A12ECC"/>
    <w:rsid w:val="02A227A1"/>
    <w:rsid w:val="02A604E3"/>
    <w:rsid w:val="02AB256F"/>
    <w:rsid w:val="02AD7AC3"/>
    <w:rsid w:val="02B06E10"/>
    <w:rsid w:val="02B26E88"/>
    <w:rsid w:val="02B40E52"/>
    <w:rsid w:val="02B7624C"/>
    <w:rsid w:val="02B83DDE"/>
    <w:rsid w:val="02B8562E"/>
    <w:rsid w:val="02BA21E0"/>
    <w:rsid w:val="02BC1AB4"/>
    <w:rsid w:val="02BD28BB"/>
    <w:rsid w:val="02C31095"/>
    <w:rsid w:val="02C57001"/>
    <w:rsid w:val="02C72207"/>
    <w:rsid w:val="02CA1EB1"/>
    <w:rsid w:val="02CB1CF7"/>
    <w:rsid w:val="02CD38AA"/>
    <w:rsid w:val="02CF7A3A"/>
    <w:rsid w:val="02D21D84"/>
    <w:rsid w:val="02D74B40"/>
    <w:rsid w:val="02DE0C76"/>
    <w:rsid w:val="02DF1815"/>
    <w:rsid w:val="02E14102"/>
    <w:rsid w:val="02E90BCF"/>
    <w:rsid w:val="02F23728"/>
    <w:rsid w:val="030516AD"/>
    <w:rsid w:val="03060F81"/>
    <w:rsid w:val="03082F4B"/>
    <w:rsid w:val="03083819"/>
    <w:rsid w:val="03097F81"/>
    <w:rsid w:val="030A0A72"/>
    <w:rsid w:val="030E7E36"/>
    <w:rsid w:val="03117E77"/>
    <w:rsid w:val="03124D54"/>
    <w:rsid w:val="0317318F"/>
    <w:rsid w:val="031D6EFB"/>
    <w:rsid w:val="031E276F"/>
    <w:rsid w:val="031F2043"/>
    <w:rsid w:val="031F2C3C"/>
    <w:rsid w:val="032338E1"/>
    <w:rsid w:val="03241F4C"/>
    <w:rsid w:val="03247659"/>
    <w:rsid w:val="032558AB"/>
    <w:rsid w:val="03276338"/>
    <w:rsid w:val="032D650E"/>
    <w:rsid w:val="032F04D8"/>
    <w:rsid w:val="033311CF"/>
    <w:rsid w:val="03377AA2"/>
    <w:rsid w:val="03380F32"/>
    <w:rsid w:val="033835B9"/>
    <w:rsid w:val="03400B54"/>
    <w:rsid w:val="03404493"/>
    <w:rsid w:val="03411FB9"/>
    <w:rsid w:val="03433F84"/>
    <w:rsid w:val="03435D32"/>
    <w:rsid w:val="03455F4E"/>
    <w:rsid w:val="03457CFC"/>
    <w:rsid w:val="034D6BB0"/>
    <w:rsid w:val="034E6C67"/>
    <w:rsid w:val="034F46D6"/>
    <w:rsid w:val="03595555"/>
    <w:rsid w:val="035B12CD"/>
    <w:rsid w:val="035C6DF3"/>
    <w:rsid w:val="035E789D"/>
    <w:rsid w:val="03634626"/>
    <w:rsid w:val="036363D4"/>
    <w:rsid w:val="036439CE"/>
    <w:rsid w:val="03675EC4"/>
    <w:rsid w:val="036B6BBE"/>
    <w:rsid w:val="036D2DAF"/>
    <w:rsid w:val="036E446E"/>
    <w:rsid w:val="03760E3D"/>
    <w:rsid w:val="03824AAC"/>
    <w:rsid w:val="03885E3A"/>
    <w:rsid w:val="038A1CB4"/>
    <w:rsid w:val="038D16A3"/>
    <w:rsid w:val="038D51FF"/>
    <w:rsid w:val="038F71C9"/>
    <w:rsid w:val="03962305"/>
    <w:rsid w:val="03977E2B"/>
    <w:rsid w:val="03993BA4"/>
    <w:rsid w:val="039C5442"/>
    <w:rsid w:val="039E42B2"/>
    <w:rsid w:val="03A2514E"/>
    <w:rsid w:val="03A52548"/>
    <w:rsid w:val="03AF1619"/>
    <w:rsid w:val="03B24E15"/>
    <w:rsid w:val="03B66504"/>
    <w:rsid w:val="03B70B69"/>
    <w:rsid w:val="03B96EA9"/>
    <w:rsid w:val="03BB7FBE"/>
    <w:rsid w:val="03BD0F44"/>
    <w:rsid w:val="03C2134C"/>
    <w:rsid w:val="03C9092D"/>
    <w:rsid w:val="03CA1FAF"/>
    <w:rsid w:val="03CD3AA3"/>
    <w:rsid w:val="03CE7CF1"/>
    <w:rsid w:val="03D177E1"/>
    <w:rsid w:val="03D33559"/>
    <w:rsid w:val="03D35307"/>
    <w:rsid w:val="03D472D2"/>
    <w:rsid w:val="03D80B70"/>
    <w:rsid w:val="03DB0660"/>
    <w:rsid w:val="03DB41BC"/>
    <w:rsid w:val="03E017D2"/>
    <w:rsid w:val="03EA43FF"/>
    <w:rsid w:val="03F37758"/>
    <w:rsid w:val="03F67248"/>
    <w:rsid w:val="03FB03BA"/>
    <w:rsid w:val="03FE03B1"/>
    <w:rsid w:val="03FF434E"/>
    <w:rsid w:val="03FF60FC"/>
    <w:rsid w:val="0402799B"/>
    <w:rsid w:val="04071455"/>
    <w:rsid w:val="04090D29"/>
    <w:rsid w:val="040A2CF3"/>
    <w:rsid w:val="040B458F"/>
    <w:rsid w:val="041871BE"/>
    <w:rsid w:val="04194CE4"/>
    <w:rsid w:val="04275653"/>
    <w:rsid w:val="042A0CA0"/>
    <w:rsid w:val="042B26C2"/>
    <w:rsid w:val="04301D26"/>
    <w:rsid w:val="043128C5"/>
    <w:rsid w:val="04333FF8"/>
    <w:rsid w:val="043349B6"/>
    <w:rsid w:val="04334F81"/>
    <w:rsid w:val="04335DA6"/>
    <w:rsid w:val="043868A8"/>
    <w:rsid w:val="043A1A2F"/>
    <w:rsid w:val="043B2771"/>
    <w:rsid w:val="043F299D"/>
    <w:rsid w:val="04463D2B"/>
    <w:rsid w:val="04470273"/>
    <w:rsid w:val="04473600"/>
    <w:rsid w:val="04477AA3"/>
    <w:rsid w:val="044E0E32"/>
    <w:rsid w:val="04510922"/>
    <w:rsid w:val="045521C0"/>
    <w:rsid w:val="04561A95"/>
    <w:rsid w:val="04581CB1"/>
    <w:rsid w:val="04590024"/>
    <w:rsid w:val="045B70AB"/>
    <w:rsid w:val="045D72C7"/>
    <w:rsid w:val="045F303F"/>
    <w:rsid w:val="0462668B"/>
    <w:rsid w:val="046441B2"/>
    <w:rsid w:val="04657F2A"/>
    <w:rsid w:val="04695C6C"/>
    <w:rsid w:val="0471044C"/>
    <w:rsid w:val="04781A0B"/>
    <w:rsid w:val="04784101"/>
    <w:rsid w:val="04785EAF"/>
    <w:rsid w:val="047A7F1E"/>
    <w:rsid w:val="047C3421"/>
    <w:rsid w:val="047C599F"/>
    <w:rsid w:val="047D1717"/>
    <w:rsid w:val="04842AA6"/>
    <w:rsid w:val="048A5A25"/>
    <w:rsid w:val="048B5B27"/>
    <w:rsid w:val="048F0F53"/>
    <w:rsid w:val="049031F8"/>
    <w:rsid w:val="04926F71"/>
    <w:rsid w:val="04934A97"/>
    <w:rsid w:val="04936845"/>
    <w:rsid w:val="049D3B67"/>
    <w:rsid w:val="04A13CAC"/>
    <w:rsid w:val="04A171B4"/>
    <w:rsid w:val="04A3117E"/>
    <w:rsid w:val="04A863DD"/>
    <w:rsid w:val="04A942BA"/>
    <w:rsid w:val="04AB3B8E"/>
    <w:rsid w:val="04AE7B23"/>
    <w:rsid w:val="04B8274F"/>
    <w:rsid w:val="04BB2116"/>
    <w:rsid w:val="04BD38C2"/>
    <w:rsid w:val="04C00734"/>
    <w:rsid w:val="04C133B2"/>
    <w:rsid w:val="04D43423"/>
    <w:rsid w:val="04D96D31"/>
    <w:rsid w:val="04E3586E"/>
    <w:rsid w:val="04EA6DAD"/>
    <w:rsid w:val="04ED23F9"/>
    <w:rsid w:val="04F027A9"/>
    <w:rsid w:val="04F274F3"/>
    <w:rsid w:val="04F27A0F"/>
    <w:rsid w:val="04FD0162"/>
    <w:rsid w:val="05080FE1"/>
    <w:rsid w:val="050D4849"/>
    <w:rsid w:val="050E015C"/>
    <w:rsid w:val="05143E2A"/>
    <w:rsid w:val="051756C8"/>
    <w:rsid w:val="05177D7E"/>
    <w:rsid w:val="051931EE"/>
    <w:rsid w:val="051A0D14"/>
    <w:rsid w:val="051C4A8C"/>
    <w:rsid w:val="051C683A"/>
    <w:rsid w:val="051F632A"/>
    <w:rsid w:val="051F7A75"/>
    <w:rsid w:val="05236321"/>
    <w:rsid w:val="0524048F"/>
    <w:rsid w:val="05241B93"/>
    <w:rsid w:val="05257DE5"/>
    <w:rsid w:val="052851DF"/>
    <w:rsid w:val="052B1173"/>
    <w:rsid w:val="052D4EEB"/>
    <w:rsid w:val="0530678A"/>
    <w:rsid w:val="05340028"/>
    <w:rsid w:val="05341DD6"/>
    <w:rsid w:val="0539188E"/>
    <w:rsid w:val="053973EC"/>
    <w:rsid w:val="053C081B"/>
    <w:rsid w:val="053C512E"/>
    <w:rsid w:val="053C6A73"/>
    <w:rsid w:val="053C7CB9"/>
    <w:rsid w:val="053E74DA"/>
    <w:rsid w:val="05412745"/>
    <w:rsid w:val="0548762F"/>
    <w:rsid w:val="05544226"/>
    <w:rsid w:val="0559183C"/>
    <w:rsid w:val="055C757F"/>
    <w:rsid w:val="055E2512"/>
    <w:rsid w:val="0560706F"/>
    <w:rsid w:val="05656433"/>
    <w:rsid w:val="056F1060"/>
    <w:rsid w:val="057448C8"/>
    <w:rsid w:val="0577215D"/>
    <w:rsid w:val="05776166"/>
    <w:rsid w:val="057A17B3"/>
    <w:rsid w:val="057C19CF"/>
    <w:rsid w:val="057E5243"/>
    <w:rsid w:val="0580326D"/>
    <w:rsid w:val="05812B41"/>
    <w:rsid w:val="05832D5D"/>
    <w:rsid w:val="05834B0B"/>
    <w:rsid w:val="05850883"/>
    <w:rsid w:val="0591547A"/>
    <w:rsid w:val="05946D18"/>
    <w:rsid w:val="059D3E1F"/>
    <w:rsid w:val="05A01219"/>
    <w:rsid w:val="05A21435"/>
    <w:rsid w:val="05A31CFB"/>
    <w:rsid w:val="05A36F5B"/>
    <w:rsid w:val="05A47E39"/>
    <w:rsid w:val="05A54A82"/>
    <w:rsid w:val="05A64CE0"/>
    <w:rsid w:val="05AA02EA"/>
    <w:rsid w:val="05AA653C"/>
    <w:rsid w:val="05AC4062"/>
    <w:rsid w:val="05AD3936"/>
    <w:rsid w:val="05B12AB7"/>
    <w:rsid w:val="05B1320D"/>
    <w:rsid w:val="05B461E1"/>
    <w:rsid w:val="05B66C8F"/>
    <w:rsid w:val="05BD626F"/>
    <w:rsid w:val="05BE2530"/>
    <w:rsid w:val="05C0366A"/>
    <w:rsid w:val="05C25634"/>
    <w:rsid w:val="05C63706"/>
    <w:rsid w:val="05C70E9C"/>
    <w:rsid w:val="05CA098C"/>
    <w:rsid w:val="05CB0A83"/>
    <w:rsid w:val="05CF2FDE"/>
    <w:rsid w:val="05CF7D50"/>
    <w:rsid w:val="05D13AC9"/>
    <w:rsid w:val="05D43ADD"/>
    <w:rsid w:val="05D47115"/>
    <w:rsid w:val="05DC58AA"/>
    <w:rsid w:val="05DD246D"/>
    <w:rsid w:val="05DE61E6"/>
    <w:rsid w:val="05DF62C8"/>
    <w:rsid w:val="05E042B0"/>
    <w:rsid w:val="05E239E4"/>
    <w:rsid w:val="05E74E14"/>
    <w:rsid w:val="05EA6938"/>
    <w:rsid w:val="05EA6F2B"/>
    <w:rsid w:val="05EC0902"/>
    <w:rsid w:val="05EC4069"/>
    <w:rsid w:val="05F45A09"/>
    <w:rsid w:val="05F67F28"/>
    <w:rsid w:val="05F72E03"/>
    <w:rsid w:val="05FC2474"/>
    <w:rsid w:val="05FC4B31"/>
    <w:rsid w:val="05FE0636"/>
    <w:rsid w:val="06011662"/>
    <w:rsid w:val="06055520"/>
    <w:rsid w:val="06071754"/>
    <w:rsid w:val="0607422C"/>
    <w:rsid w:val="06085010"/>
    <w:rsid w:val="060C045C"/>
    <w:rsid w:val="060C2D53"/>
    <w:rsid w:val="060C4604"/>
    <w:rsid w:val="060C68AF"/>
    <w:rsid w:val="060E0879"/>
    <w:rsid w:val="060F2843"/>
    <w:rsid w:val="06131F48"/>
    <w:rsid w:val="061754B1"/>
    <w:rsid w:val="061834A6"/>
    <w:rsid w:val="0619141B"/>
    <w:rsid w:val="061C50A9"/>
    <w:rsid w:val="061C5AAE"/>
    <w:rsid w:val="061D286A"/>
    <w:rsid w:val="061D6D0E"/>
    <w:rsid w:val="062005AC"/>
    <w:rsid w:val="062B0EAC"/>
    <w:rsid w:val="062C21B1"/>
    <w:rsid w:val="062C6F51"/>
    <w:rsid w:val="06336531"/>
    <w:rsid w:val="06380A36"/>
    <w:rsid w:val="063858F6"/>
    <w:rsid w:val="06396850"/>
    <w:rsid w:val="063F594E"/>
    <w:rsid w:val="0642670C"/>
    <w:rsid w:val="06451DC1"/>
    <w:rsid w:val="064614D7"/>
    <w:rsid w:val="06475B39"/>
    <w:rsid w:val="064921AF"/>
    <w:rsid w:val="064A7D7E"/>
    <w:rsid w:val="064E306E"/>
    <w:rsid w:val="064E336B"/>
    <w:rsid w:val="064F2365"/>
    <w:rsid w:val="065169B7"/>
    <w:rsid w:val="06540256"/>
    <w:rsid w:val="0654294E"/>
    <w:rsid w:val="06565D7C"/>
    <w:rsid w:val="06590829"/>
    <w:rsid w:val="065C448B"/>
    <w:rsid w:val="065F10D4"/>
    <w:rsid w:val="06654211"/>
    <w:rsid w:val="06655EF0"/>
    <w:rsid w:val="066806ED"/>
    <w:rsid w:val="06691F53"/>
    <w:rsid w:val="06694317"/>
    <w:rsid w:val="066B3BEC"/>
    <w:rsid w:val="066D1D8C"/>
    <w:rsid w:val="066E57BB"/>
    <w:rsid w:val="067313A5"/>
    <w:rsid w:val="067A4160"/>
    <w:rsid w:val="067A5F0E"/>
    <w:rsid w:val="067F1777"/>
    <w:rsid w:val="067F52D3"/>
    <w:rsid w:val="068602C1"/>
    <w:rsid w:val="06872F1A"/>
    <w:rsid w:val="068872E6"/>
    <w:rsid w:val="068F128E"/>
    <w:rsid w:val="069074E0"/>
    <w:rsid w:val="06911C3B"/>
    <w:rsid w:val="06935222"/>
    <w:rsid w:val="06966BB5"/>
    <w:rsid w:val="06982838"/>
    <w:rsid w:val="06A05249"/>
    <w:rsid w:val="06A12870"/>
    <w:rsid w:val="06AB431A"/>
    <w:rsid w:val="06AE06DA"/>
    <w:rsid w:val="06AE3E0A"/>
    <w:rsid w:val="06B01930"/>
    <w:rsid w:val="06B37672"/>
    <w:rsid w:val="06B43D0A"/>
    <w:rsid w:val="06B72BC7"/>
    <w:rsid w:val="06B867FC"/>
    <w:rsid w:val="06C1141B"/>
    <w:rsid w:val="06C26280"/>
    <w:rsid w:val="06C61153"/>
    <w:rsid w:val="06C70A28"/>
    <w:rsid w:val="06CE3D7C"/>
    <w:rsid w:val="06D01FD2"/>
    <w:rsid w:val="06D03D80"/>
    <w:rsid w:val="06D067E2"/>
    <w:rsid w:val="06D111D0"/>
    <w:rsid w:val="06D33870"/>
    <w:rsid w:val="06D870D9"/>
    <w:rsid w:val="06E03F5B"/>
    <w:rsid w:val="06E4782C"/>
    <w:rsid w:val="06EA6EE5"/>
    <w:rsid w:val="06EE06AA"/>
    <w:rsid w:val="06F061D0"/>
    <w:rsid w:val="06F2019A"/>
    <w:rsid w:val="06F20FC3"/>
    <w:rsid w:val="06F3181D"/>
    <w:rsid w:val="06F85F55"/>
    <w:rsid w:val="06FF3E10"/>
    <w:rsid w:val="07025814"/>
    <w:rsid w:val="07047ECE"/>
    <w:rsid w:val="07061550"/>
    <w:rsid w:val="070954E4"/>
    <w:rsid w:val="070B3997"/>
    <w:rsid w:val="070D0B30"/>
    <w:rsid w:val="07146C2B"/>
    <w:rsid w:val="07153E89"/>
    <w:rsid w:val="071623D5"/>
    <w:rsid w:val="071A4FFB"/>
    <w:rsid w:val="071D689A"/>
    <w:rsid w:val="071E2D3E"/>
    <w:rsid w:val="071F3380"/>
    <w:rsid w:val="0721638A"/>
    <w:rsid w:val="07222102"/>
    <w:rsid w:val="072639A0"/>
    <w:rsid w:val="072702BE"/>
    <w:rsid w:val="07283BBC"/>
    <w:rsid w:val="072916E2"/>
    <w:rsid w:val="072E5A65"/>
    <w:rsid w:val="072F2CD8"/>
    <w:rsid w:val="07342561"/>
    <w:rsid w:val="0736405C"/>
    <w:rsid w:val="07373DFF"/>
    <w:rsid w:val="073A744C"/>
    <w:rsid w:val="073C1416"/>
    <w:rsid w:val="073C7668"/>
    <w:rsid w:val="073F0F06"/>
    <w:rsid w:val="0744651C"/>
    <w:rsid w:val="07462294"/>
    <w:rsid w:val="07465DF0"/>
    <w:rsid w:val="074A1D85"/>
    <w:rsid w:val="074A3B33"/>
    <w:rsid w:val="074B3407"/>
    <w:rsid w:val="074D3623"/>
    <w:rsid w:val="07524795"/>
    <w:rsid w:val="0753050D"/>
    <w:rsid w:val="075449B1"/>
    <w:rsid w:val="075514AC"/>
    <w:rsid w:val="07585D35"/>
    <w:rsid w:val="075B5D40"/>
    <w:rsid w:val="075E138C"/>
    <w:rsid w:val="075E75DE"/>
    <w:rsid w:val="075F5104"/>
    <w:rsid w:val="075F6EB2"/>
    <w:rsid w:val="07603356"/>
    <w:rsid w:val="076444C8"/>
    <w:rsid w:val="076646E5"/>
    <w:rsid w:val="07697D31"/>
    <w:rsid w:val="076B1CFB"/>
    <w:rsid w:val="076B3AA9"/>
    <w:rsid w:val="076D7821"/>
    <w:rsid w:val="0774305B"/>
    <w:rsid w:val="077527CF"/>
    <w:rsid w:val="07762B7A"/>
    <w:rsid w:val="0777244E"/>
    <w:rsid w:val="07795B6B"/>
    <w:rsid w:val="077C3C20"/>
    <w:rsid w:val="077E558A"/>
    <w:rsid w:val="077F1302"/>
    <w:rsid w:val="07807FC3"/>
    <w:rsid w:val="07830DF3"/>
    <w:rsid w:val="07853608"/>
    <w:rsid w:val="078D3A1F"/>
    <w:rsid w:val="0790350F"/>
    <w:rsid w:val="07922158"/>
    <w:rsid w:val="079254DA"/>
    <w:rsid w:val="07943000"/>
    <w:rsid w:val="07972AF0"/>
    <w:rsid w:val="079B438E"/>
    <w:rsid w:val="079F1B8B"/>
    <w:rsid w:val="07A10397"/>
    <w:rsid w:val="07A33243"/>
    <w:rsid w:val="07A42E2C"/>
    <w:rsid w:val="07A52108"/>
    <w:rsid w:val="07AA45D1"/>
    <w:rsid w:val="07AF3996"/>
    <w:rsid w:val="07B40D33"/>
    <w:rsid w:val="07B62F76"/>
    <w:rsid w:val="07BA233A"/>
    <w:rsid w:val="07BC4304"/>
    <w:rsid w:val="07BD6694"/>
    <w:rsid w:val="07BE62CF"/>
    <w:rsid w:val="07C17B6D"/>
    <w:rsid w:val="07C40FCD"/>
    <w:rsid w:val="07C97778"/>
    <w:rsid w:val="07CB4548"/>
    <w:rsid w:val="07CC63DA"/>
    <w:rsid w:val="07CD6512"/>
    <w:rsid w:val="07D35EAA"/>
    <w:rsid w:val="07D4164E"/>
    <w:rsid w:val="07DA3E06"/>
    <w:rsid w:val="07E00BD3"/>
    <w:rsid w:val="07E21FBD"/>
    <w:rsid w:val="07ED0962"/>
    <w:rsid w:val="07EE5683"/>
    <w:rsid w:val="07F67816"/>
    <w:rsid w:val="07F95559"/>
    <w:rsid w:val="07FC5336"/>
    <w:rsid w:val="0802440D"/>
    <w:rsid w:val="080261BB"/>
    <w:rsid w:val="08080695"/>
    <w:rsid w:val="080B1758"/>
    <w:rsid w:val="080D690E"/>
    <w:rsid w:val="0814739E"/>
    <w:rsid w:val="08167EB9"/>
    <w:rsid w:val="081F44B1"/>
    <w:rsid w:val="08202AE5"/>
    <w:rsid w:val="08204893"/>
    <w:rsid w:val="08234384"/>
    <w:rsid w:val="08236767"/>
    <w:rsid w:val="08262763"/>
    <w:rsid w:val="08285910"/>
    <w:rsid w:val="082D7CB6"/>
    <w:rsid w:val="08316AA1"/>
    <w:rsid w:val="08362309"/>
    <w:rsid w:val="083640B7"/>
    <w:rsid w:val="08386081"/>
    <w:rsid w:val="0840304B"/>
    <w:rsid w:val="0845254C"/>
    <w:rsid w:val="084D31AF"/>
    <w:rsid w:val="084E1401"/>
    <w:rsid w:val="084F5179"/>
    <w:rsid w:val="085048C6"/>
    <w:rsid w:val="08512C9F"/>
    <w:rsid w:val="085409E1"/>
    <w:rsid w:val="08555E8D"/>
    <w:rsid w:val="085670DA"/>
    <w:rsid w:val="08577C79"/>
    <w:rsid w:val="0858227F"/>
    <w:rsid w:val="0858402D"/>
    <w:rsid w:val="08585DDB"/>
    <w:rsid w:val="085D1644"/>
    <w:rsid w:val="085D7896"/>
    <w:rsid w:val="085F360E"/>
    <w:rsid w:val="08607386"/>
    <w:rsid w:val="086329D2"/>
    <w:rsid w:val="08680113"/>
    <w:rsid w:val="08687FE8"/>
    <w:rsid w:val="086A1FB2"/>
    <w:rsid w:val="086C1887"/>
    <w:rsid w:val="08795696"/>
    <w:rsid w:val="087E3C7F"/>
    <w:rsid w:val="08874912"/>
    <w:rsid w:val="0889068B"/>
    <w:rsid w:val="088C3CD7"/>
    <w:rsid w:val="088D67EF"/>
    <w:rsid w:val="088E3EF3"/>
    <w:rsid w:val="08901A19"/>
    <w:rsid w:val="08911C32"/>
    <w:rsid w:val="08931509"/>
    <w:rsid w:val="0895702F"/>
    <w:rsid w:val="08975A73"/>
    <w:rsid w:val="089C04F5"/>
    <w:rsid w:val="089D5658"/>
    <w:rsid w:val="089D5EE4"/>
    <w:rsid w:val="08A4283A"/>
    <w:rsid w:val="08A6215D"/>
    <w:rsid w:val="08AC1497"/>
    <w:rsid w:val="08AC3CEF"/>
    <w:rsid w:val="08B15F75"/>
    <w:rsid w:val="08B374B6"/>
    <w:rsid w:val="08B57B6C"/>
    <w:rsid w:val="08B7391C"/>
    <w:rsid w:val="08B919E5"/>
    <w:rsid w:val="08BD20E2"/>
    <w:rsid w:val="08C5394F"/>
    <w:rsid w:val="08C61F81"/>
    <w:rsid w:val="08C755FA"/>
    <w:rsid w:val="08CB2A51"/>
    <w:rsid w:val="08CE0793"/>
    <w:rsid w:val="08CF1E16"/>
    <w:rsid w:val="08D21E73"/>
    <w:rsid w:val="08DB6A0C"/>
    <w:rsid w:val="08E32C9A"/>
    <w:rsid w:val="08E4407A"/>
    <w:rsid w:val="08E81855"/>
    <w:rsid w:val="08EA7EEC"/>
    <w:rsid w:val="08EC53DD"/>
    <w:rsid w:val="08F0070A"/>
    <w:rsid w:val="08F33D56"/>
    <w:rsid w:val="08F57ACE"/>
    <w:rsid w:val="08F71A98"/>
    <w:rsid w:val="08FA3336"/>
    <w:rsid w:val="08FD2E27"/>
    <w:rsid w:val="08FE4543"/>
    <w:rsid w:val="09000221"/>
    <w:rsid w:val="09061CDB"/>
    <w:rsid w:val="090B5543"/>
    <w:rsid w:val="090D306A"/>
    <w:rsid w:val="09137F54"/>
    <w:rsid w:val="09175C96"/>
    <w:rsid w:val="09217A45"/>
    <w:rsid w:val="092403B3"/>
    <w:rsid w:val="09265ED9"/>
    <w:rsid w:val="09271C52"/>
    <w:rsid w:val="09295FE2"/>
    <w:rsid w:val="092C7268"/>
    <w:rsid w:val="093117F7"/>
    <w:rsid w:val="09381F46"/>
    <w:rsid w:val="09383E5F"/>
    <w:rsid w:val="093C1139"/>
    <w:rsid w:val="093D1475"/>
    <w:rsid w:val="09436EC0"/>
    <w:rsid w:val="094620D8"/>
    <w:rsid w:val="09486768"/>
    <w:rsid w:val="094B46B8"/>
    <w:rsid w:val="094B7B50"/>
    <w:rsid w:val="094D16B8"/>
    <w:rsid w:val="095073FA"/>
    <w:rsid w:val="09524F20"/>
    <w:rsid w:val="09526CCE"/>
    <w:rsid w:val="09542451"/>
    <w:rsid w:val="095429DE"/>
    <w:rsid w:val="0955056D"/>
    <w:rsid w:val="095567BF"/>
    <w:rsid w:val="095B087A"/>
    <w:rsid w:val="095E38C5"/>
    <w:rsid w:val="09615163"/>
    <w:rsid w:val="096360DE"/>
    <w:rsid w:val="09646A02"/>
    <w:rsid w:val="096B2561"/>
    <w:rsid w:val="096D1D5A"/>
    <w:rsid w:val="097204B5"/>
    <w:rsid w:val="09722434"/>
    <w:rsid w:val="09731054"/>
    <w:rsid w:val="09732A37"/>
    <w:rsid w:val="097529BD"/>
    <w:rsid w:val="09756E61"/>
    <w:rsid w:val="09774E16"/>
    <w:rsid w:val="097906FF"/>
    <w:rsid w:val="097B5A0D"/>
    <w:rsid w:val="097F55EA"/>
    <w:rsid w:val="098175B4"/>
    <w:rsid w:val="09853F9F"/>
    <w:rsid w:val="09874773"/>
    <w:rsid w:val="098B21E0"/>
    <w:rsid w:val="098D5F59"/>
    <w:rsid w:val="098E1A6C"/>
    <w:rsid w:val="09921B1B"/>
    <w:rsid w:val="099224C2"/>
    <w:rsid w:val="0995305F"/>
    <w:rsid w:val="09954E0D"/>
    <w:rsid w:val="099A2423"/>
    <w:rsid w:val="099E1F14"/>
    <w:rsid w:val="099F5C8C"/>
    <w:rsid w:val="09A552C3"/>
    <w:rsid w:val="09A6526C"/>
    <w:rsid w:val="09A80FE4"/>
    <w:rsid w:val="09A908B8"/>
    <w:rsid w:val="09A92503"/>
    <w:rsid w:val="09AB5AC4"/>
    <w:rsid w:val="09B2776D"/>
    <w:rsid w:val="09B434E5"/>
    <w:rsid w:val="09B53D61"/>
    <w:rsid w:val="09B554AF"/>
    <w:rsid w:val="09B71227"/>
    <w:rsid w:val="09B96D4E"/>
    <w:rsid w:val="09C0632E"/>
    <w:rsid w:val="09C474A0"/>
    <w:rsid w:val="09C65D3C"/>
    <w:rsid w:val="09CF031F"/>
    <w:rsid w:val="09D019BF"/>
    <w:rsid w:val="09D21BBD"/>
    <w:rsid w:val="09D27E0F"/>
    <w:rsid w:val="09D516AE"/>
    <w:rsid w:val="09DB3168"/>
    <w:rsid w:val="09DB4F16"/>
    <w:rsid w:val="09E0077E"/>
    <w:rsid w:val="09E13DD4"/>
    <w:rsid w:val="09E85450"/>
    <w:rsid w:val="09EA6F07"/>
    <w:rsid w:val="09ED4C49"/>
    <w:rsid w:val="09ED69F7"/>
    <w:rsid w:val="09EF46F9"/>
    <w:rsid w:val="09EF6C13"/>
    <w:rsid w:val="09F204B1"/>
    <w:rsid w:val="09F41F52"/>
    <w:rsid w:val="09F71624"/>
    <w:rsid w:val="09F935EE"/>
    <w:rsid w:val="09F93BE8"/>
    <w:rsid w:val="09F9539C"/>
    <w:rsid w:val="09FE6E56"/>
    <w:rsid w:val="0A00672A"/>
    <w:rsid w:val="0A0106F5"/>
    <w:rsid w:val="0A0124A3"/>
    <w:rsid w:val="0A026946"/>
    <w:rsid w:val="0A054BE4"/>
    <w:rsid w:val="0A096DD5"/>
    <w:rsid w:val="0A0B2D2F"/>
    <w:rsid w:val="0A0B4470"/>
    <w:rsid w:val="0A0F6915"/>
    <w:rsid w:val="0A165F4E"/>
    <w:rsid w:val="0A193C90"/>
    <w:rsid w:val="0A195C1F"/>
    <w:rsid w:val="0A1E3055"/>
    <w:rsid w:val="0A1E4E03"/>
    <w:rsid w:val="0A1F2635"/>
    <w:rsid w:val="0A20501F"/>
    <w:rsid w:val="0A2C39C3"/>
    <w:rsid w:val="0A2D5046"/>
    <w:rsid w:val="0A2E4A30"/>
    <w:rsid w:val="0A305D6B"/>
    <w:rsid w:val="0A361C66"/>
    <w:rsid w:val="0A3B59B5"/>
    <w:rsid w:val="0A3B7458"/>
    <w:rsid w:val="0A3D797F"/>
    <w:rsid w:val="0A3E3EAB"/>
    <w:rsid w:val="0A546A76"/>
    <w:rsid w:val="0A586566"/>
    <w:rsid w:val="0A595E3B"/>
    <w:rsid w:val="0A5B7E05"/>
    <w:rsid w:val="0A5C592B"/>
    <w:rsid w:val="0A5D3B7D"/>
    <w:rsid w:val="0A60366D"/>
    <w:rsid w:val="0A642BB8"/>
    <w:rsid w:val="0A652087"/>
    <w:rsid w:val="0A652A31"/>
    <w:rsid w:val="0A71382C"/>
    <w:rsid w:val="0A73514E"/>
    <w:rsid w:val="0A762E91"/>
    <w:rsid w:val="0A7648BF"/>
    <w:rsid w:val="0A7669ED"/>
    <w:rsid w:val="0A776340"/>
    <w:rsid w:val="0A7B4003"/>
    <w:rsid w:val="0A8119D2"/>
    <w:rsid w:val="0A821835"/>
    <w:rsid w:val="0A8245A3"/>
    <w:rsid w:val="0A831CCA"/>
    <w:rsid w:val="0A84735B"/>
    <w:rsid w:val="0A8643B4"/>
    <w:rsid w:val="0A876E4C"/>
    <w:rsid w:val="0A894972"/>
    <w:rsid w:val="0A8B5265"/>
    <w:rsid w:val="0A8D16B6"/>
    <w:rsid w:val="0A8E1F88"/>
    <w:rsid w:val="0A92134D"/>
    <w:rsid w:val="0A924546"/>
    <w:rsid w:val="0A9B28F7"/>
    <w:rsid w:val="0A9F3ACB"/>
    <w:rsid w:val="0A9F4195"/>
    <w:rsid w:val="0AA07F0D"/>
    <w:rsid w:val="0AA277E2"/>
    <w:rsid w:val="0AA572D2"/>
    <w:rsid w:val="0AA74DF8"/>
    <w:rsid w:val="0AAD64D4"/>
    <w:rsid w:val="0AAE6186"/>
    <w:rsid w:val="0AAE6D74"/>
    <w:rsid w:val="0AAE7354"/>
    <w:rsid w:val="0AAF0151"/>
    <w:rsid w:val="0AB13EC9"/>
    <w:rsid w:val="0AB319EF"/>
    <w:rsid w:val="0AB37C41"/>
    <w:rsid w:val="0AB44767"/>
    <w:rsid w:val="0AB45767"/>
    <w:rsid w:val="0ABB4D47"/>
    <w:rsid w:val="0ABC5BC4"/>
    <w:rsid w:val="0ABE2142"/>
    <w:rsid w:val="0AC0235E"/>
    <w:rsid w:val="0AC7549A"/>
    <w:rsid w:val="0AC77248"/>
    <w:rsid w:val="0ACA1658"/>
    <w:rsid w:val="0ACF434F"/>
    <w:rsid w:val="0AD1239D"/>
    <w:rsid w:val="0AD23916"/>
    <w:rsid w:val="0AD43E4B"/>
    <w:rsid w:val="0AD6392F"/>
    <w:rsid w:val="0AD916A4"/>
    <w:rsid w:val="0ADA114D"/>
    <w:rsid w:val="0ADB0155"/>
    <w:rsid w:val="0ADE3D74"/>
    <w:rsid w:val="0ADF4592"/>
    <w:rsid w:val="0AE20526"/>
    <w:rsid w:val="0AE33940"/>
    <w:rsid w:val="0AE4604C"/>
    <w:rsid w:val="0AE60C00"/>
    <w:rsid w:val="0AE93662"/>
    <w:rsid w:val="0AE9630D"/>
    <w:rsid w:val="0AEA2F37"/>
    <w:rsid w:val="0AEB20D2"/>
    <w:rsid w:val="0AEC0E42"/>
    <w:rsid w:val="0AED3B3A"/>
    <w:rsid w:val="0AEE0C79"/>
    <w:rsid w:val="0AF73FD1"/>
    <w:rsid w:val="0AFB3396"/>
    <w:rsid w:val="0AFD710E"/>
    <w:rsid w:val="0AFE7153"/>
    <w:rsid w:val="0B00275A"/>
    <w:rsid w:val="0B0142F8"/>
    <w:rsid w:val="0B016BFE"/>
    <w:rsid w:val="0B03361E"/>
    <w:rsid w:val="0B057D70"/>
    <w:rsid w:val="0B065FC2"/>
    <w:rsid w:val="0B072072"/>
    <w:rsid w:val="0B09160F"/>
    <w:rsid w:val="0B095AB3"/>
    <w:rsid w:val="0B097861"/>
    <w:rsid w:val="0B0B4989"/>
    <w:rsid w:val="0B112BB9"/>
    <w:rsid w:val="0B116715"/>
    <w:rsid w:val="0B18726F"/>
    <w:rsid w:val="0B187AA4"/>
    <w:rsid w:val="0B1C0A91"/>
    <w:rsid w:val="0B1C6262"/>
    <w:rsid w:val="0B1F7084"/>
    <w:rsid w:val="0B2428ED"/>
    <w:rsid w:val="0B27418B"/>
    <w:rsid w:val="0B297F03"/>
    <w:rsid w:val="0B2C17A1"/>
    <w:rsid w:val="0B426A4E"/>
    <w:rsid w:val="0B4F7FE6"/>
    <w:rsid w:val="0B5125A3"/>
    <w:rsid w:val="0B512FB6"/>
    <w:rsid w:val="0B521208"/>
    <w:rsid w:val="0B5331D2"/>
    <w:rsid w:val="0B55411C"/>
    <w:rsid w:val="0B586924"/>
    <w:rsid w:val="0B5D195B"/>
    <w:rsid w:val="0B6017B9"/>
    <w:rsid w:val="0B622204"/>
    <w:rsid w:val="0B633415"/>
    <w:rsid w:val="0B6369A2"/>
    <w:rsid w:val="0B664CB3"/>
    <w:rsid w:val="0B697506"/>
    <w:rsid w:val="0B6D4294"/>
    <w:rsid w:val="0B6E5C7D"/>
    <w:rsid w:val="0B70168E"/>
    <w:rsid w:val="0B73117E"/>
    <w:rsid w:val="0B732F2C"/>
    <w:rsid w:val="0B756CA4"/>
    <w:rsid w:val="0B786794"/>
    <w:rsid w:val="0B7A42BB"/>
    <w:rsid w:val="0B7D3DAB"/>
    <w:rsid w:val="0B7E6C6B"/>
    <w:rsid w:val="0B7F2855"/>
    <w:rsid w:val="0B7F7B23"/>
    <w:rsid w:val="0B832C7E"/>
    <w:rsid w:val="0B860EB1"/>
    <w:rsid w:val="0B8615FF"/>
    <w:rsid w:val="0B892750"/>
    <w:rsid w:val="0B8B64C8"/>
    <w:rsid w:val="0B8D0492"/>
    <w:rsid w:val="0B8D04E6"/>
    <w:rsid w:val="0B923CFA"/>
    <w:rsid w:val="0B95233E"/>
    <w:rsid w:val="0B995089"/>
    <w:rsid w:val="0B996E37"/>
    <w:rsid w:val="0B9D61FB"/>
    <w:rsid w:val="0BA17A99"/>
    <w:rsid w:val="0BA46B52"/>
    <w:rsid w:val="0BA61553"/>
    <w:rsid w:val="0BA63302"/>
    <w:rsid w:val="0BAB0918"/>
    <w:rsid w:val="0BAB0F6A"/>
    <w:rsid w:val="0BAB4DBC"/>
    <w:rsid w:val="0BAD28E2"/>
    <w:rsid w:val="0BAE21B6"/>
    <w:rsid w:val="0BB2614A"/>
    <w:rsid w:val="0BB62502"/>
    <w:rsid w:val="0BB70F4B"/>
    <w:rsid w:val="0BBA0B5B"/>
    <w:rsid w:val="0BC33EB3"/>
    <w:rsid w:val="0BC95B3E"/>
    <w:rsid w:val="0BCD088E"/>
    <w:rsid w:val="0BCD419B"/>
    <w:rsid w:val="0BD065D0"/>
    <w:rsid w:val="0BD10FD4"/>
    <w:rsid w:val="0BD54C38"/>
    <w:rsid w:val="0BD87233"/>
    <w:rsid w:val="0BD936D7"/>
    <w:rsid w:val="0BDE0CED"/>
    <w:rsid w:val="0BE34556"/>
    <w:rsid w:val="0BE43E2A"/>
    <w:rsid w:val="0BE65DF4"/>
    <w:rsid w:val="0BEA58E4"/>
    <w:rsid w:val="0BED0F30"/>
    <w:rsid w:val="0BEE30CD"/>
    <w:rsid w:val="0BF16C73"/>
    <w:rsid w:val="0BF538E8"/>
    <w:rsid w:val="0BF64289"/>
    <w:rsid w:val="0BFB5CEE"/>
    <w:rsid w:val="0C063DA0"/>
    <w:rsid w:val="0C0C51C6"/>
    <w:rsid w:val="0C0E410A"/>
    <w:rsid w:val="0C1741FF"/>
    <w:rsid w:val="0C175FAD"/>
    <w:rsid w:val="0C177D5B"/>
    <w:rsid w:val="0C18633A"/>
    <w:rsid w:val="0C1C1816"/>
    <w:rsid w:val="0C1C35C4"/>
    <w:rsid w:val="0C1D53EF"/>
    <w:rsid w:val="0C1E733C"/>
    <w:rsid w:val="0C230DF6"/>
    <w:rsid w:val="0C28640C"/>
    <w:rsid w:val="0C2C7CAB"/>
    <w:rsid w:val="0C2D3A23"/>
    <w:rsid w:val="0C3504B5"/>
    <w:rsid w:val="0C3C3C66"/>
    <w:rsid w:val="0C3C5C5D"/>
    <w:rsid w:val="0C405504"/>
    <w:rsid w:val="0C4072B2"/>
    <w:rsid w:val="0C4405E2"/>
    <w:rsid w:val="0C460641"/>
    <w:rsid w:val="0C464E2B"/>
    <w:rsid w:val="0C4A1EDF"/>
    <w:rsid w:val="0C50246A"/>
    <w:rsid w:val="0C5165ED"/>
    <w:rsid w:val="0C525237"/>
    <w:rsid w:val="0C582030"/>
    <w:rsid w:val="0C5E3BDC"/>
    <w:rsid w:val="0C63281E"/>
    <w:rsid w:val="0C6531BD"/>
    <w:rsid w:val="0C655925"/>
    <w:rsid w:val="0C662A91"/>
    <w:rsid w:val="0C6C62F9"/>
    <w:rsid w:val="0C6D4563"/>
    <w:rsid w:val="0C741865"/>
    <w:rsid w:val="0C7927C4"/>
    <w:rsid w:val="0C796C68"/>
    <w:rsid w:val="0C7E602C"/>
    <w:rsid w:val="0C7E65A6"/>
    <w:rsid w:val="0C803B53"/>
    <w:rsid w:val="0C807FF6"/>
    <w:rsid w:val="0C8278CB"/>
    <w:rsid w:val="0C874AB1"/>
    <w:rsid w:val="0C8E2713"/>
    <w:rsid w:val="0C8E27C5"/>
    <w:rsid w:val="0C915D60"/>
    <w:rsid w:val="0C965414"/>
    <w:rsid w:val="0C981B18"/>
    <w:rsid w:val="0C985340"/>
    <w:rsid w:val="0C9F66CF"/>
    <w:rsid w:val="0CA23AC9"/>
    <w:rsid w:val="0CA8048A"/>
    <w:rsid w:val="0CAC0DEC"/>
    <w:rsid w:val="0CAD06C0"/>
    <w:rsid w:val="0CAF268A"/>
    <w:rsid w:val="0CAF495E"/>
    <w:rsid w:val="0CB101B0"/>
    <w:rsid w:val="0CB90E13"/>
    <w:rsid w:val="0CBB102F"/>
    <w:rsid w:val="0CBD0903"/>
    <w:rsid w:val="0CBD4786"/>
    <w:rsid w:val="0CBD6B55"/>
    <w:rsid w:val="0CBE467B"/>
    <w:rsid w:val="0CBF26C9"/>
    <w:rsid w:val="0CBF5B3A"/>
    <w:rsid w:val="0CC004E9"/>
    <w:rsid w:val="0CC10939"/>
    <w:rsid w:val="0CC26880"/>
    <w:rsid w:val="0CC33C1B"/>
    <w:rsid w:val="0CC47EE3"/>
    <w:rsid w:val="0CC55A09"/>
    <w:rsid w:val="0CC66C75"/>
    <w:rsid w:val="0CC71781"/>
    <w:rsid w:val="0CCA3020"/>
    <w:rsid w:val="0CCC323C"/>
    <w:rsid w:val="0CCC4FEA"/>
    <w:rsid w:val="0CCF6888"/>
    <w:rsid w:val="0CD21ED4"/>
    <w:rsid w:val="0CD43E9E"/>
    <w:rsid w:val="0CD67C16"/>
    <w:rsid w:val="0CD8398F"/>
    <w:rsid w:val="0CDD2D53"/>
    <w:rsid w:val="0CE045F1"/>
    <w:rsid w:val="0CE40585"/>
    <w:rsid w:val="0CEA5470"/>
    <w:rsid w:val="0CF26C99"/>
    <w:rsid w:val="0CF32576"/>
    <w:rsid w:val="0CF325DF"/>
    <w:rsid w:val="0CF84031"/>
    <w:rsid w:val="0CF87B8D"/>
    <w:rsid w:val="0CF956B3"/>
    <w:rsid w:val="0CFD1647"/>
    <w:rsid w:val="0CFD51A3"/>
    <w:rsid w:val="0CFF0F1B"/>
    <w:rsid w:val="0D002EE5"/>
    <w:rsid w:val="0D0364DD"/>
    <w:rsid w:val="0D093B48"/>
    <w:rsid w:val="0D0C188A"/>
    <w:rsid w:val="0D215336"/>
    <w:rsid w:val="0D240982"/>
    <w:rsid w:val="0D2766C4"/>
    <w:rsid w:val="0D2B7F62"/>
    <w:rsid w:val="0D2C7836"/>
    <w:rsid w:val="0D2E2A9B"/>
    <w:rsid w:val="0D2E3D85"/>
    <w:rsid w:val="0D330BC5"/>
    <w:rsid w:val="0D35752C"/>
    <w:rsid w:val="0D3F3B5F"/>
    <w:rsid w:val="0D445B34"/>
    <w:rsid w:val="0D4B23B2"/>
    <w:rsid w:val="0D4F1E8D"/>
    <w:rsid w:val="0D51729D"/>
    <w:rsid w:val="0D553231"/>
    <w:rsid w:val="0D5648B3"/>
    <w:rsid w:val="0D59232E"/>
    <w:rsid w:val="0D5C636E"/>
    <w:rsid w:val="0D5D3E94"/>
    <w:rsid w:val="0D682F64"/>
    <w:rsid w:val="0D69025C"/>
    <w:rsid w:val="0D6E7E4F"/>
    <w:rsid w:val="0D70006B"/>
    <w:rsid w:val="0D701E19"/>
    <w:rsid w:val="0D774F56"/>
    <w:rsid w:val="0D7A4A46"/>
    <w:rsid w:val="0D7A67F4"/>
    <w:rsid w:val="0D814026"/>
    <w:rsid w:val="0D815DD4"/>
    <w:rsid w:val="0D8F7523"/>
    <w:rsid w:val="0D906017"/>
    <w:rsid w:val="0D957AD2"/>
    <w:rsid w:val="0D9961D1"/>
    <w:rsid w:val="0D9C676A"/>
    <w:rsid w:val="0DA25D4B"/>
    <w:rsid w:val="0DA63A8D"/>
    <w:rsid w:val="0DA675E9"/>
    <w:rsid w:val="0DA815B3"/>
    <w:rsid w:val="0DA9532B"/>
    <w:rsid w:val="0DAE649D"/>
    <w:rsid w:val="0DB42481"/>
    <w:rsid w:val="0DB46D20"/>
    <w:rsid w:val="0DB52D2F"/>
    <w:rsid w:val="0DB77A48"/>
    <w:rsid w:val="0DB8556E"/>
    <w:rsid w:val="0DB8731C"/>
    <w:rsid w:val="0DB951E4"/>
    <w:rsid w:val="0DBA12E6"/>
    <w:rsid w:val="0DBD3B65"/>
    <w:rsid w:val="0DBD4932"/>
    <w:rsid w:val="0DC14423"/>
    <w:rsid w:val="0DC65EDD"/>
    <w:rsid w:val="0DC67C8B"/>
    <w:rsid w:val="0DC77235"/>
    <w:rsid w:val="0DC7755F"/>
    <w:rsid w:val="0DCE08EE"/>
    <w:rsid w:val="0DD01DAA"/>
    <w:rsid w:val="0DD34156"/>
    <w:rsid w:val="0DD979BE"/>
    <w:rsid w:val="0DDC6E3D"/>
    <w:rsid w:val="0DDF6F9F"/>
    <w:rsid w:val="0DE5281D"/>
    <w:rsid w:val="0DE819AF"/>
    <w:rsid w:val="0DEE2D3E"/>
    <w:rsid w:val="0DF02F5A"/>
    <w:rsid w:val="0DF62C9E"/>
    <w:rsid w:val="0DF751C4"/>
    <w:rsid w:val="0E032C8D"/>
    <w:rsid w:val="0E0A1E1D"/>
    <w:rsid w:val="0E0E6AF5"/>
    <w:rsid w:val="0E1739B8"/>
    <w:rsid w:val="0E19425F"/>
    <w:rsid w:val="0E1A1D85"/>
    <w:rsid w:val="0E1B7FD7"/>
    <w:rsid w:val="0E1C78AB"/>
    <w:rsid w:val="0E1E1875"/>
    <w:rsid w:val="0E1F1149"/>
    <w:rsid w:val="0E204F4D"/>
    <w:rsid w:val="0E2126D9"/>
    <w:rsid w:val="0E281DBF"/>
    <w:rsid w:val="0E2D36D6"/>
    <w:rsid w:val="0E2E7E25"/>
    <w:rsid w:val="0E3177FA"/>
    <w:rsid w:val="0E325320"/>
    <w:rsid w:val="0E340E7E"/>
    <w:rsid w:val="0E39434A"/>
    <w:rsid w:val="0E3C1CFB"/>
    <w:rsid w:val="0E3E39CE"/>
    <w:rsid w:val="0E407A3D"/>
    <w:rsid w:val="0E4137B5"/>
    <w:rsid w:val="0E4536AF"/>
    <w:rsid w:val="0E456E02"/>
    <w:rsid w:val="0E4610F4"/>
    <w:rsid w:val="0E462B7A"/>
    <w:rsid w:val="0E4D292A"/>
    <w:rsid w:val="0E4F5ED2"/>
    <w:rsid w:val="0E601E8E"/>
    <w:rsid w:val="0E6059EA"/>
    <w:rsid w:val="0E6574A4"/>
    <w:rsid w:val="0E6652FE"/>
    <w:rsid w:val="0E680D42"/>
    <w:rsid w:val="0E6928D6"/>
    <w:rsid w:val="0E6A4ABA"/>
    <w:rsid w:val="0E6B152D"/>
    <w:rsid w:val="0E6D26E7"/>
    <w:rsid w:val="0E6D6359"/>
    <w:rsid w:val="0E6F3E7F"/>
    <w:rsid w:val="0E71409B"/>
    <w:rsid w:val="0E745939"/>
    <w:rsid w:val="0E7B4B53"/>
    <w:rsid w:val="0E7E40C2"/>
    <w:rsid w:val="0E8042DE"/>
    <w:rsid w:val="0E811D9B"/>
    <w:rsid w:val="0E813326"/>
    <w:rsid w:val="0E843362"/>
    <w:rsid w:val="0E8536A2"/>
    <w:rsid w:val="0E87566C"/>
    <w:rsid w:val="0E875C90"/>
    <w:rsid w:val="0E8813E4"/>
    <w:rsid w:val="0E884F40"/>
    <w:rsid w:val="0E8A2A67"/>
    <w:rsid w:val="0E8C4A31"/>
    <w:rsid w:val="0E8E59FB"/>
    <w:rsid w:val="0E8F2773"/>
    <w:rsid w:val="0E912047"/>
    <w:rsid w:val="0E924011"/>
    <w:rsid w:val="0E927B6D"/>
    <w:rsid w:val="0E96765D"/>
    <w:rsid w:val="0E9953A0"/>
    <w:rsid w:val="0E9B1118"/>
    <w:rsid w:val="0EA0228A"/>
    <w:rsid w:val="0EA33EF7"/>
    <w:rsid w:val="0EA7186A"/>
    <w:rsid w:val="0EA855E3"/>
    <w:rsid w:val="0EA87391"/>
    <w:rsid w:val="0EAA4EB7"/>
    <w:rsid w:val="0EAE1150"/>
    <w:rsid w:val="0EB36461"/>
    <w:rsid w:val="0EB75826"/>
    <w:rsid w:val="0EB9159E"/>
    <w:rsid w:val="0EBB70C4"/>
    <w:rsid w:val="0EBC4BEA"/>
    <w:rsid w:val="0EC56195"/>
    <w:rsid w:val="0EC75A69"/>
    <w:rsid w:val="0EC817E1"/>
    <w:rsid w:val="0EC95C85"/>
    <w:rsid w:val="0ECC307F"/>
    <w:rsid w:val="0ED62150"/>
    <w:rsid w:val="0ED85EC8"/>
    <w:rsid w:val="0ED939EE"/>
    <w:rsid w:val="0EDC703A"/>
    <w:rsid w:val="0EDF1579"/>
    <w:rsid w:val="0EE52393"/>
    <w:rsid w:val="0EE54141"/>
    <w:rsid w:val="0EE7435D"/>
    <w:rsid w:val="0EE76B4E"/>
    <w:rsid w:val="0EE859DF"/>
    <w:rsid w:val="0EEE7499"/>
    <w:rsid w:val="0EEF4FBF"/>
    <w:rsid w:val="0EF12AE6"/>
    <w:rsid w:val="0EF40828"/>
    <w:rsid w:val="0F022F45"/>
    <w:rsid w:val="0F024CF3"/>
    <w:rsid w:val="0F041E04"/>
    <w:rsid w:val="0F072309"/>
    <w:rsid w:val="0F0A3BA7"/>
    <w:rsid w:val="0F0D45F7"/>
    <w:rsid w:val="0F110A35"/>
    <w:rsid w:val="0F136F00"/>
    <w:rsid w:val="0F1D44D7"/>
    <w:rsid w:val="0F1E7653"/>
    <w:rsid w:val="0F203DE2"/>
    <w:rsid w:val="0F215A03"/>
    <w:rsid w:val="0F22689D"/>
    <w:rsid w:val="0F242EBB"/>
    <w:rsid w:val="0F270324"/>
    <w:rsid w:val="0F296723"/>
    <w:rsid w:val="0F2F6254"/>
    <w:rsid w:val="0F346E76"/>
    <w:rsid w:val="0F3550C8"/>
    <w:rsid w:val="0F36499C"/>
    <w:rsid w:val="0F3A0931"/>
    <w:rsid w:val="0F3A26DF"/>
    <w:rsid w:val="0F3B6457"/>
    <w:rsid w:val="0F3D21CF"/>
    <w:rsid w:val="0F3F5F47"/>
    <w:rsid w:val="0F421593"/>
    <w:rsid w:val="0F436B50"/>
    <w:rsid w:val="0F44530B"/>
    <w:rsid w:val="0F4F5A5E"/>
    <w:rsid w:val="0F53554E"/>
    <w:rsid w:val="0F557518"/>
    <w:rsid w:val="0F5B4403"/>
    <w:rsid w:val="0F5F5CA1"/>
    <w:rsid w:val="0F6239E3"/>
    <w:rsid w:val="0F655282"/>
    <w:rsid w:val="0F67724C"/>
    <w:rsid w:val="0F6862D5"/>
    <w:rsid w:val="0F6C6610"/>
    <w:rsid w:val="0F7006C6"/>
    <w:rsid w:val="0F751969"/>
    <w:rsid w:val="0F7756E1"/>
    <w:rsid w:val="0F781459"/>
    <w:rsid w:val="0F786D63"/>
    <w:rsid w:val="0F786E19"/>
    <w:rsid w:val="0F7D6A6F"/>
    <w:rsid w:val="0F803E6A"/>
    <w:rsid w:val="0F851480"/>
    <w:rsid w:val="0F8C0A60"/>
    <w:rsid w:val="0F8D6B37"/>
    <w:rsid w:val="0F900551"/>
    <w:rsid w:val="0F930041"/>
    <w:rsid w:val="0F933B9D"/>
    <w:rsid w:val="0F94421F"/>
    <w:rsid w:val="0F9478B3"/>
    <w:rsid w:val="0F952BE5"/>
    <w:rsid w:val="0F985657"/>
    <w:rsid w:val="0F9B0EE8"/>
    <w:rsid w:val="0F9F39DA"/>
    <w:rsid w:val="0FA311DA"/>
    <w:rsid w:val="0FA36571"/>
    <w:rsid w:val="0FA67D74"/>
    <w:rsid w:val="0FA97864"/>
    <w:rsid w:val="0FAD5F50"/>
    <w:rsid w:val="0FAE1726"/>
    <w:rsid w:val="0FAE4E7B"/>
    <w:rsid w:val="0FAE692A"/>
    <w:rsid w:val="0FAF52CB"/>
    <w:rsid w:val="0FB56209"/>
    <w:rsid w:val="0FBF2BE4"/>
    <w:rsid w:val="0FBF2FB7"/>
    <w:rsid w:val="0FC1070A"/>
    <w:rsid w:val="0FC14BAE"/>
    <w:rsid w:val="0FD146C5"/>
    <w:rsid w:val="0FD20B69"/>
    <w:rsid w:val="0FD541B5"/>
    <w:rsid w:val="0FD556FA"/>
    <w:rsid w:val="0FD77F2D"/>
    <w:rsid w:val="0FD857C7"/>
    <w:rsid w:val="0FD85A54"/>
    <w:rsid w:val="0FDC047D"/>
    <w:rsid w:val="0FDD19F6"/>
    <w:rsid w:val="0FE44E94"/>
    <w:rsid w:val="0FE95EB3"/>
    <w:rsid w:val="0FEA38D7"/>
    <w:rsid w:val="0FF334F9"/>
    <w:rsid w:val="0FF52AC8"/>
    <w:rsid w:val="10090303"/>
    <w:rsid w:val="1010343F"/>
    <w:rsid w:val="101173EF"/>
    <w:rsid w:val="102127F5"/>
    <w:rsid w:val="1025693D"/>
    <w:rsid w:val="10260EB5"/>
    <w:rsid w:val="10262C63"/>
    <w:rsid w:val="10277CAB"/>
    <w:rsid w:val="10284C2D"/>
    <w:rsid w:val="102B0279"/>
    <w:rsid w:val="102B64CB"/>
    <w:rsid w:val="102D5D9F"/>
    <w:rsid w:val="102F5781"/>
    <w:rsid w:val="1030329B"/>
    <w:rsid w:val="10341E1C"/>
    <w:rsid w:val="1036730D"/>
    <w:rsid w:val="1037079D"/>
    <w:rsid w:val="103A0BA0"/>
    <w:rsid w:val="103C2486"/>
    <w:rsid w:val="103E61FE"/>
    <w:rsid w:val="1041184B"/>
    <w:rsid w:val="10412DE6"/>
    <w:rsid w:val="104322BF"/>
    <w:rsid w:val="10455B4B"/>
    <w:rsid w:val="1045758D"/>
    <w:rsid w:val="104650B3"/>
    <w:rsid w:val="104A6951"/>
    <w:rsid w:val="104B091B"/>
    <w:rsid w:val="104D01F0"/>
    <w:rsid w:val="104D4694"/>
    <w:rsid w:val="104F21BA"/>
    <w:rsid w:val="1054157E"/>
    <w:rsid w:val="105C48D7"/>
    <w:rsid w:val="106B20F4"/>
    <w:rsid w:val="10725EA8"/>
    <w:rsid w:val="10755FB8"/>
    <w:rsid w:val="107B4D5D"/>
    <w:rsid w:val="107B7182"/>
    <w:rsid w:val="107C0AD5"/>
    <w:rsid w:val="107F04D7"/>
    <w:rsid w:val="10806817"/>
    <w:rsid w:val="1081433D"/>
    <w:rsid w:val="10831E63"/>
    <w:rsid w:val="10856F1B"/>
    <w:rsid w:val="108C6F6A"/>
    <w:rsid w:val="108F0808"/>
    <w:rsid w:val="10947BCD"/>
    <w:rsid w:val="109615A3"/>
    <w:rsid w:val="1097590F"/>
    <w:rsid w:val="109D1ACA"/>
    <w:rsid w:val="109E4EEF"/>
    <w:rsid w:val="10A047C3"/>
    <w:rsid w:val="10A225A6"/>
    <w:rsid w:val="10A36056"/>
    <w:rsid w:val="10A87B1C"/>
    <w:rsid w:val="10AB4F16"/>
    <w:rsid w:val="10AD2A04"/>
    <w:rsid w:val="10AE7FBC"/>
    <w:rsid w:val="10AF2C58"/>
    <w:rsid w:val="10B154F6"/>
    <w:rsid w:val="10B71B0D"/>
    <w:rsid w:val="10B93AD7"/>
    <w:rsid w:val="10B956BE"/>
    <w:rsid w:val="10BC7123"/>
    <w:rsid w:val="10BE10ED"/>
    <w:rsid w:val="10C06C14"/>
    <w:rsid w:val="10C64545"/>
    <w:rsid w:val="10C75DB2"/>
    <w:rsid w:val="10CA1840"/>
    <w:rsid w:val="10CB66A1"/>
    <w:rsid w:val="10CF32FA"/>
    <w:rsid w:val="10D03F34"/>
    <w:rsid w:val="10D206F5"/>
    <w:rsid w:val="10D601E5"/>
    <w:rsid w:val="10D73F5D"/>
    <w:rsid w:val="10D75D0B"/>
    <w:rsid w:val="10DA102E"/>
    <w:rsid w:val="10DE2100"/>
    <w:rsid w:val="10E16B8A"/>
    <w:rsid w:val="10E2302E"/>
    <w:rsid w:val="10E24BEF"/>
    <w:rsid w:val="10E548CC"/>
    <w:rsid w:val="10E8616A"/>
    <w:rsid w:val="10E87F18"/>
    <w:rsid w:val="10EC7A09"/>
    <w:rsid w:val="10ED552F"/>
    <w:rsid w:val="10F17525"/>
    <w:rsid w:val="10F35682"/>
    <w:rsid w:val="10F36FE9"/>
    <w:rsid w:val="10F37004"/>
    <w:rsid w:val="10F62529"/>
    <w:rsid w:val="10F93ED3"/>
    <w:rsid w:val="10FB40F0"/>
    <w:rsid w:val="10FB5E9E"/>
    <w:rsid w:val="10FF6476"/>
    <w:rsid w:val="11050ACA"/>
    <w:rsid w:val="11056D1C"/>
    <w:rsid w:val="1107522D"/>
    <w:rsid w:val="110D277C"/>
    <w:rsid w:val="11131439"/>
    <w:rsid w:val="111451B1"/>
    <w:rsid w:val="11160F29"/>
    <w:rsid w:val="11166833"/>
    <w:rsid w:val="11177B40"/>
    <w:rsid w:val="11186A50"/>
    <w:rsid w:val="1119164B"/>
    <w:rsid w:val="111D4066"/>
    <w:rsid w:val="111E1B8C"/>
    <w:rsid w:val="11291F54"/>
    <w:rsid w:val="1129448A"/>
    <w:rsid w:val="112C6057"/>
    <w:rsid w:val="112E1DCF"/>
    <w:rsid w:val="113349F9"/>
    <w:rsid w:val="11380EA0"/>
    <w:rsid w:val="113849FC"/>
    <w:rsid w:val="11390774"/>
    <w:rsid w:val="11421D1E"/>
    <w:rsid w:val="1142587A"/>
    <w:rsid w:val="114535BD"/>
    <w:rsid w:val="1145536B"/>
    <w:rsid w:val="1146147C"/>
    <w:rsid w:val="11494E5B"/>
    <w:rsid w:val="114A2981"/>
    <w:rsid w:val="114E2471"/>
    <w:rsid w:val="114E27DF"/>
    <w:rsid w:val="11513D10"/>
    <w:rsid w:val="1154735C"/>
    <w:rsid w:val="11551A52"/>
    <w:rsid w:val="1155307D"/>
    <w:rsid w:val="11561326"/>
    <w:rsid w:val="1158509E"/>
    <w:rsid w:val="115E4270"/>
    <w:rsid w:val="11602D5A"/>
    <w:rsid w:val="11615025"/>
    <w:rsid w:val="11616D28"/>
    <w:rsid w:val="11625F1D"/>
    <w:rsid w:val="1164141F"/>
    <w:rsid w:val="116E2B13"/>
    <w:rsid w:val="116F23E8"/>
    <w:rsid w:val="117C4C32"/>
    <w:rsid w:val="117D68B3"/>
    <w:rsid w:val="11823EC9"/>
    <w:rsid w:val="118D5F21"/>
    <w:rsid w:val="118E0AC0"/>
    <w:rsid w:val="119200E9"/>
    <w:rsid w:val="11954AE4"/>
    <w:rsid w:val="1198193E"/>
    <w:rsid w:val="11987B90"/>
    <w:rsid w:val="119F4A7B"/>
    <w:rsid w:val="11A007F3"/>
    <w:rsid w:val="11A2456B"/>
    <w:rsid w:val="11A52549"/>
    <w:rsid w:val="11A6405B"/>
    <w:rsid w:val="11A77DD3"/>
    <w:rsid w:val="11AA3420"/>
    <w:rsid w:val="11AF6BD3"/>
    <w:rsid w:val="11B0140B"/>
    <w:rsid w:val="11B20C52"/>
    <w:rsid w:val="11B322D4"/>
    <w:rsid w:val="11B47AAB"/>
    <w:rsid w:val="11B61DC5"/>
    <w:rsid w:val="11BA18B5"/>
    <w:rsid w:val="11BA7B07"/>
    <w:rsid w:val="11BD13A5"/>
    <w:rsid w:val="11C0052E"/>
    <w:rsid w:val="11C444E1"/>
    <w:rsid w:val="11C73FD2"/>
    <w:rsid w:val="11C97D4A"/>
    <w:rsid w:val="11D16BFE"/>
    <w:rsid w:val="11D23D90"/>
    <w:rsid w:val="11D81D3B"/>
    <w:rsid w:val="11DF30C9"/>
    <w:rsid w:val="11E15093"/>
    <w:rsid w:val="11E42DD6"/>
    <w:rsid w:val="11E60706"/>
    <w:rsid w:val="11F0700F"/>
    <w:rsid w:val="11F8062F"/>
    <w:rsid w:val="11F8418B"/>
    <w:rsid w:val="11F970A4"/>
    <w:rsid w:val="11FE1526"/>
    <w:rsid w:val="1202325C"/>
    <w:rsid w:val="12062999"/>
    <w:rsid w:val="12064AFA"/>
    <w:rsid w:val="12080872"/>
    <w:rsid w:val="12081C36"/>
    <w:rsid w:val="120945EA"/>
    <w:rsid w:val="120B2110"/>
    <w:rsid w:val="120C7C36"/>
    <w:rsid w:val="121216F1"/>
    <w:rsid w:val="12154D3D"/>
    <w:rsid w:val="121F796A"/>
    <w:rsid w:val="12205576"/>
    <w:rsid w:val="12211934"/>
    <w:rsid w:val="122214CC"/>
    <w:rsid w:val="122272CD"/>
    <w:rsid w:val="122338FE"/>
    <w:rsid w:val="12266F4A"/>
    <w:rsid w:val="122907E8"/>
    <w:rsid w:val="12296A3A"/>
    <w:rsid w:val="122D46DF"/>
    <w:rsid w:val="122E1D73"/>
    <w:rsid w:val="122E4051"/>
    <w:rsid w:val="1232769D"/>
    <w:rsid w:val="123307EA"/>
    <w:rsid w:val="123553DF"/>
    <w:rsid w:val="1235718D"/>
    <w:rsid w:val="12372F05"/>
    <w:rsid w:val="12394ECF"/>
    <w:rsid w:val="123A29F6"/>
    <w:rsid w:val="123D6042"/>
    <w:rsid w:val="123F625E"/>
    <w:rsid w:val="124473D0"/>
    <w:rsid w:val="12483364"/>
    <w:rsid w:val="12485112"/>
    <w:rsid w:val="12486EC1"/>
    <w:rsid w:val="124D2729"/>
    <w:rsid w:val="1255782F"/>
    <w:rsid w:val="125735A8"/>
    <w:rsid w:val="125E66E4"/>
    <w:rsid w:val="12617F82"/>
    <w:rsid w:val="12655CC4"/>
    <w:rsid w:val="12681311"/>
    <w:rsid w:val="12696E37"/>
    <w:rsid w:val="126D202A"/>
    <w:rsid w:val="127001C5"/>
    <w:rsid w:val="1272218F"/>
    <w:rsid w:val="12751C80"/>
    <w:rsid w:val="127557DC"/>
    <w:rsid w:val="12792963"/>
    <w:rsid w:val="127A7296"/>
    <w:rsid w:val="127E0B34"/>
    <w:rsid w:val="127E6E6D"/>
    <w:rsid w:val="12802419"/>
    <w:rsid w:val="12843C71"/>
    <w:rsid w:val="12865C3B"/>
    <w:rsid w:val="12887C05"/>
    <w:rsid w:val="128D0E5D"/>
    <w:rsid w:val="128E285B"/>
    <w:rsid w:val="12944A1D"/>
    <w:rsid w:val="12971BF6"/>
    <w:rsid w:val="129C545E"/>
    <w:rsid w:val="129E4D32"/>
    <w:rsid w:val="12A019F6"/>
    <w:rsid w:val="12A04F4F"/>
    <w:rsid w:val="12A06CFD"/>
    <w:rsid w:val="12A57D4D"/>
    <w:rsid w:val="12AD31C8"/>
    <w:rsid w:val="12B02CB8"/>
    <w:rsid w:val="12B207DE"/>
    <w:rsid w:val="12B565C6"/>
    <w:rsid w:val="12BC165D"/>
    <w:rsid w:val="12C02EFB"/>
    <w:rsid w:val="12C16C73"/>
    <w:rsid w:val="12C53284"/>
    <w:rsid w:val="12C66037"/>
    <w:rsid w:val="12CF1390"/>
    <w:rsid w:val="12D035FD"/>
    <w:rsid w:val="12DE15D3"/>
    <w:rsid w:val="12DE7825"/>
    <w:rsid w:val="12E162D1"/>
    <w:rsid w:val="12E36BE9"/>
    <w:rsid w:val="12E50BB3"/>
    <w:rsid w:val="12E52961"/>
    <w:rsid w:val="12EA441C"/>
    <w:rsid w:val="12EA7F78"/>
    <w:rsid w:val="12EC4418"/>
    <w:rsid w:val="12F157AA"/>
    <w:rsid w:val="12F2507E"/>
    <w:rsid w:val="12F64B6E"/>
    <w:rsid w:val="12F71C17"/>
    <w:rsid w:val="12F901BB"/>
    <w:rsid w:val="12FB3F33"/>
    <w:rsid w:val="12FE1C75"/>
    <w:rsid w:val="13023513"/>
    <w:rsid w:val="13054DB2"/>
    <w:rsid w:val="130628D8"/>
    <w:rsid w:val="13082AF4"/>
    <w:rsid w:val="130A36C0"/>
    <w:rsid w:val="130B4B50"/>
    <w:rsid w:val="130C11DC"/>
    <w:rsid w:val="130C4392"/>
    <w:rsid w:val="13142D14"/>
    <w:rsid w:val="1317796F"/>
    <w:rsid w:val="1319260B"/>
    <w:rsid w:val="13223BB5"/>
    <w:rsid w:val="132632F9"/>
    <w:rsid w:val="1331143C"/>
    <w:rsid w:val="133833D9"/>
    <w:rsid w:val="1340228E"/>
    <w:rsid w:val="13421B62"/>
    <w:rsid w:val="134A0A16"/>
    <w:rsid w:val="134A4EBA"/>
    <w:rsid w:val="13547AE7"/>
    <w:rsid w:val="13561AB1"/>
    <w:rsid w:val="135D2E40"/>
    <w:rsid w:val="135D4BEE"/>
    <w:rsid w:val="13655850"/>
    <w:rsid w:val="13662116"/>
    <w:rsid w:val="136E3E94"/>
    <w:rsid w:val="136F4921"/>
    <w:rsid w:val="137141F5"/>
    <w:rsid w:val="137311EF"/>
    <w:rsid w:val="137F2DB6"/>
    <w:rsid w:val="138008DC"/>
    <w:rsid w:val="13824654"/>
    <w:rsid w:val="13857CA0"/>
    <w:rsid w:val="13873A19"/>
    <w:rsid w:val="13873AD6"/>
    <w:rsid w:val="138959E3"/>
    <w:rsid w:val="138A3509"/>
    <w:rsid w:val="138C54D3"/>
    <w:rsid w:val="13904FC3"/>
    <w:rsid w:val="139323BD"/>
    <w:rsid w:val="13944C51"/>
    <w:rsid w:val="13946135"/>
    <w:rsid w:val="13983E78"/>
    <w:rsid w:val="13992083"/>
    <w:rsid w:val="1399374C"/>
    <w:rsid w:val="139A199E"/>
    <w:rsid w:val="139A637E"/>
    <w:rsid w:val="139D323C"/>
    <w:rsid w:val="13A1426D"/>
    <w:rsid w:val="13A91BE1"/>
    <w:rsid w:val="13AA55D0"/>
    <w:rsid w:val="13AA7707"/>
    <w:rsid w:val="13AE369B"/>
    <w:rsid w:val="13B14F39"/>
    <w:rsid w:val="13B32A60"/>
    <w:rsid w:val="13B501FB"/>
    <w:rsid w:val="13B567D8"/>
    <w:rsid w:val="13B76712"/>
    <w:rsid w:val="13B862C8"/>
    <w:rsid w:val="13BA2040"/>
    <w:rsid w:val="13BD38DE"/>
    <w:rsid w:val="13BF1404"/>
    <w:rsid w:val="13BF4C25"/>
    <w:rsid w:val="13C07C74"/>
    <w:rsid w:val="13C407C9"/>
    <w:rsid w:val="13C702B9"/>
    <w:rsid w:val="13CA1B57"/>
    <w:rsid w:val="13CB74DA"/>
    <w:rsid w:val="13CC1D73"/>
    <w:rsid w:val="13CE7899"/>
    <w:rsid w:val="13D11138"/>
    <w:rsid w:val="13D12EE6"/>
    <w:rsid w:val="13D749A0"/>
    <w:rsid w:val="13D80718"/>
    <w:rsid w:val="13D9039D"/>
    <w:rsid w:val="13E0137B"/>
    <w:rsid w:val="13E23345"/>
    <w:rsid w:val="13E36F2F"/>
    <w:rsid w:val="13E40E6B"/>
    <w:rsid w:val="13E7095B"/>
    <w:rsid w:val="13EC5F71"/>
    <w:rsid w:val="13F05A62"/>
    <w:rsid w:val="13F07810"/>
    <w:rsid w:val="13F24693"/>
    <w:rsid w:val="13F27A08"/>
    <w:rsid w:val="13F41C12"/>
    <w:rsid w:val="13F53078"/>
    <w:rsid w:val="13F8694C"/>
    <w:rsid w:val="13FF7A53"/>
    <w:rsid w:val="14012AC2"/>
    <w:rsid w:val="140137CB"/>
    <w:rsid w:val="14024910"/>
    <w:rsid w:val="1404150D"/>
    <w:rsid w:val="14072DAB"/>
    <w:rsid w:val="14092680"/>
    <w:rsid w:val="14096B23"/>
    <w:rsid w:val="140B464A"/>
    <w:rsid w:val="140E7C96"/>
    <w:rsid w:val="14121E37"/>
    <w:rsid w:val="141554C8"/>
    <w:rsid w:val="141649B0"/>
    <w:rsid w:val="141B23B3"/>
    <w:rsid w:val="14223210"/>
    <w:rsid w:val="142851FC"/>
    <w:rsid w:val="142A67B4"/>
    <w:rsid w:val="14326DB2"/>
    <w:rsid w:val="14347894"/>
    <w:rsid w:val="143F42F3"/>
    <w:rsid w:val="143F60A1"/>
    <w:rsid w:val="14430A9C"/>
    <w:rsid w:val="14435ECB"/>
    <w:rsid w:val="14465682"/>
    <w:rsid w:val="14467430"/>
    <w:rsid w:val="1449308D"/>
    <w:rsid w:val="144933C4"/>
    <w:rsid w:val="144E2788"/>
    <w:rsid w:val="144E4536"/>
    <w:rsid w:val="14504752"/>
    <w:rsid w:val="14515DD5"/>
    <w:rsid w:val="14551D69"/>
    <w:rsid w:val="14563D81"/>
    <w:rsid w:val="14603640"/>
    <w:rsid w:val="1461426A"/>
    <w:rsid w:val="14620FA5"/>
    <w:rsid w:val="14630116"/>
    <w:rsid w:val="14636234"/>
    <w:rsid w:val="14641FAC"/>
    <w:rsid w:val="146975C2"/>
    <w:rsid w:val="146D648D"/>
    <w:rsid w:val="1470712F"/>
    <w:rsid w:val="147525EE"/>
    <w:rsid w:val="1475649E"/>
    <w:rsid w:val="14771CDF"/>
    <w:rsid w:val="14776934"/>
    <w:rsid w:val="147A357D"/>
    <w:rsid w:val="147D6BCA"/>
    <w:rsid w:val="147F5684"/>
    <w:rsid w:val="148166BA"/>
    <w:rsid w:val="14861F22"/>
    <w:rsid w:val="14863CD0"/>
    <w:rsid w:val="148937C0"/>
    <w:rsid w:val="148B7538"/>
    <w:rsid w:val="148D505F"/>
    <w:rsid w:val="14902DA1"/>
    <w:rsid w:val="14923346"/>
    <w:rsid w:val="1496081E"/>
    <w:rsid w:val="1497412F"/>
    <w:rsid w:val="14A14FAE"/>
    <w:rsid w:val="14A32AD4"/>
    <w:rsid w:val="14A405FA"/>
    <w:rsid w:val="14A8633C"/>
    <w:rsid w:val="14A874BB"/>
    <w:rsid w:val="14AB1989"/>
    <w:rsid w:val="14AD5701"/>
    <w:rsid w:val="14B06F9F"/>
    <w:rsid w:val="14B307DB"/>
    <w:rsid w:val="14B60A59"/>
    <w:rsid w:val="14B613AF"/>
    <w:rsid w:val="14B720DC"/>
    <w:rsid w:val="14B940A6"/>
    <w:rsid w:val="14B94BCE"/>
    <w:rsid w:val="14BC3B96"/>
    <w:rsid w:val="14BE346A"/>
    <w:rsid w:val="14C12D51"/>
    <w:rsid w:val="14C30A80"/>
    <w:rsid w:val="14C50C9C"/>
    <w:rsid w:val="14C52A4A"/>
    <w:rsid w:val="14C8253B"/>
    <w:rsid w:val="14CC2610"/>
    <w:rsid w:val="14CD18FF"/>
    <w:rsid w:val="14CD4474"/>
    <w:rsid w:val="14CD5DA3"/>
    <w:rsid w:val="14CF52C6"/>
    <w:rsid w:val="14CF5677"/>
    <w:rsid w:val="14D233B9"/>
    <w:rsid w:val="14DC1B42"/>
    <w:rsid w:val="14DE58BA"/>
    <w:rsid w:val="14E71CDB"/>
    <w:rsid w:val="14E76E65"/>
    <w:rsid w:val="14EB7FD7"/>
    <w:rsid w:val="14EF7AC7"/>
    <w:rsid w:val="14F21366"/>
    <w:rsid w:val="14F670A8"/>
    <w:rsid w:val="14F71E87"/>
    <w:rsid w:val="14FB56DC"/>
    <w:rsid w:val="14FB646C"/>
    <w:rsid w:val="15035321"/>
    <w:rsid w:val="15051099"/>
    <w:rsid w:val="1505553D"/>
    <w:rsid w:val="1508348E"/>
    <w:rsid w:val="150C68CB"/>
    <w:rsid w:val="151629D1"/>
    <w:rsid w:val="15170DCC"/>
    <w:rsid w:val="1517701E"/>
    <w:rsid w:val="151A411A"/>
    <w:rsid w:val="151C3C4C"/>
    <w:rsid w:val="151C5F1D"/>
    <w:rsid w:val="151D2886"/>
    <w:rsid w:val="151E03AD"/>
    <w:rsid w:val="15205ED3"/>
    <w:rsid w:val="152139F9"/>
    <w:rsid w:val="1525798D"/>
    <w:rsid w:val="15284D87"/>
    <w:rsid w:val="15286307"/>
    <w:rsid w:val="1528650F"/>
    <w:rsid w:val="152F6116"/>
    <w:rsid w:val="153320AA"/>
    <w:rsid w:val="153674A4"/>
    <w:rsid w:val="1537146E"/>
    <w:rsid w:val="153951E6"/>
    <w:rsid w:val="153B3244"/>
    <w:rsid w:val="153D07B5"/>
    <w:rsid w:val="154222ED"/>
    <w:rsid w:val="15481B97"/>
    <w:rsid w:val="154A11A2"/>
    <w:rsid w:val="154C4D2C"/>
    <w:rsid w:val="154D47EE"/>
    <w:rsid w:val="154F308C"/>
    <w:rsid w:val="15504F07"/>
    <w:rsid w:val="15512530"/>
    <w:rsid w:val="1557566D"/>
    <w:rsid w:val="15581B10"/>
    <w:rsid w:val="155C4C28"/>
    <w:rsid w:val="155D7127"/>
    <w:rsid w:val="156264EB"/>
    <w:rsid w:val="15634011"/>
    <w:rsid w:val="15655FDB"/>
    <w:rsid w:val="15673B02"/>
    <w:rsid w:val="156A1844"/>
    <w:rsid w:val="156C0552"/>
    <w:rsid w:val="156C736A"/>
    <w:rsid w:val="156F29B6"/>
    <w:rsid w:val="157360C9"/>
    <w:rsid w:val="1574621E"/>
    <w:rsid w:val="15761F97"/>
    <w:rsid w:val="1582711A"/>
    <w:rsid w:val="15887332"/>
    <w:rsid w:val="158A63F2"/>
    <w:rsid w:val="15910B7E"/>
    <w:rsid w:val="15916DD0"/>
    <w:rsid w:val="15962639"/>
    <w:rsid w:val="159A4C5C"/>
    <w:rsid w:val="15AC59B8"/>
    <w:rsid w:val="15AE1730"/>
    <w:rsid w:val="15AE7982"/>
    <w:rsid w:val="15B036FB"/>
    <w:rsid w:val="15B23B51"/>
    <w:rsid w:val="15BB5BFB"/>
    <w:rsid w:val="15BC4236"/>
    <w:rsid w:val="15C54CCC"/>
    <w:rsid w:val="15C6265A"/>
    <w:rsid w:val="15C727F2"/>
    <w:rsid w:val="15C745A0"/>
    <w:rsid w:val="15C8766A"/>
    <w:rsid w:val="15CA4090"/>
    <w:rsid w:val="15CC022F"/>
    <w:rsid w:val="15CC605B"/>
    <w:rsid w:val="15CE3B81"/>
    <w:rsid w:val="15D13671"/>
    <w:rsid w:val="15D171CD"/>
    <w:rsid w:val="15D469C1"/>
    <w:rsid w:val="15D54F0F"/>
    <w:rsid w:val="15D66ED9"/>
    <w:rsid w:val="15D72415"/>
    <w:rsid w:val="15DA0777"/>
    <w:rsid w:val="15DB2014"/>
    <w:rsid w:val="15DB5153"/>
    <w:rsid w:val="15DD5B72"/>
    <w:rsid w:val="15DE3F67"/>
    <w:rsid w:val="15DF7BB5"/>
    <w:rsid w:val="15E11B06"/>
    <w:rsid w:val="15E2587E"/>
    <w:rsid w:val="15E821A9"/>
    <w:rsid w:val="15E909BB"/>
    <w:rsid w:val="15EB4733"/>
    <w:rsid w:val="15F15AC1"/>
    <w:rsid w:val="15F317A5"/>
    <w:rsid w:val="15F31839"/>
    <w:rsid w:val="15F555B1"/>
    <w:rsid w:val="15FF1F8C"/>
    <w:rsid w:val="160475A2"/>
    <w:rsid w:val="160C4080"/>
    <w:rsid w:val="16104199"/>
    <w:rsid w:val="1613309D"/>
    <w:rsid w:val="161672D6"/>
    <w:rsid w:val="161C2B3E"/>
    <w:rsid w:val="161E3AB1"/>
    <w:rsid w:val="161F618A"/>
    <w:rsid w:val="16227A29"/>
    <w:rsid w:val="1626576B"/>
    <w:rsid w:val="162B4B2F"/>
    <w:rsid w:val="162C0C86"/>
    <w:rsid w:val="162D6610"/>
    <w:rsid w:val="16300397"/>
    <w:rsid w:val="16321ADC"/>
    <w:rsid w:val="16351E52"/>
    <w:rsid w:val="163A7083"/>
    <w:rsid w:val="163D4862"/>
    <w:rsid w:val="16464112"/>
    <w:rsid w:val="165B7DFE"/>
    <w:rsid w:val="165E3157"/>
    <w:rsid w:val="165F0C7D"/>
    <w:rsid w:val="166B7621"/>
    <w:rsid w:val="166D339A"/>
    <w:rsid w:val="167575DE"/>
    <w:rsid w:val="16781D3E"/>
    <w:rsid w:val="167A5AB7"/>
    <w:rsid w:val="167D1103"/>
    <w:rsid w:val="167F30CD"/>
    <w:rsid w:val="167F42A3"/>
    <w:rsid w:val="168129A1"/>
    <w:rsid w:val="168229B3"/>
    <w:rsid w:val="16826719"/>
    <w:rsid w:val="16883EC5"/>
    <w:rsid w:val="16893F4C"/>
    <w:rsid w:val="16895CFA"/>
    <w:rsid w:val="168D57EA"/>
    <w:rsid w:val="168E3310"/>
    <w:rsid w:val="168F6536"/>
    <w:rsid w:val="16921052"/>
    <w:rsid w:val="16922E00"/>
    <w:rsid w:val="16994E4A"/>
    <w:rsid w:val="169C77DB"/>
    <w:rsid w:val="169D0A70"/>
    <w:rsid w:val="169D3553"/>
    <w:rsid w:val="169F376F"/>
    <w:rsid w:val="16A32C69"/>
    <w:rsid w:val="16A50D85"/>
    <w:rsid w:val="16A91EF8"/>
    <w:rsid w:val="16AB01C8"/>
    <w:rsid w:val="16AE750E"/>
    <w:rsid w:val="16AF3030"/>
    <w:rsid w:val="16B54D41"/>
    <w:rsid w:val="16B70B6C"/>
    <w:rsid w:val="16B8213B"/>
    <w:rsid w:val="16BA2357"/>
    <w:rsid w:val="16BC0089"/>
    <w:rsid w:val="16BE1E47"/>
    <w:rsid w:val="16C16C33"/>
    <w:rsid w:val="16C60CFC"/>
    <w:rsid w:val="16C85C81"/>
    <w:rsid w:val="16C86822"/>
    <w:rsid w:val="16CD208A"/>
    <w:rsid w:val="16CE195E"/>
    <w:rsid w:val="16D46E70"/>
    <w:rsid w:val="16D569B9"/>
    <w:rsid w:val="16D70382"/>
    <w:rsid w:val="16D74CB7"/>
    <w:rsid w:val="16DC051F"/>
    <w:rsid w:val="16DC22CD"/>
    <w:rsid w:val="16E318AE"/>
    <w:rsid w:val="16F07B27"/>
    <w:rsid w:val="16F245C5"/>
    <w:rsid w:val="16F45869"/>
    <w:rsid w:val="16F47617"/>
    <w:rsid w:val="16F83DC9"/>
    <w:rsid w:val="16F95030"/>
    <w:rsid w:val="16FE0496"/>
    <w:rsid w:val="17033CFE"/>
    <w:rsid w:val="170535D2"/>
    <w:rsid w:val="170A508C"/>
    <w:rsid w:val="170A6E3A"/>
    <w:rsid w:val="170B4961"/>
    <w:rsid w:val="170E3AEC"/>
    <w:rsid w:val="170E6162"/>
    <w:rsid w:val="17123F41"/>
    <w:rsid w:val="17171557"/>
    <w:rsid w:val="171A37D0"/>
    <w:rsid w:val="171C6B6E"/>
    <w:rsid w:val="171E6442"/>
    <w:rsid w:val="17255A22"/>
    <w:rsid w:val="172872C1"/>
    <w:rsid w:val="172A4DE7"/>
    <w:rsid w:val="172F4AF3"/>
    <w:rsid w:val="172F68A1"/>
    <w:rsid w:val="17321EED"/>
    <w:rsid w:val="173259E9"/>
    <w:rsid w:val="17365E81"/>
    <w:rsid w:val="173739A8"/>
    <w:rsid w:val="17377504"/>
    <w:rsid w:val="173C30A8"/>
    <w:rsid w:val="173E6AE4"/>
    <w:rsid w:val="17404A68"/>
    <w:rsid w:val="174165D4"/>
    <w:rsid w:val="1743234C"/>
    <w:rsid w:val="174560C4"/>
    <w:rsid w:val="17471E3D"/>
    <w:rsid w:val="17485BB5"/>
    <w:rsid w:val="174B3D3F"/>
    <w:rsid w:val="174B66AA"/>
    <w:rsid w:val="174D6D27"/>
    <w:rsid w:val="174E307B"/>
    <w:rsid w:val="174F484D"/>
    <w:rsid w:val="175005C5"/>
    <w:rsid w:val="17501520"/>
    <w:rsid w:val="17546308"/>
    <w:rsid w:val="17555BDC"/>
    <w:rsid w:val="175579C2"/>
    <w:rsid w:val="17575DF8"/>
    <w:rsid w:val="17591B70"/>
    <w:rsid w:val="175B1444"/>
    <w:rsid w:val="175B7522"/>
    <w:rsid w:val="175D340E"/>
    <w:rsid w:val="176C18A3"/>
    <w:rsid w:val="176F4EEF"/>
    <w:rsid w:val="176F6C9D"/>
    <w:rsid w:val="17710C68"/>
    <w:rsid w:val="177249E0"/>
    <w:rsid w:val="1772678E"/>
    <w:rsid w:val="1774180A"/>
    <w:rsid w:val="17742BCE"/>
    <w:rsid w:val="17773DA4"/>
    <w:rsid w:val="17781D54"/>
    <w:rsid w:val="177B1022"/>
    <w:rsid w:val="177B7D38"/>
    <w:rsid w:val="177E2043"/>
    <w:rsid w:val="17803B29"/>
    <w:rsid w:val="17864105"/>
    <w:rsid w:val="1786728C"/>
    <w:rsid w:val="178A7CAA"/>
    <w:rsid w:val="178D35C8"/>
    <w:rsid w:val="178F2FEA"/>
    <w:rsid w:val="179130B8"/>
    <w:rsid w:val="1792505A"/>
    <w:rsid w:val="17982698"/>
    <w:rsid w:val="1798522F"/>
    <w:rsid w:val="179901BE"/>
    <w:rsid w:val="179B3F36"/>
    <w:rsid w:val="179B7A92"/>
    <w:rsid w:val="179E4A77"/>
    <w:rsid w:val="17A10E21"/>
    <w:rsid w:val="17A51B58"/>
    <w:rsid w:val="17A57E4D"/>
    <w:rsid w:val="17A76437"/>
    <w:rsid w:val="17A9536A"/>
    <w:rsid w:val="17AC1CA0"/>
    <w:rsid w:val="17AF79E2"/>
    <w:rsid w:val="17B1375A"/>
    <w:rsid w:val="17B67874"/>
    <w:rsid w:val="17B8456B"/>
    <w:rsid w:val="17BA0860"/>
    <w:rsid w:val="17BA3F9F"/>
    <w:rsid w:val="17BE63A1"/>
    <w:rsid w:val="17C074F9"/>
    <w:rsid w:val="17C214C3"/>
    <w:rsid w:val="17C27715"/>
    <w:rsid w:val="17C34EE7"/>
    <w:rsid w:val="17C36FE9"/>
    <w:rsid w:val="17C70888"/>
    <w:rsid w:val="17C76AD9"/>
    <w:rsid w:val="17CC2342"/>
    <w:rsid w:val="17CF3BE0"/>
    <w:rsid w:val="17D11706"/>
    <w:rsid w:val="17D244D2"/>
    <w:rsid w:val="17D336D0"/>
    <w:rsid w:val="17D42FA4"/>
    <w:rsid w:val="17D80CE7"/>
    <w:rsid w:val="17DA4A5F"/>
    <w:rsid w:val="17DF301F"/>
    <w:rsid w:val="17E20185"/>
    <w:rsid w:val="17E256C1"/>
    <w:rsid w:val="17E7105A"/>
    <w:rsid w:val="17EA0A1A"/>
    <w:rsid w:val="17EC6540"/>
    <w:rsid w:val="17ED1F4D"/>
    <w:rsid w:val="17EE22B8"/>
    <w:rsid w:val="17F02970"/>
    <w:rsid w:val="17F665A1"/>
    <w:rsid w:val="17F673BF"/>
    <w:rsid w:val="17FB2C27"/>
    <w:rsid w:val="17FD074D"/>
    <w:rsid w:val="17FF44C5"/>
    <w:rsid w:val="18041ADC"/>
    <w:rsid w:val="1804388A"/>
    <w:rsid w:val="18047D2E"/>
    <w:rsid w:val="180715CC"/>
    <w:rsid w:val="180716EA"/>
    <w:rsid w:val="1807337A"/>
    <w:rsid w:val="18090EA0"/>
    <w:rsid w:val="180B10BC"/>
    <w:rsid w:val="180C06D7"/>
    <w:rsid w:val="18137F71"/>
    <w:rsid w:val="18153CE9"/>
    <w:rsid w:val="18194181"/>
    <w:rsid w:val="1820443C"/>
    <w:rsid w:val="1824469F"/>
    <w:rsid w:val="18253800"/>
    <w:rsid w:val="182B350C"/>
    <w:rsid w:val="182B7833"/>
    <w:rsid w:val="18300B23"/>
    <w:rsid w:val="183103F7"/>
    <w:rsid w:val="18335F1D"/>
    <w:rsid w:val="18363C5F"/>
    <w:rsid w:val="183A374F"/>
    <w:rsid w:val="183C74C7"/>
    <w:rsid w:val="18412D97"/>
    <w:rsid w:val="18414ADE"/>
    <w:rsid w:val="18455C50"/>
    <w:rsid w:val="18493992"/>
    <w:rsid w:val="18493F95"/>
    <w:rsid w:val="184A3267"/>
    <w:rsid w:val="184E0FA9"/>
    <w:rsid w:val="18561C0B"/>
    <w:rsid w:val="18565113"/>
    <w:rsid w:val="18567E5D"/>
    <w:rsid w:val="185A16FC"/>
    <w:rsid w:val="185B5474"/>
    <w:rsid w:val="18622CA6"/>
    <w:rsid w:val="186500A0"/>
    <w:rsid w:val="186D58D3"/>
    <w:rsid w:val="18711EB8"/>
    <w:rsid w:val="18730A0F"/>
    <w:rsid w:val="187447AF"/>
    <w:rsid w:val="18747B1D"/>
    <w:rsid w:val="187622AE"/>
    <w:rsid w:val="18770500"/>
    <w:rsid w:val="187F5606"/>
    <w:rsid w:val="18846779"/>
    <w:rsid w:val="188D1AD1"/>
    <w:rsid w:val="188E3A9B"/>
    <w:rsid w:val="189310B2"/>
    <w:rsid w:val="189746FE"/>
    <w:rsid w:val="18982224"/>
    <w:rsid w:val="189912C4"/>
    <w:rsid w:val="189F35B2"/>
    <w:rsid w:val="18A006B1"/>
    <w:rsid w:val="18AA258C"/>
    <w:rsid w:val="18B427A7"/>
    <w:rsid w:val="18B64865"/>
    <w:rsid w:val="18B90B18"/>
    <w:rsid w:val="18BA03EC"/>
    <w:rsid w:val="18BC23B6"/>
    <w:rsid w:val="18BC5F12"/>
    <w:rsid w:val="18BD1C8B"/>
    <w:rsid w:val="18BD66DB"/>
    <w:rsid w:val="18BD7EDC"/>
    <w:rsid w:val="18BE0E7D"/>
    <w:rsid w:val="18C0248B"/>
    <w:rsid w:val="18C263A0"/>
    <w:rsid w:val="18C354F3"/>
    <w:rsid w:val="18C82B09"/>
    <w:rsid w:val="18C96881"/>
    <w:rsid w:val="18CE5C46"/>
    <w:rsid w:val="18D05E62"/>
    <w:rsid w:val="18D15B70"/>
    <w:rsid w:val="18D70F9E"/>
    <w:rsid w:val="18D86AC4"/>
    <w:rsid w:val="18DC0363"/>
    <w:rsid w:val="18E67433"/>
    <w:rsid w:val="18ED07C2"/>
    <w:rsid w:val="18ED6A14"/>
    <w:rsid w:val="18FA2EDF"/>
    <w:rsid w:val="18FC27B3"/>
    <w:rsid w:val="18FC6C57"/>
    <w:rsid w:val="18FE29CF"/>
    <w:rsid w:val="190478B9"/>
    <w:rsid w:val="190C374D"/>
    <w:rsid w:val="190D42EB"/>
    <w:rsid w:val="190F0738"/>
    <w:rsid w:val="191129A6"/>
    <w:rsid w:val="191775ED"/>
    <w:rsid w:val="191915B7"/>
    <w:rsid w:val="19197809"/>
    <w:rsid w:val="191D647A"/>
    <w:rsid w:val="19232435"/>
    <w:rsid w:val="192501A9"/>
    <w:rsid w:val="19263CD4"/>
    <w:rsid w:val="19265A82"/>
    <w:rsid w:val="192817FA"/>
    <w:rsid w:val="192B3098"/>
    <w:rsid w:val="192C54AB"/>
    <w:rsid w:val="192D0BBE"/>
    <w:rsid w:val="192D150C"/>
    <w:rsid w:val="19306900"/>
    <w:rsid w:val="19337AF8"/>
    <w:rsid w:val="19373188"/>
    <w:rsid w:val="19377C8F"/>
    <w:rsid w:val="19383A4E"/>
    <w:rsid w:val="193C0B28"/>
    <w:rsid w:val="193D71F3"/>
    <w:rsid w:val="193F08F1"/>
    <w:rsid w:val="194408DF"/>
    <w:rsid w:val="1944700A"/>
    <w:rsid w:val="194859F8"/>
    <w:rsid w:val="19487651"/>
    <w:rsid w:val="194B6B29"/>
    <w:rsid w:val="19520625"/>
    <w:rsid w:val="19524AC9"/>
    <w:rsid w:val="19526877"/>
    <w:rsid w:val="19545462"/>
    <w:rsid w:val="1954586E"/>
    <w:rsid w:val="195720DF"/>
    <w:rsid w:val="195974DD"/>
    <w:rsid w:val="195F2D42"/>
    <w:rsid w:val="19630947"/>
    <w:rsid w:val="1969029C"/>
    <w:rsid w:val="196F567B"/>
    <w:rsid w:val="19742C91"/>
    <w:rsid w:val="1975331A"/>
    <w:rsid w:val="1976457C"/>
    <w:rsid w:val="19766A09"/>
    <w:rsid w:val="1977452F"/>
    <w:rsid w:val="197B401F"/>
    <w:rsid w:val="197B53D3"/>
    <w:rsid w:val="19800A63"/>
    <w:rsid w:val="1981715C"/>
    <w:rsid w:val="19836A30"/>
    <w:rsid w:val="198729C4"/>
    <w:rsid w:val="198A4263"/>
    <w:rsid w:val="198C07E7"/>
    <w:rsid w:val="19946E8F"/>
    <w:rsid w:val="199E1ABC"/>
    <w:rsid w:val="199E7D0E"/>
    <w:rsid w:val="199F6C5D"/>
    <w:rsid w:val="19A370D2"/>
    <w:rsid w:val="19A52ACF"/>
    <w:rsid w:val="19A54BF8"/>
    <w:rsid w:val="19A90B8D"/>
    <w:rsid w:val="19AF1F1B"/>
    <w:rsid w:val="19B23C43"/>
    <w:rsid w:val="19B25567"/>
    <w:rsid w:val="19B32E94"/>
    <w:rsid w:val="19BA7045"/>
    <w:rsid w:val="19C21C4E"/>
    <w:rsid w:val="19C534ED"/>
    <w:rsid w:val="19C77265"/>
    <w:rsid w:val="19CA0B03"/>
    <w:rsid w:val="19CA6D19"/>
    <w:rsid w:val="19CE05F3"/>
    <w:rsid w:val="19D76D7C"/>
    <w:rsid w:val="19DC4392"/>
    <w:rsid w:val="19E00326"/>
    <w:rsid w:val="19E25E4D"/>
    <w:rsid w:val="19E41BC5"/>
    <w:rsid w:val="19E73463"/>
    <w:rsid w:val="19EC2827"/>
    <w:rsid w:val="19EE2A43"/>
    <w:rsid w:val="19F416DC"/>
    <w:rsid w:val="19F45B80"/>
    <w:rsid w:val="19F811CC"/>
    <w:rsid w:val="19F93196"/>
    <w:rsid w:val="1A077661"/>
    <w:rsid w:val="1A09162B"/>
    <w:rsid w:val="1A0A10D9"/>
    <w:rsid w:val="1A0C111B"/>
    <w:rsid w:val="1A1062B4"/>
    <w:rsid w:val="1A147FD0"/>
    <w:rsid w:val="1A18361C"/>
    <w:rsid w:val="1A187AC0"/>
    <w:rsid w:val="1A1E488E"/>
    <w:rsid w:val="1A200723"/>
    <w:rsid w:val="1A22449B"/>
    <w:rsid w:val="1A231FC1"/>
    <w:rsid w:val="1A255D39"/>
    <w:rsid w:val="1A27385F"/>
    <w:rsid w:val="1A275223"/>
    <w:rsid w:val="1A2A3AC4"/>
    <w:rsid w:val="1A2C356C"/>
    <w:rsid w:val="1A2E0D57"/>
    <w:rsid w:val="1A2F0966"/>
    <w:rsid w:val="1A393593"/>
    <w:rsid w:val="1A3D12D5"/>
    <w:rsid w:val="1A4408B5"/>
    <w:rsid w:val="1A444411"/>
    <w:rsid w:val="1A47372A"/>
    <w:rsid w:val="1A4A39F2"/>
    <w:rsid w:val="1A4A5C7F"/>
    <w:rsid w:val="1A50725A"/>
    <w:rsid w:val="1A5A71F5"/>
    <w:rsid w:val="1A5F49C1"/>
    <w:rsid w:val="1A604FC3"/>
    <w:rsid w:val="1A607BD9"/>
    <w:rsid w:val="1A626F8D"/>
    <w:rsid w:val="1A654388"/>
    <w:rsid w:val="1A672D3E"/>
    <w:rsid w:val="1A676352"/>
    <w:rsid w:val="1A6C5716"/>
    <w:rsid w:val="1A705206"/>
    <w:rsid w:val="1A756CC1"/>
    <w:rsid w:val="1A772A39"/>
    <w:rsid w:val="1A78055F"/>
    <w:rsid w:val="1A7A42B2"/>
    <w:rsid w:val="1A7B3BAB"/>
    <w:rsid w:val="1A7F48BE"/>
    <w:rsid w:val="1A824F3A"/>
    <w:rsid w:val="1A861DC6"/>
    <w:rsid w:val="1A882AFB"/>
    <w:rsid w:val="1A89451A"/>
    <w:rsid w:val="1A8962C8"/>
    <w:rsid w:val="1A8E7D82"/>
    <w:rsid w:val="1A911621"/>
    <w:rsid w:val="1A9133CF"/>
    <w:rsid w:val="1A925700"/>
    <w:rsid w:val="1A952EBF"/>
    <w:rsid w:val="1A976C37"/>
    <w:rsid w:val="1A9829AF"/>
    <w:rsid w:val="1A9A0036"/>
    <w:rsid w:val="1A9A1998"/>
    <w:rsid w:val="1A9C249F"/>
    <w:rsid w:val="1A9C424D"/>
    <w:rsid w:val="1A9E35E5"/>
    <w:rsid w:val="1A9F5AEC"/>
    <w:rsid w:val="1AA44EB0"/>
    <w:rsid w:val="1AAA0ECF"/>
    <w:rsid w:val="1AAB65CD"/>
    <w:rsid w:val="1AAC1FB7"/>
    <w:rsid w:val="1AAE21D3"/>
    <w:rsid w:val="1AAE793C"/>
    <w:rsid w:val="1AB05F4B"/>
    <w:rsid w:val="1AB1581F"/>
    <w:rsid w:val="1AB53561"/>
    <w:rsid w:val="1AB53AAF"/>
    <w:rsid w:val="1AB7627B"/>
    <w:rsid w:val="1AB8583A"/>
    <w:rsid w:val="1ABD70A9"/>
    <w:rsid w:val="1ABF7128"/>
    <w:rsid w:val="1AC50DC4"/>
    <w:rsid w:val="1AC63078"/>
    <w:rsid w:val="1AC8208F"/>
    <w:rsid w:val="1AC91D4C"/>
    <w:rsid w:val="1ACE017F"/>
    <w:rsid w:val="1ACE63D1"/>
    <w:rsid w:val="1AD03EF7"/>
    <w:rsid w:val="1AD27C6F"/>
    <w:rsid w:val="1AD339E7"/>
    <w:rsid w:val="1AD734D7"/>
    <w:rsid w:val="1AD75285"/>
    <w:rsid w:val="1AD87250"/>
    <w:rsid w:val="1ADC289C"/>
    <w:rsid w:val="1AE44224"/>
    <w:rsid w:val="1AF177AE"/>
    <w:rsid w:val="1AF20311"/>
    <w:rsid w:val="1AF22E0F"/>
    <w:rsid w:val="1AF35E37"/>
    <w:rsid w:val="1AF51BB0"/>
    <w:rsid w:val="1AF57E02"/>
    <w:rsid w:val="1AF8344E"/>
    <w:rsid w:val="1AFA5418"/>
    <w:rsid w:val="1AFD0A64"/>
    <w:rsid w:val="1AFE6CB6"/>
    <w:rsid w:val="1B005AA3"/>
    <w:rsid w:val="1B0167A6"/>
    <w:rsid w:val="1B027E29"/>
    <w:rsid w:val="1B040045"/>
    <w:rsid w:val="1B0E4A1F"/>
    <w:rsid w:val="1B192484"/>
    <w:rsid w:val="1B19589E"/>
    <w:rsid w:val="1B1A7868"/>
    <w:rsid w:val="1B1B4B10"/>
    <w:rsid w:val="1B206CF9"/>
    <w:rsid w:val="1B223FF5"/>
    <w:rsid w:val="1B25632E"/>
    <w:rsid w:val="1B283D33"/>
    <w:rsid w:val="1B285AE1"/>
    <w:rsid w:val="1B28788F"/>
    <w:rsid w:val="1B2929B5"/>
    <w:rsid w:val="1B2F50C2"/>
    <w:rsid w:val="1B351FAC"/>
    <w:rsid w:val="1B425EC3"/>
    <w:rsid w:val="1B445528"/>
    <w:rsid w:val="1B4641B9"/>
    <w:rsid w:val="1B4B7383"/>
    <w:rsid w:val="1B4D72F6"/>
    <w:rsid w:val="1B527002"/>
    <w:rsid w:val="1B530684"/>
    <w:rsid w:val="1B542D7A"/>
    <w:rsid w:val="1B5A1A13"/>
    <w:rsid w:val="1B5C1C2F"/>
    <w:rsid w:val="1B60171F"/>
    <w:rsid w:val="1B650AE3"/>
    <w:rsid w:val="1B67674E"/>
    <w:rsid w:val="1B684130"/>
    <w:rsid w:val="1B6A60FA"/>
    <w:rsid w:val="1B6C3361"/>
    <w:rsid w:val="1B715091"/>
    <w:rsid w:val="1B753F12"/>
    <w:rsid w:val="1B7730E6"/>
    <w:rsid w:val="1B773DCE"/>
    <w:rsid w:val="1B786E34"/>
    <w:rsid w:val="1B7C58B1"/>
    <w:rsid w:val="1B7C5E2D"/>
    <w:rsid w:val="1B7E7DF7"/>
    <w:rsid w:val="1B8227E1"/>
    <w:rsid w:val="1B852F33"/>
    <w:rsid w:val="1B8847D2"/>
    <w:rsid w:val="1B897F89"/>
    <w:rsid w:val="1B8A679C"/>
    <w:rsid w:val="1B9273FE"/>
    <w:rsid w:val="1B9969DF"/>
    <w:rsid w:val="1BA3160C"/>
    <w:rsid w:val="1BA84E74"/>
    <w:rsid w:val="1BAA0BEC"/>
    <w:rsid w:val="1BAB226E"/>
    <w:rsid w:val="1BB2184F"/>
    <w:rsid w:val="1BB27DB9"/>
    <w:rsid w:val="1BB747A9"/>
    <w:rsid w:val="1BB83309"/>
    <w:rsid w:val="1BBB6955"/>
    <w:rsid w:val="1BBD091F"/>
    <w:rsid w:val="1BBE6445"/>
    <w:rsid w:val="1BC30238"/>
    <w:rsid w:val="1BC7354C"/>
    <w:rsid w:val="1BC872C4"/>
    <w:rsid w:val="1BCA303C"/>
    <w:rsid w:val="1BCA6B98"/>
    <w:rsid w:val="1BCB1D7E"/>
    <w:rsid w:val="1BCB72FD"/>
    <w:rsid w:val="1BCD0437"/>
    <w:rsid w:val="1BCD6688"/>
    <w:rsid w:val="1BD01CD5"/>
    <w:rsid w:val="1BD25A4D"/>
    <w:rsid w:val="1BD417C5"/>
    <w:rsid w:val="1BD45C69"/>
    <w:rsid w:val="1BD5797C"/>
    <w:rsid w:val="1BD6553D"/>
    <w:rsid w:val="1BD87507"/>
    <w:rsid w:val="1BD9300C"/>
    <w:rsid w:val="1BDB2463"/>
    <w:rsid w:val="1BDB2B53"/>
    <w:rsid w:val="1BDE0896"/>
    <w:rsid w:val="1BDE0FAC"/>
    <w:rsid w:val="1BE0460E"/>
    <w:rsid w:val="1BE20386"/>
    <w:rsid w:val="1BE22134"/>
    <w:rsid w:val="1BE7774A"/>
    <w:rsid w:val="1BEC6B0F"/>
    <w:rsid w:val="1BED0AD9"/>
    <w:rsid w:val="1BEF3457"/>
    <w:rsid w:val="1BF400B9"/>
    <w:rsid w:val="1BF57933"/>
    <w:rsid w:val="1BF604D2"/>
    <w:rsid w:val="1BF6798D"/>
    <w:rsid w:val="1BF81957"/>
    <w:rsid w:val="1BFD51C0"/>
    <w:rsid w:val="1BFE2CE6"/>
    <w:rsid w:val="1C006A5E"/>
    <w:rsid w:val="1C024584"/>
    <w:rsid w:val="1C055E22"/>
    <w:rsid w:val="1C091D8D"/>
    <w:rsid w:val="1C095610"/>
    <w:rsid w:val="1C0A6686"/>
    <w:rsid w:val="1C0C5403"/>
    <w:rsid w:val="1C0E2F29"/>
    <w:rsid w:val="1C0F0A4F"/>
    <w:rsid w:val="1C103880"/>
    <w:rsid w:val="1C13053F"/>
    <w:rsid w:val="1C161DDD"/>
    <w:rsid w:val="1C163B8C"/>
    <w:rsid w:val="1C170489"/>
    <w:rsid w:val="1C18194D"/>
    <w:rsid w:val="1C1B3B19"/>
    <w:rsid w:val="1C1B73F4"/>
    <w:rsid w:val="1C27223D"/>
    <w:rsid w:val="1C2B7608"/>
    <w:rsid w:val="1C2C1601"/>
    <w:rsid w:val="1C2D7127"/>
    <w:rsid w:val="1C2F10F1"/>
    <w:rsid w:val="1C2F22BE"/>
    <w:rsid w:val="1C330BE1"/>
    <w:rsid w:val="1C381D54"/>
    <w:rsid w:val="1C3D736A"/>
    <w:rsid w:val="1C3E30E2"/>
    <w:rsid w:val="1C3E504A"/>
    <w:rsid w:val="1C3F5862"/>
    <w:rsid w:val="1C3F7586"/>
    <w:rsid w:val="1C424981"/>
    <w:rsid w:val="1C4526C3"/>
    <w:rsid w:val="1C4A5F2B"/>
    <w:rsid w:val="1C511068"/>
    <w:rsid w:val="1C512E16"/>
    <w:rsid w:val="1C56667E"/>
    <w:rsid w:val="1C5F3784"/>
    <w:rsid w:val="1C625023"/>
    <w:rsid w:val="1C6568C1"/>
    <w:rsid w:val="1C662D65"/>
    <w:rsid w:val="1C672639"/>
    <w:rsid w:val="1C6E1C1A"/>
    <w:rsid w:val="1C6F7740"/>
    <w:rsid w:val="1C721C5B"/>
    <w:rsid w:val="1C744D56"/>
    <w:rsid w:val="1C776E36"/>
    <w:rsid w:val="1C784846"/>
    <w:rsid w:val="1C7A236C"/>
    <w:rsid w:val="1C7B60E4"/>
    <w:rsid w:val="1C7D1E5D"/>
    <w:rsid w:val="1C7D7062"/>
    <w:rsid w:val="1C8026B6"/>
    <w:rsid w:val="1C846B66"/>
    <w:rsid w:val="1C856F63"/>
    <w:rsid w:val="1C8B0A36"/>
    <w:rsid w:val="1C8F393E"/>
    <w:rsid w:val="1C9571A6"/>
    <w:rsid w:val="1C961170"/>
    <w:rsid w:val="1C962F1E"/>
    <w:rsid w:val="1C9A2A0F"/>
    <w:rsid w:val="1CA13D9D"/>
    <w:rsid w:val="1CA218C3"/>
    <w:rsid w:val="1CA61F02"/>
    <w:rsid w:val="1CA6502A"/>
    <w:rsid w:val="1CA7512B"/>
    <w:rsid w:val="1CAB69CA"/>
    <w:rsid w:val="1CAF0084"/>
    <w:rsid w:val="1CB02232"/>
    <w:rsid w:val="1CB17D58"/>
    <w:rsid w:val="1CB2219C"/>
    <w:rsid w:val="1CB530B4"/>
    <w:rsid w:val="1CB57848"/>
    <w:rsid w:val="1CB67C92"/>
    <w:rsid w:val="1CB87339"/>
    <w:rsid w:val="1CBD04AB"/>
    <w:rsid w:val="1CBF5FD1"/>
    <w:rsid w:val="1CC02AA7"/>
    <w:rsid w:val="1CC161ED"/>
    <w:rsid w:val="1CC23D13"/>
    <w:rsid w:val="1CC47A8B"/>
    <w:rsid w:val="1CC730D8"/>
    <w:rsid w:val="1CCA0FFC"/>
    <w:rsid w:val="1CCC6940"/>
    <w:rsid w:val="1CCE090A"/>
    <w:rsid w:val="1CD001DE"/>
    <w:rsid w:val="1CDF602F"/>
    <w:rsid w:val="1CE26164"/>
    <w:rsid w:val="1CE67A02"/>
    <w:rsid w:val="1CEE4B08"/>
    <w:rsid w:val="1CEE68B6"/>
    <w:rsid w:val="1CEE6A7A"/>
    <w:rsid w:val="1CF10155"/>
    <w:rsid w:val="1CF55E97"/>
    <w:rsid w:val="1CF864FE"/>
    <w:rsid w:val="1CF87735"/>
    <w:rsid w:val="1CFA16FF"/>
    <w:rsid w:val="1CFA34AD"/>
    <w:rsid w:val="1CFB407F"/>
    <w:rsid w:val="1CFC5477"/>
    <w:rsid w:val="1CFD2DEB"/>
    <w:rsid w:val="1D0205B4"/>
    <w:rsid w:val="1D0E51AB"/>
    <w:rsid w:val="1D1125A5"/>
    <w:rsid w:val="1D1722B1"/>
    <w:rsid w:val="1D1A58FD"/>
    <w:rsid w:val="1D1C78C7"/>
    <w:rsid w:val="1D1D0F4A"/>
    <w:rsid w:val="1D2624F4"/>
    <w:rsid w:val="1D28635E"/>
    <w:rsid w:val="1D291FE4"/>
    <w:rsid w:val="1D300C7D"/>
    <w:rsid w:val="1D306ECF"/>
    <w:rsid w:val="1D320E99"/>
    <w:rsid w:val="1D361749"/>
    <w:rsid w:val="1D3A1AFC"/>
    <w:rsid w:val="1D3E15EC"/>
    <w:rsid w:val="1D445D2D"/>
    <w:rsid w:val="1D4A4435"/>
    <w:rsid w:val="1D4B1F5B"/>
    <w:rsid w:val="1D4D7A81"/>
    <w:rsid w:val="1D4E55EC"/>
    <w:rsid w:val="1D50131F"/>
    <w:rsid w:val="1D5030CD"/>
    <w:rsid w:val="1D5202A2"/>
    <w:rsid w:val="1D547061"/>
    <w:rsid w:val="1D5801D4"/>
    <w:rsid w:val="1D5C7CC4"/>
    <w:rsid w:val="1D631052"/>
    <w:rsid w:val="1D65301C"/>
    <w:rsid w:val="1D6B43AB"/>
    <w:rsid w:val="1D6D1ED1"/>
    <w:rsid w:val="1D7A45EE"/>
    <w:rsid w:val="1D7A4807"/>
    <w:rsid w:val="1D7E40DE"/>
    <w:rsid w:val="1D807281"/>
    <w:rsid w:val="1D85546D"/>
    <w:rsid w:val="1D862C8F"/>
    <w:rsid w:val="1D876420"/>
    <w:rsid w:val="1D880AB9"/>
    <w:rsid w:val="1D894E19"/>
    <w:rsid w:val="1D8D4321"/>
    <w:rsid w:val="1D9220A3"/>
    <w:rsid w:val="1D9303D6"/>
    <w:rsid w:val="1D943902"/>
    <w:rsid w:val="1D9456B0"/>
    <w:rsid w:val="1D962329"/>
    <w:rsid w:val="1D992CC6"/>
    <w:rsid w:val="1D9A47B6"/>
    <w:rsid w:val="1D9B6A3E"/>
    <w:rsid w:val="1D9C4564"/>
    <w:rsid w:val="1D9C6312"/>
    <w:rsid w:val="1DA42049"/>
    <w:rsid w:val="1DA4489F"/>
    <w:rsid w:val="1DA53B3F"/>
    <w:rsid w:val="1DAA6C81"/>
    <w:rsid w:val="1DB16262"/>
    <w:rsid w:val="1DB45D52"/>
    <w:rsid w:val="1DBA2C3C"/>
    <w:rsid w:val="1DBC0763"/>
    <w:rsid w:val="1DBD70AE"/>
    <w:rsid w:val="1DBE3824"/>
    <w:rsid w:val="1DC87107"/>
    <w:rsid w:val="1DCB6BF8"/>
    <w:rsid w:val="1DCF03F4"/>
    <w:rsid w:val="1DCF493A"/>
    <w:rsid w:val="1DD261D8"/>
    <w:rsid w:val="1DD36DFA"/>
    <w:rsid w:val="1DD67A76"/>
    <w:rsid w:val="1DD737EE"/>
    <w:rsid w:val="1DD75402"/>
    <w:rsid w:val="1DE026A3"/>
    <w:rsid w:val="1DE06B47"/>
    <w:rsid w:val="1DE32193"/>
    <w:rsid w:val="1DE37C44"/>
    <w:rsid w:val="1DE55F0B"/>
    <w:rsid w:val="1DE63A32"/>
    <w:rsid w:val="1DE67A5F"/>
    <w:rsid w:val="1DE765A7"/>
    <w:rsid w:val="1DEB0A3D"/>
    <w:rsid w:val="1DED55CE"/>
    <w:rsid w:val="1DED6B6E"/>
    <w:rsid w:val="1DEF162F"/>
    <w:rsid w:val="1DF517C5"/>
    <w:rsid w:val="1DFE521F"/>
    <w:rsid w:val="1E02610A"/>
    <w:rsid w:val="1E075364"/>
    <w:rsid w:val="1E087E4C"/>
    <w:rsid w:val="1E0F4D36"/>
    <w:rsid w:val="1E114F52"/>
    <w:rsid w:val="1E116D00"/>
    <w:rsid w:val="1E1862E1"/>
    <w:rsid w:val="1E193E07"/>
    <w:rsid w:val="1E1A4FF0"/>
    <w:rsid w:val="1E1E28AB"/>
    <w:rsid w:val="1E1E4F79"/>
    <w:rsid w:val="1E1E766F"/>
    <w:rsid w:val="1E217E45"/>
    <w:rsid w:val="1E220F0E"/>
    <w:rsid w:val="1E28404A"/>
    <w:rsid w:val="1E2F53D8"/>
    <w:rsid w:val="1E340C41"/>
    <w:rsid w:val="1E3E4729"/>
    <w:rsid w:val="1E3E4FB4"/>
    <w:rsid w:val="1E403142"/>
    <w:rsid w:val="1E4240F2"/>
    <w:rsid w:val="1E433475"/>
    <w:rsid w:val="1E49784A"/>
    <w:rsid w:val="1E4E1D03"/>
    <w:rsid w:val="1E4F2C3F"/>
    <w:rsid w:val="1E4F5A7B"/>
    <w:rsid w:val="1E546CEA"/>
    <w:rsid w:val="1E555448"/>
    <w:rsid w:val="1E5723F7"/>
    <w:rsid w:val="1E5906A7"/>
    <w:rsid w:val="1E5B152D"/>
    <w:rsid w:val="1E5F5CBE"/>
    <w:rsid w:val="1E62130A"/>
    <w:rsid w:val="1E6432D4"/>
    <w:rsid w:val="1E652BA8"/>
    <w:rsid w:val="1E673F9C"/>
    <w:rsid w:val="1E696B3C"/>
    <w:rsid w:val="1E6E5F01"/>
    <w:rsid w:val="1E766B63"/>
    <w:rsid w:val="1E77796A"/>
    <w:rsid w:val="1E7C4299"/>
    <w:rsid w:val="1E7D7EF2"/>
    <w:rsid w:val="1E7F05AE"/>
    <w:rsid w:val="1E803A9B"/>
    <w:rsid w:val="1E821E95"/>
    <w:rsid w:val="1E867014"/>
    <w:rsid w:val="1E875215"/>
    <w:rsid w:val="1E8A0861"/>
    <w:rsid w:val="1E94348E"/>
    <w:rsid w:val="1E9B481C"/>
    <w:rsid w:val="1E9E5891"/>
    <w:rsid w:val="1E9E60BA"/>
    <w:rsid w:val="1E9F29BF"/>
    <w:rsid w:val="1E9F430C"/>
    <w:rsid w:val="1EA5569B"/>
    <w:rsid w:val="1EAA01A3"/>
    <w:rsid w:val="1EAA1AE8"/>
    <w:rsid w:val="1EAA4A5F"/>
    <w:rsid w:val="1EAB0F03"/>
    <w:rsid w:val="1EAC4C7B"/>
    <w:rsid w:val="1EAD7DE2"/>
    <w:rsid w:val="1EAE09F3"/>
    <w:rsid w:val="1EAE454F"/>
    <w:rsid w:val="1EAE5864"/>
    <w:rsid w:val="1EB018DF"/>
    <w:rsid w:val="1EB06519"/>
    <w:rsid w:val="1EB1403F"/>
    <w:rsid w:val="1EB15448"/>
    <w:rsid w:val="1EB15DEE"/>
    <w:rsid w:val="1EB3600A"/>
    <w:rsid w:val="1EB37DB8"/>
    <w:rsid w:val="1EBA0EAC"/>
    <w:rsid w:val="1EBA7398"/>
    <w:rsid w:val="1EBE4E7B"/>
    <w:rsid w:val="1EBF050A"/>
    <w:rsid w:val="1EC42C98"/>
    <w:rsid w:val="1EC64A9D"/>
    <w:rsid w:val="1ECD058E"/>
    <w:rsid w:val="1ECF04F0"/>
    <w:rsid w:val="1ED50531"/>
    <w:rsid w:val="1ED8781E"/>
    <w:rsid w:val="1EDB2E6A"/>
    <w:rsid w:val="1EDC730E"/>
    <w:rsid w:val="1EDF295B"/>
    <w:rsid w:val="1EE15A6C"/>
    <w:rsid w:val="1EED239C"/>
    <w:rsid w:val="1EF328AA"/>
    <w:rsid w:val="1EF81C6E"/>
    <w:rsid w:val="1EFF4DAB"/>
    <w:rsid w:val="1F005027"/>
    <w:rsid w:val="1F046865"/>
    <w:rsid w:val="1F070103"/>
    <w:rsid w:val="1F073C5F"/>
    <w:rsid w:val="1F093E7B"/>
    <w:rsid w:val="1F0A2ED0"/>
    <w:rsid w:val="1F0B3750"/>
    <w:rsid w:val="1F0C1276"/>
    <w:rsid w:val="1F0C52E3"/>
    <w:rsid w:val="1F0E3293"/>
    <w:rsid w:val="1F100D66"/>
    <w:rsid w:val="1F105AB8"/>
    <w:rsid w:val="1F124EA7"/>
    <w:rsid w:val="1F136AA8"/>
    <w:rsid w:val="1F1545CE"/>
    <w:rsid w:val="1F185E6D"/>
    <w:rsid w:val="1F197111"/>
    <w:rsid w:val="1F1C3BAF"/>
    <w:rsid w:val="1F1D3483"/>
    <w:rsid w:val="1F242A63"/>
    <w:rsid w:val="1F274302"/>
    <w:rsid w:val="1F28557B"/>
    <w:rsid w:val="1F29007A"/>
    <w:rsid w:val="1F291E28"/>
    <w:rsid w:val="1F2B5BA0"/>
    <w:rsid w:val="1F2E1635"/>
    <w:rsid w:val="1F2E743E"/>
    <w:rsid w:val="1F30765A"/>
    <w:rsid w:val="1F3709E9"/>
    <w:rsid w:val="1F372797"/>
    <w:rsid w:val="1F394761"/>
    <w:rsid w:val="1F443106"/>
    <w:rsid w:val="1F444AA3"/>
    <w:rsid w:val="1F460C2C"/>
    <w:rsid w:val="1F49071C"/>
    <w:rsid w:val="1F4B3E9E"/>
    <w:rsid w:val="1F4C2284"/>
    <w:rsid w:val="1F4D3D68"/>
    <w:rsid w:val="1F52137F"/>
    <w:rsid w:val="1F533349"/>
    <w:rsid w:val="1F536EA5"/>
    <w:rsid w:val="1F550E6F"/>
    <w:rsid w:val="1F552C1D"/>
    <w:rsid w:val="1F5570C1"/>
    <w:rsid w:val="1F5A46D7"/>
    <w:rsid w:val="1F5C044F"/>
    <w:rsid w:val="1F5C21FD"/>
    <w:rsid w:val="1F5F584A"/>
    <w:rsid w:val="1F61475A"/>
    <w:rsid w:val="1F62533A"/>
    <w:rsid w:val="1F6966C8"/>
    <w:rsid w:val="1F6B41EE"/>
    <w:rsid w:val="1F6E4863"/>
    <w:rsid w:val="1F6E513F"/>
    <w:rsid w:val="1F6F048C"/>
    <w:rsid w:val="1F721A21"/>
    <w:rsid w:val="1F7638D9"/>
    <w:rsid w:val="1F777037"/>
    <w:rsid w:val="1F7A08D5"/>
    <w:rsid w:val="1F7C63FB"/>
    <w:rsid w:val="1F7D3F22"/>
    <w:rsid w:val="1F8452B0"/>
    <w:rsid w:val="1F875B17"/>
    <w:rsid w:val="1F884DA0"/>
    <w:rsid w:val="1F8A4FBC"/>
    <w:rsid w:val="1F8B4890"/>
    <w:rsid w:val="1F8D10C6"/>
    <w:rsid w:val="1F8E612F"/>
    <w:rsid w:val="1F8F25D3"/>
    <w:rsid w:val="1F9000F9"/>
    <w:rsid w:val="1F933745"/>
    <w:rsid w:val="1F9B509B"/>
    <w:rsid w:val="1F9C4CF0"/>
    <w:rsid w:val="1FA45268"/>
    <w:rsid w:val="1FA616CA"/>
    <w:rsid w:val="1FA80104"/>
    <w:rsid w:val="1FA802B9"/>
    <w:rsid w:val="1FAC33EA"/>
    <w:rsid w:val="1FAD2A59"/>
    <w:rsid w:val="1FAD4807"/>
    <w:rsid w:val="1FB042F7"/>
    <w:rsid w:val="1FB07AC3"/>
    <w:rsid w:val="1FB5190D"/>
    <w:rsid w:val="1FB738D7"/>
    <w:rsid w:val="1FB843E7"/>
    <w:rsid w:val="1FBE4C66"/>
    <w:rsid w:val="1FC13108"/>
    <w:rsid w:val="1FC16504"/>
    <w:rsid w:val="1FC3402A"/>
    <w:rsid w:val="1FC55DBE"/>
    <w:rsid w:val="1FCA066A"/>
    <w:rsid w:val="1FCA360B"/>
    <w:rsid w:val="1FCD4EA9"/>
    <w:rsid w:val="1FD06747"/>
    <w:rsid w:val="1FD224BF"/>
    <w:rsid w:val="1FD55B0C"/>
    <w:rsid w:val="1FD60202"/>
    <w:rsid w:val="1FD72E25"/>
    <w:rsid w:val="1FD91AA0"/>
    <w:rsid w:val="1FDE70B6"/>
    <w:rsid w:val="1FE02E2E"/>
    <w:rsid w:val="1FE10954"/>
    <w:rsid w:val="1FE31210"/>
    <w:rsid w:val="1FE426A0"/>
    <w:rsid w:val="1FEF3071"/>
    <w:rsid w:val="1FFB37C4"/>
    <w:rsid w:val="1FFF6E7D"/>
    <w:rsid w:val="200054D9"/>
    <w:rsid w:val="2000702C"/>
    <w:rsid w:val="20015EDA"/>
    <w:rsid w:val="20020FF7"/>
    <w:rsid w:val="20054643"/>
    <w:rsid w:val="20062518"/>
    <w:rsid w:val="20085EE1"/>
    <w:rsid w:val="200D34F7"/>
    <w:rsid w:val="200F7B00"/>
    <w:rsid w:val="20174376"/>
    <w:rsid w:val="201C198C"/>
    <w:rsid w:val="201E74B3"/>
    <w:rsid w:val="20230F6D"/>
    <w:rsid w:val="20232D1B"/>
    <w:rsid w:val="20256A93"/>
    <w:rsid w:val="202D3B9A"/>
    <w:rsid w:val="20337402"/>
    <w:rsid w:val="20390790"/>
    <w:rsid w:val="203B5D95"/>
    <w:rsid w:val="203C098B"/>
    <w:rsid w:val="203E1903"/>
    <w:rsid w:val="20401B1F"/>
    <w:rsid w:val="204213F3"/>
    <w:rsid w:val="2043260B"/>
    <w:rsid w:val="20474C5B"/>
    <w:rsid w:val="20476A09"/>
    <w:rsid w:val="204809D3"/>
    <w:rsid w:val="20482782"/>
    <w:rsid w:val="20496676"/>
    <w:rsid w:val="204A5756"/>
    <w:rsid w:val="204C2272"/>
    <w:rsid w:val="204C4020"/>
    <w:rsid w:val="204F4230"/>
    <w:rsid w:val="204F58BE"/>
    <w:rsid w:val="205904EB"/>
    <w:rsid w:val="20592BE1"/>
    <w:rsid w:val="205E01F7"/>
    <w:rsid w:val="205E1FA5"/>
    <w:rsid w:val="206046DD"/>
    <w:rsid w:val="20607AD1"/>
    <w:rsid w:val="20656BE4"/>
    <w:rsid w:val="20672C08"/>
    <w:rsid w:val="20694BCD"/>
    <w:rsid w:val="206E043A"/>
    <w:rsid w:val="207035BF"/>
    <w:rsid w:val="20735512"/>
    <w:rsid w:val="208319DF"/>
    <w:rsid w:val="20831A0C"/>
    <w:rsid w:val="20855A40"/>
    <w:rsid w:val="20867C96"/>
    <w:rsid w:val="20875058"/>
    <w:rsid w:val="20880DD0"/>
    <w:rsid w:val="208C6B12"/>
    <w:rsid w:val="208E288A"/>
    <w:rsid w:val="209105AD"/>
    <w:rsid w:val="209354CA"/>
    <w:rsid w:val="20983EB6"/>
    <w:rsid w:val="209E23A2"/>
    <w:rsid w:val="20A3123C"/>
    <w:rsid w:val="20A7394C"/>
    <w:rsid w:val="20A74FBA"/>
    <w:rsid w:val="20A756FA"/>
    <w:rsid w:val="20AA51EA"/>
    <w:rsid w:val="20B05033"/>
    <w:rsid w:val="20B16579"/>
    <w:rsid w:val="20B41BC5"/>
    <w:rsid w:val="20B63B8F"/>
    <w:rsid w:val="20B65FAF"/>
    <w:rsid w:val="20B816B5"/>
    <w:rsid w:val="20C16E58"/>
    <w:rsid w:val="20CC5834"/>
    <w:rsid w:val="20E8770D"/>
    <w:rsid w:val="20ED7432"/>
    <w:rsid w:val="20F46465"/>
    <w:rsid w:val="20F555B5"/>
    <w:rsid w:val="20F748D2"/>
    <w:rsid w:val="20FB5A46"/>
    <w:rsid w:val="20FB77F4"/>
    <w:rsid w:val="20FD17BE"/>
    <w:rsid w:val="210A4734"/>
    <w:rsid w:val="210B5E71"/>
    <w:rsid w:val="210F0963"/>
    <w:rsid w:val="21110DC5"/>
    <w:rsid w:val="21117017"/>
    <w:rsid w:val="21154D5A"/>
    <w:rsid w:val="211B39F2"/>
    <w:rsid w:val="211D59BC"/>
    <w:rsid w:val="21210FCF"/>
    <w:rsid w:val="21236F43"/>
    <w:rsid w:val="212E5E1B"/>
    <w:rsid w:val="213056EF"/>
    <w:rsid w:val="21330813"/>
    <w:rsid w:val="21354B49"/>
    <w:rsid w:val="21372D0F"/>
    <w:rsid w:val="213C22E6"/>
    <w:rsid w:val="213D1BBA"/>
    <w:rsid w:val="21405125"/>
    <w:rsid w:val="214271D1"/>
    <w:rsid w:val="21430308"/>
    <w:rsid w:val="21466CC1"/>
    <w:rsid w:val="21467ABC"/>
    <w:rsid w:val="214F7359"/>
    <w:rsid w:val="21507B40"/>
    <w:rsid w:val="2152133A"/>
    <w:rsid w:val="21564CC5"/>
    <w:rsid w:val="215A276C"/>
    <w:rsid w:val="216102D0"/>
    <w:rsid w:val="21642211"/>
    <w:rsid w:val="216435EB"/>
    <w:rsid w:val="21667363"/>
    <w:rsid w:val="21674E89"/>
    <w:rsid w:val="2168340C"/>
    <w:rsid w:val="216929AF"/>
    <w:rsid w:val="216B2BCB"/>
    <w:rsid w:val="217952E8"/>
    <w:rsid w:val="217A2E0F"/>
    <w:rsid w:val="217C0935"/>
    <w:rsid w:val="2181419D"/>
    <w:rsid w:val="21845A3B"/>
    <w:rsid w:val="21863561"/>
    <w:rsid w:val="21897ECB"/>
    <w:rsid w:val="218B53BC"/>
    <w:rsid w:val="218E0668"/>
    <w:rsid w:val="21920158"/>
    <w:rsid w:val="219537A4"/>
    <w:rsid w:val="219D08AB"/>
    <w:rsid w:val="219E4D4F"/>
    <w:rsid w:val="21A63C04"/>
    <w:rsid w:val="21A8172A"/>
    <w:rsid w:val="21AE2AB8"/>
    <w:rsid w:val="21B03B55"/>
    <w:rsid w:val="21B31E7D"/>
    <w:rsid w:val="21BC3427"/>
    <w:rsid w:val="21BC51D5"/>
    <w:rsid w:val="21BF0821"/>
    <w:rsid w:val="21C10A3D"/>
    <w:rsid w:val="21C706C4"/>
    <w:rsid w:val="21C83B7A"/>
    <w:rsid w:val="21C916A0"/>
    <w:rsid w:val="21CB27F1"/>
    <w:rsid w:val="21CF315A"/>
    <w:rsid w:val="21D267A7"/>
    <w:rsid w:val="21D342CD"/>
    <w:rsid w:val="21D544E9"/>
    <w:rsid w:val="21DB46C8"/>
    <w:rsid w:val="21DE514B"/>
    <w:rsid w:val="21E12E8E"/>
    <w:rsid w:val="21E62252"/>
    <w:rsid w:val="21E93569"/>
    <w:rsid w:val="21E93AF0"/>
    <w:rsid w:val="21ED01F5"/>
    <w:rsid w:val="21EF7079"/>
    <w:rsid w:val="21F26040"/>
    <w:rsid w:val="21F8186C"/>
    <w:rsid w:val="21F93D33"/>
    <w:rsid w:val="21FC167D"/>
    <w:rsid w:val="21FF3314"/>
    <w:rsid w:val="22032E04"/>
    <w:rsid w:val="22056B7C"/>
    <w:rsid w:val="220608A2"/>
    <w:rsid w:val="220628F4"/>
    <w:rsid w:val="220646A2"/>
    <w:rsid w:val="22086346"/>
    <w:rsid w:val="2208666C"/>
    <w:rsid w:val="220964A4"/>
    <w:rsid w:val="220A23E4"/>
    <w:rsid w:val="220B7F0B"/>
    <w:rsid w:val="220F1234"/>
    <w:rsid w:val="22173879"/>
    <w:rsid w:val="221943D6"/>
    <w:rsid w:val="221A365E"/>
    <w:rsid w:val="221C3EC6"/>
    <w:rsid w:val="22205764"/>
    <w:rsid w:val="22235254"/>
    <w:rsid w:val="22266AF2"/>
    <w:rsid w:val="22274816"/>
    <w:rsid w:val="222D224E"/>
    <w:rsid w:val="22350AE4"/>
    <w:rsid w:val="2237485C"/>
    <w:rsid w:val="223A40EF"/>
    <w:rsid w:val="223C63CB"/>
    <w:rsid w:val="223D6DA5"/>
    <w:rsid w:val="224469E3"/>
    <w:rsid w:val="22460F43"/>
    <w:rsid w:val="224A27E1"/>
    <w:rsid w:val="224E5C00"/>
    <w:rsid w:val="224F429B"/>
    <w:rsid w:val="224F66C7"/>
    <w:rsid w:val="2254541C"/>
    <w:rsid w:val="22561186"/>
    <w:rsid w:val="225B2099"/>
    <w:rsid w:val="22604A7B"/>
    <w:rsid w:val="22610ADC"/>
    <w:rsid w:val="226225B1"/>
    <w:rsid w:val="2265761B"/>
    <w:rsid w:val="22673393"/>
    <w:rsid w:val="22682C67"/>
    <w:rsid w:val="226A4C31"/>
    <w:rsid w:val="226B5457"/>
    <w:rsid w:val="226F2247"/>
    <w:rsid w:val="226F3FF6"/>
    <w:rsid w:val="227B405E"/>
    <w:rsid w:val="227C6712"/>
    <w:rsid w:val="227F528A"/>
    <w:rsid w:val="22806203"/>
    <w:rsid w:val="22873A35"/>
    <w:rsid w:val="22877591"/>
    <w:rsid w:val="22885BF9"/>
    <w:rsid w:val="22895117"/>
    <w:rsid w:val="228965D3"/>
    <w:rsid w:val="228A7081"/>
    <w:rsid w:val="2296541A"/>
    <w:rsid w:val="229879F0"/>
    <w:rsid w:val="22993768"/>
    <w:rsid w:val="22A16179"/>
    <w:rsid w:val="22A95394"/>
    <w:rsid w:val="22AA7723"/>
    <w:rsid w:val="22AB3233"/>
    <w:rsid w:val="22AD2D70"/>
    <w:rsid w:val="22B61C24"/>
    <w:rsid w:val="22BB6551"/>
    <w:rsid w:val="22BD1205"/>
    <w:rsid w:val="22BE4F7D"/>
    <w:rsid w:val="22BE6D2B"/>
    <w:rsid w:val="22C00CF5"/>
    <w:rsid w:val="22C02AA3"/>
    <w:rsid w:val="22C17821"/>
    <w:rsid w:val="22C2681B"/>
    <w:rsid w:val="22C6199A"/>
    <w:rsid w:val="22C72083"/>
    <w:rsid w:val="22C75A2E"/>
    <w:rsid w:val="22C81958"/>
    <w:rsid w:val="22CA1B74"/>
    <w:rsid w:val="22CA3922"/>
    <w:rsid w:val="22CC0F2A"/>
    <w:rsid w:val="22CC1448"/>
    <w:rsid w:val="22CD2452"/>
    <w:rsid w:val="22CF2CE6"/>
    <w:rsid w:val="22D84291"/>
    <w:rsid w:val="22DB49BE"/>
    <w:rsid w:val="22DB5B2F"/>
    <w:rsid w:val="22DC2A30"/>
    <w:rsid w:val="22DD3655"/>
    <w:rsid w:val="22E22A19"/>
    <w:rsid w:val="22E54C87"/>
    <w:rsid w:val="22E54E3C"/>
    <w:rsid w:val="22E76282"/>
    <w:rsid w:val="22E83DA8"/>
    <w:rsid w:val="22EE1374"/>
    <w:rsid w:val="22F02C37"/>
    <w:rsid w:val="22F17100"/>
    <w:rsid w:val="22F664C5"/>
    <w:rsid w:val="22FA4207"/>
    <w:rsid w:val="22FD3574"/>
    <w:rsid w:val="22FD7853"/>
    <w:rsid w:val="22FE5379"/>
    <w:rsid w:val="22FF35CB"/>
    <w:rsid w:val="23005249"/>
    <w:rsid w:val="23046E34"/>
    <w:rsid w:val="23056708"/>
    <w:rsid w:val="2309444A"/>
    <w:rsid w:val="2318468D"/>
    <w:rsid w:val="23194618"/>
    <w:rsid w:val="231A0926"/>
    <w:rsid w:val="231D6147"/>
    <w:rsid w:val="231F5C99"/>
    <w:rsid w:val="2322375E"/>
    <w:rsid w:val="23272B22"/>
    <w:rsid w:val="23290648"/>
    <w:rsid w:val="232A43C0"/>
    <w:rsid w:val="232C0139"/>
    <w:rsid w:val="232E2103"/>
    <w:rsid w:val="232E3EB1"/>
    <w:rsid w:val="2335523F"/>
    <w:rsid w:val="23386ADD"/>
    <w:rsid w:val="233C481F"/>
    <w:rsid w:val="233C55E1"/>
    <w:rsid w:val="233E17D0"/>
    <w:rsid w:val="23405992"/>
    <w:rsid w:val="23411E36"/>
    <w:rsid w:val="2342170A"/>
    <w:rsid w:val="23424FFC"/>
    <w:rsid w:val="23445482"/>
    <w:rsid w:val="23447230"/>
    <w:rsid w:val="23492A98"/>
    <w:rsid w:val="234C2589"/>
    <w:rsid w:val="23563407"/>
    <w:rsid w:val="23586A43"/>
    <w:rsid w:val="235C2297"/>
    <w:rsid w:val="235F0836"/>
    <w:rsid w:val="23623B5A"/>
    <w:rsid w:val="23645B24"/>
    <w:rsid w:val="23651C9F"/>
    <w:rsid w:val="236553F8"/>
    <w:rsid w:val="23696C97"/>
    <w:rsid w:val="236B51E7"/>
    <w:rsid w:val="23700025"/>
    <w:rsid w:val="237A0EA4"/>
    <w:rsid w:val="237D251C"/>
    <w:rsid w:val="237F295E"/>
    <w:rsid w:val="23857832"/>
    <w:rsid w:val="238B4600"/>
    <w:rsid w:val="238B4E5F"/>
    <w:rsid w:val="238E6718"/>
    <w:rsid w:val="239006C7"/>
    <w:rsid w:val="2393640A"/>
    <w:rsid w:val="23953F30"/>
    <w:rsid w:val="239575E6"/>
    <w:rsid w:val="23963804"/>
    <w:rsid w:val="2398757C"/>
    <w:rsid w:val="239A32F4"/>
    <w:rsid w:val="239D182C"/>
    <w:rsid w:val="239D4B92"/>
    <w:rsid w:val="239E0527"/>
    <w:rsid w:val="239E30F8"/>
    <w:rsid w:val="239F6B5C"/>
    <w:rsid w:val="23A35ADA"/>
    <w:rsid w:val="23A62696"/>
    <w:rsid w:val="23A7180F"/>
    <w:rsid w:val="23A75A11"/>
    <w:rsid w:val="23B02B18"/>
    <w:rsid w:val="23B24AE2"/>
    <w:rsid w:val="23B31D5F"/>
    <w:rsid w:val="23B56380"/>
    <w:rsid w:val="23BD6FE3"/>
    <w:rsid w:val="23BE3486"/>
    <w:rsid w:val="23BE5285"/>
    <w:rsid w:val="23C15AB0"/>
    <w:rsid w:val="23C16AD3"/>
    <w:rsid w:val="23C30A9D"/>
    <w:rsid w:val="23C659E4"/>
    <w:rsid w:val="23C661FA"/>
    <w:rsid w:val="23C91E2B"/>
    <w:rsid w:val="23CD5478"/>
    <w:rsid w:val="23CE2F9E"/>
    <w:rsid w:val="23D20CE0"/>
    <w:rsid w:val="23D26F32"/>
    <w:rsid w:val="23D5257E"/>
    <w:rsid w:val="23DC4E4F"/>
    <w:rsid w:val="23DE59BA"/>
    <w:rsid w:val="23E97DD8"/>
    <w:rsid w:val="23EB3172"/>
    <w:rsid w:val="23EC3D11"/>
    <w:rsid w:val="23ED1676"/>
    <w:rsid w:val="23ED5B1A"/>
    <w:rsid w:val="23EE0080"/>
    <w:rsid w:val="23F073B8"/>
    <w:rsid w:val="23F314B9"/>
    <w:rsid w:val="23F724F4"/>
    <w:rsid w:val="23F77216"/>
    <w:rsid w:val="23F95193"/>
    <w:rsid w:val="23FA0237"/>
    <w:rsid w:val="23FF4CA7"/>
    <w:rsid w:val="24084702"/>
    <w:rsid w:val="24095EC2"/>
    <w:rsid w:val="240B75A8"/>
    <w:rsid w:val="240F5DE0"/>
    <w:rsid w:val="24117358"/>
    <w:rsid w:val="24134E54"/>
    <w:rsid w:val="2418246B"/>
    <w:rsid w:val="241C052D"/>
    <w:rsid w:val="241E3F25"/>
    <w:rsid w:val="241E5CD3"/>
    <w:rsid w:val="242343C0"/>
    <w:rsid w:val="242A2E19"/>
    <w:rsid w:val="242B03F0"/>
    <w:rsid w:val="242B0459"/>
    <w:rsid w:val="242D5F16"/>
    <w:rsid w:val="242F26B6"/>
    <w:rsid w:val="2434206F"/>
    <w:rsid w:val="24482D50"/>
    <w:rsid w:val="244871F4"/>
    <w:rsid w:val="244B1E69"/>
    <w:rsid w:val="244C16FD"/>
    <w:rsid w:val="244C26BE"/>
    <w:rsid w:val="244D0366"/>
    <w:rsid w:val="244F233A"/>
    <w:rsid w:val="245051B0"/>
    <w:rsid w:val="245142FB"/>
    <w:rsid w:val="24523BCF"/>
    <w:rsid w:val="245C2C9F"/>
    <w:rsid w:val="245C4A01"/>
    <w:rsid w:val="24613E12"/>
    <w:rsid w:val="246851A0"/>
    <w:rsid w:val="24686FE5"/>
    <w:rsid w:val="246B6A3F"/>
    <w:rsid w:val="24704055"/>
    <w:rsid w:val="247052C5"/>
    <w:rsid w:val="247104F9"/>
    <w:rsid w:val="24727DCD"/>
    <w:rsid w:val="24741A72"/>
    <w:rsid w:val="24743B45"/>
    <w:rsid w:val="24760BE2"/>
    <w:rsid w:val="247B1377"/>
    <w:rsid w:val="2480073C"/>
    <w:rsid w:val="248144B4"/>
    <w:rsid w:val="24816262"/>
    <w:rsid w:val="24855D52"/>
    <w:rsid w:val="24885842"/>
    <w:rsid w:val="248C5333"/>
    <w:rsid w:val="24912949"/>
    <w:rsid w:val="2492221D"/>
    <w:rsid w:val="24942439"/>
    <w:rsid w:val="24945F95"/>
    <w:rsid w:val="24961D0D"/>
    <w:rsid w:val="24997A50"/>
    <w:rsid w:val="249D7540"/>
    <w:rsid w:val="249E5066"/>
    <w:rsid w:val="249F17D3"/>
    <w:rsid w:val="24A00233"/>
    <w:rsid w:val="24A37D02"/>
    <w:rsid w:val="24A51F50"/>
    <w:rsid w:val="24A843FE"/>
    <w:rsid w:val="24B86128"/>
    <w:rsid w:val="24C10D89"/>
    <w:rsid w:val="24CA19B7"/>
    <w:rsid w:val="24CC1BD3"/>
    <w:rsid w:val="24CC3981"/>
    <w:rsid w:val="24CF521F"/>
    <w:rsid w:val="24D42836"/>
    <w:rsid w:val="24D6035C"/>
    <w:rsid w:val="24DA2BBE"/>
    <w:rsid w:val="24DB3BC4"/>
    <w:rsid w:val="24DB6E55"/>
    <w:rsid w:val="24DE57D6"/>
    <w:rsid w:val="24E0567E"/>
    <w:rsid w:val="24E33EA6"/>
    <w:rsid w:val="24E964E8"/>
    <w:rsid w:val="24EF75A7"/>
    <w:rsid w:val="24F5448C"/>
    <w:rsid w:val="24F609FE"/>
    <w:rsid w:val="24F84776"/>
    <w:rsid w:val="2501777F"/>
    <w:rsid w:val="25046061"/>
    <w:rsid w:val="25090731"/>
    <w:rsid w:val="250C6474"/>
    <w:rsid w:val="250D7AF6"/>
    <w:rsid w:val="250F1AC0"/>
    <w:rsid w:val="25143E89"/>
    <w:rsid w:val="251C4037"/>
    <w:rsid w:val="251E1D03"/>
    <w:rsid w:val="252437BD"/>
    <w:rsid w:val="2524556B"/>
    <w:rsid w:val="252B661C"/>
    <w:rsid w:val="253024A9"/>
    <w:rsid w:val="25323DC4"/>
    <w:rsid w:val="2533755C"/>
    <w:rsid w:val="25341526"/>
    <w:rsid w:val="253432D4"/>
    <w:rsid w:val="253D662D"/>
    <w:rsid w:val="25421E95"/>
    <w:rsid w:val="254774AC"/>
    <w:rsid w:val="254A2AF8"/>
    <w:rsid w:val="254E25E8"/>
    <w:rsid w:val="255676EF"/>
    <w:rsid w:val="25583467"/>
    <w:rsid w:val="255D282B"/>
    <w:rsid w:val="256A4F48"/>
    <w:rsid w:val="256C0CC0"/>
    <w:rsid w:val="256C6F12"/>
    <w:rsid w:val="257162D7"/>
    <w:rsid w:val="25740E92"/>
    <w:rsid w:val="25753D18"/>
    <w:rsid w:val="25761B3F"/>
    <w:rsid w:val="25777D91"/>
    <w:rsid w:val="25781413"/>
    <w:rsid w:val="257858B7"/>
    <w:rsid w:val="25787665"/>
    <w:rsid w:val="257B7155"/>
    <w:rsid w:val="257C53A7"/>
    <w:rsid w:val="257F09F3"/>
    <w:rsid w:val="257F3613"/>
    <w:rsid w:val="258239F9"/>
    <w:rsid w:val="258254C2"/>
    <w:rsid w:val="25826736"/>
    <w:rsid w:val="258424AE"/>
    <w:rsid w:val="2584600A"/>
    <w:rsid w:val="25847A9B"/>
    <w:rsid w:val="258B55EA"/>
    <w:rsid w:val="259B3353"/>
    <w:rsid w:val="259C15A5"/>
    <w:rsid w:val="259C7458"/>
    <w:rsid w:val="259D3570"/>
    <w:rsid w:val="259D70CC"/>
    <w:rsid w:val="25A246E2"/>
    <w:rsid w:val="25A6790C"/>
    <w:rsid w:val="25A92E69"/>
    <w:rsid w:val="25A93CC2"/>
    <w:rsid w:val="25AF56A8"/>
    <w:rsid w:val="25B06DFF"/>
    <w:rsid w:val="25B20DC9"/>
    <w:rsid w:val="25B34B41"/>
    <w:rsid w:val="25B71256"/>
    <w:rsid w:val="25B763DF"/>
    <w:rsid w:val="25BA7C7E"/>
    <w:rsid w:val="25BC39F6"/>
    <w:rsid w:val="25BE5F7F"/>
    <w:rsid w:val="25BF34E6"/>
    <w:rsid w:val="25C26B32"/>
    <w:rsid w:val="25C40AFC"/>
    <w:rsid w:val="25C603D0"/>
    <w:rsid w:val="25CC175F"/>
    <w:rsid w:val="25CC2E6A"/>
    <w:rsid w:val="25CC4F38"/>
    <w:rsid w:val="25D074A1"/>
    <w:rsid w:val="25D845A8"/>
    <w:rsid w:val="25DD396C"/>
    <w:rsid w:val="25E116AE"/>
    <w:rsid w:val="25E42F4C"/>
    <w:rsid w:val="25EB6089"/>
    <w:rsid w:val="25EB7E37"/>
    <w:rsid w:val="25EF3DCB"/>
    <w:rsid w:val="25F0173F"/>
    <w:rsid w:val="25F018F1"/>
    <w:rsid w:val="25F0369F"/>
    <w:rsid w:val="25FC2044"/>
    <w:rsid w:val="25FE1F57"/>
    <w:rsid w:val="25FF38E2"/>
    <w:rsid w:val="26041B6B"/>
    <w:rsid w:val="26046186"/>
    <w:rsid w:val="26070462"/>
    <w:rsid w:val="26103D41"/>
    <w:rsid w:val="26170C2C"/>
    <w:rsid w:val="261750D0"/>
    <w:rsid w:val="261849A4"/>
    <w:rsid w:val="261A696E"/>
    <w:rsid w:val="26211AAB"/>
    <w:rsid w:val="262A3886"/>
    <w:rsid w:val="263C2DB6"/>
    <w:rsid w:val="26404E20"/>
    <w:rsid w:val="2641214D"/>
    <w:rsid w:val="26461511"/>
    <w:rsid w:val="26465DC5"/>
    <w:rsid w:val="26487037"/>
    <w:rsid w:val="264D0AF2"/>
    <w:rsid w:val="26532A92"/>
    <w:rsid w:val="265509F5"/>
    <w:rsid w:val="265C2AE3"/>
    <w:rsid w:val="26630315"/>
    <w:rsid w:val="26657A78"/>
    <w:rsid w:val="266B4AD8"/>
    <w:rsid w:val="266B71CA"/>
    <w:rsid w:val="266D2F42"/>
    <w:rsid w:val="2673570E"/>
    <w:rsid w:val="26753BA5"/>
    <w:rsid w:val="26755E2C"/>
    <w:rsid w:val="267B7681"/>
    <w:rsid w:val="267C3185"/>
    <w:rsid w:val="267E6EFD"/>
    <w:rsid w:val="2680391F"/>
    <w:rsid w:val="268362C1"/>
    <w:rsid w:val="268564DD"/>
    <w:rsid w:val="26865DB2"/>
    <w:rsid w:val="26890B30"/>
    <w:rsid w:val="26891855"/>
    <w:rsid w:val="26914E82"/>
    <w:rsid w:val="269229A8"/>
    <w:rsid w:val="26937061"/>
    <w:rsid w:val="26937225"/>
    <w:rsid w:val="2694227D"/>
    <w:rsid w:val="26943F86"/>
    <w:rsid w:val="26962499"/>
    <w:rsid w:val="269851E1"/>
    <w:rsid w:val="269E134D"/>
    <w:rsid w:val="26A30712"/>
    <w:rsid w:val="26A36964"/>
    <w:rsid w:val="26A56238"/>
    <w:rsid w:val="26A57B72"/>
    <w:rsid w:val="26AA1A7C"/>
    <w:rsid w:val="26B02E2F"/>
    <w:rsid w:val="26B23E49"/>
    <w:rsid w:val="26B75F6B"/>
    <w:rsid w:val="26BA4560"/>
    <w:rsid w:val="26C30DB4"/>
    <w:rsid w:val="26C412B6"/>
    <w:rsid w:val="26C568DA"/>
    <w:rsid w:val="26C64400"/>
    <w:rsid w:val="26C863CA"/>
    <w:rsid w:val="26C92BC5"/>
    <w:rsid w:val="26D0702D"/>
    <w:rsid w:val="26DB60FD"/>
    <w:rsid w:val="26DB7EAB"/>
    <w:rsid w:val="26DC54DA"/>
    <w:rsid w:val="26DE174A"/>
    <w:rsid w:val="26E03714"/>
    <w:rsid w:val="26E054C2"/>
    <w:rsid w:val="26E2748C"/>
    <w:rsid w:val="26E34EAD"/>
    <w:rsid w:val="26E8081A"/>
    <w:rsid w:val="26EC24A4"/>
    <w:rsid w:val="26ED5E31"/>
    <w:rsid w:val="26EF3957"/>
    <w:rsid w:val="26F31699"/>
    <w:rsid w:val="26F62F37"/>
    <w:rsid w:val="26F86CAF"/>
    <w:rsid w:val="26F96584"/>
    <w:rsid w:val="26F969CE"/>
    <w:rsid w:val="26FB4305"/>
    <w:rsid w:val="26FD2518"/>
    <w:rsid w:val="27007912"/>
    <w:rsid w:val="27027B2E"/>
    <w:rsid w:val="27040EBB"/>
    <w:rsid w:val="270578EC"/>
    <w:rsid w:val="2709648F"/>
    <w:rsid w:val="270D202F"/>
    <w:rsid w:val="270E647B"/>
    <w:rsid w:val="27117D71"/>
    <w:rsid w:val="27135897"/>
    <w:rsid w:val="271433BD"/>
    <w:rsid w:val="271635D9"/>
    <w:rsid w:val="27166BAC"/>
    <w:rsid w:val="271C2272"/>
    <w:rsid w:val="271D6716"/>
    <w:rsid w:val="271F4221"/>
    <w:rsid w:val="27202D3F"/>
    <w:rsid w:val="27206206"/>
    <w:rsid w:val="272B367E"/>
    <w:rsid w:val="272C0707"/>
    <w:rsid w:val="272C6EB9"/>
    <w:rsid w:val="272D4881"/>
    <w:rsid w:val="272F08E2"/>
    <w:rsid w:val="27327271"/>
    <w:rsid w:val="27335F39"/>
    <w:rsid w:val="27361586"/>
    <w:rsid w:val="273852FE"/>
    <w:rsid w:val="273D2914"/>
    <w:rsid w:val="27400656"/>
    <w:rsid w:val="27455C6D"/>
    <w:rsid w:val="274666AE"/>
    <w:rsid w:val="274676FC"/>
    <w:rsid w:val="27475541"/>
    <w:rsid w:val="274C29DB"/>
    <w:rsid w:val="274C5843"/>
    <w:rsid w:val="27511310"/>
    <w:rsid w:val="2753038A"/>
    <w:rsid w:val="27541561"/>
    <w:rsid w:val="27541A0C"/>
    <w:rsid w:val="275A7954"/>
    <w:rsid w:val="275B2D9A"/>
    <w:rsid w:val="275B3E1E"/>
    <w:rsid w:val="275D6B12"/>
    <w:rsid w:val="27630C0D"/>
    <w:rsid w:val="27636686"/>
    <w:rsid w:val="27684462"/>
    <w:rsid w:val="276A59DB"/>
    <w:rsid w:val="276B56D3"/>
    <w:rsid w:val="276D7AF2"/>
    <w:rsid w:val="276E0D20"/>
    <w:rsid w:val="27703DC3"/>
    <w:rsid w:val="277A3B68"/>
    <w:rsid w:val="277B51EB"/>
    <w:rsid w:val="277B7067"/>
    <w:rsid w:val="277D5407"/>
    <w:rsid w:val="277E2C99"/>
    <w:rsid w:val="27814EF7"/>
    <w:rsid w:val="278542BB"/>
    <w:rsid w:val="27872CDC"/>
    <w:rsid w:val="278B7B24"/>
    <w:rsid w:val="278C7E6E"/>
    <w:rsid w:val="278F0C96"/>
    <w:rsid w:val="2792259F"/>
    <w:rsid w:val="279978A1"/>
    <w:rsid w:val="279A4EC5"/>
    <w:rsid w:val="279B71DA"/>
    <w:rsid w:val="279D1605"/>
    <w:rsid w:val="27A02EA3"/>
    <w:rsid w:val="27A04C51"/>
    <w:rsid w:val="27A42993"/>
    <w:rsid w:val="27A6495D"/>
    <w:rsid w:val="27A72484"/>
    <w:rsid w:val="27A91D58"/>
    <w:rsid w:val="27AD60AA"/>
    <w:rsid w:val="27B33019"/>
    <w:rsid w:val="27B506FD"/>
    <w:rsid w:val="27B5694E"/>
    <w:rsid w:val="27BA5D13"/>
    <w:rsid w:val="27BE3C67"/>
    <w:rsid w:val="27BF77CD"/>
    <w:rsid w:val="27C272BD"/>
    <w:rsid w:val="27C43035"/>
    <w:rsid w:val="27C44DE4"/>
    <w:rsid w:val="27C923FA"/>
    <w:rsid w:val="27CB43C4"/>
    <w:rsid w:val="27CE17BE"/>
    <w:rsid w:val="27D86739"/>
    <w:rsid w:val="27DA4607"/>
    <w:rsid w:val="27DC037F"/>
    <w:rsid w:val="27DD40F7"/>
    <w:rsid w:val="27E234BC"/>
    <w:rsid w:val="27E25DE6"/>
    <w:rsid w:val="27E62FAC"/>
    <w:rsid w:val="27E81D3D"/>
    <w:rsid w:val="27E965F8"/>
    <w:rsid w:val="27EB2370"/>
    <w:rsid w:val="27EB6814"/>
    <w:rsid w:val="27EC14FD"/>
    <w:rsid w:val="27EE3C0E"/>
    <w:rsid w:val="27F37477"/>
    <w:rsid w:val="27F751B9"/>
    <w:rsid w:val="27FB23CD"/>
    <w:rsid w:val="27FF406E"/>
    <w:rsid w:val="27FF7BCA"/>
    <w:rsid w:val="2802334F"/>
    <w:rsid w:val="28031BCE"/>
    <w:rsid w:val="280C4F25"/>
    <w:rsid w:val="280D0539"/>
    <w:rsid w:val="28135FC7"/>
    <w:rsid w:val="28153891"/>
    <w:rsid w:val="28174CD6"/>
    <w:rsid w:val="281A4A03"/>
    <w:rsid w:val="281D44F4"/>
    <w:rsid w:val="281E2746"/>
    <w:rsid w:val="28213FE4"/>
    <w:rsid w:val="28235FAE"/>
    <w:rsid w:val="28237D5C"/>
    <w:rsid w:val="2824610E"/>
    <w:rsid w:val="28285372"/>
    <w:rsid w:val="282A2D36"/>
    <w:rsid w:val="282C4737"/>
    <w:rsid w:val="282F6F65"/>
    <w:rsid w:val="28357A8F"/>
    <w:rsid w:val="283A32F8"/>
    <w:rsid w:val="283E5C7F"/>
    <w:rsid w:val="283F446A"/>
    <w:rsid w:val="28407F43"/>
    <w:rsid w:val="284303FE"/>
    <w:rsid w:val="28480BD5"/>
    <w:rsid w:val="28485A15"/>
    <w:rsid w:val="284952E9"/>
    <w:rsid w:val="284D302B"/>
    <w:rsid w:val="284D76B0"/>
    <w:rsid w:val="284E0B51"/>
    <w:rsid w:val="28506677"/>
    <w:rsid w:val="28551EE0"/>
    <w:rsid w:val="2856314B"/>
    <w:rsid w:val="28575241"/>
    <w:rsid w:val="285E6FE6"/>
    <w:rsid w:val="28642123"/>
    <w:rsid w:val="2864476D"/>
    <w:rsid w:val="28687E65"/>
    <w:rsid w:val="286B34B1"/>
    <w:rsid w:val="286E3BC6"/>
    <w:rsid w:val="286F11F3"/>
    <w:rsid w:val="28731691"/>
    <w:rsid w:val="28757E8C"/>
    <w:rsid w:val="287700A8"/>
    <w:rsid w:val="28780D72"/>
    <w:rsid w:val="287B7B98"/>
    <w:rsid w:val="287C56BE"/>
    <w:rsid w:val="28823125"/>
    <w:rsid w:val="288325A9"/>
    <w:rsid w:val="2883430C"/>
    <w:rsid w:val="28846321"/>
    <w:rsid w:val="288602EB"/>
    <w:rsid w:val="288C4F96"/>
    <w:rsid w:val="28902F18"/>
    <w:rsid w:val="289522DC"/>
    <w:rsid w:val="2899001E"/>
    <w:rsid w:val="289B3D96"/>
    <w:rsid w:val="289C366A"/>
    <w:rsid w:val="289F1401"/>
    <w:rsid w:val="28A63E40"/>
    <w:rsid w:val="28A864B3"/>
    <w:rsid w:val="28AA222B"/>
    <w:rsid w:val="28AB7D51"/>
    <w:rsid w:val="28AF4DBB"/>
    <w:rsid w:val="28B16468"/>
    <w:rsid w:val="28B74948"/>
    <w:rsid w:val="28BE5377"/>
    <w:rsid w:val="28BF330C"/>
    <w:rsid w:val="28C11F60"/>
    <w:rsid w:val="28C36E49"/>
    <w:rsid w:val="28C72DDD"/>
    <w:rsid w:val="28CB19DB"/>
    <w:rsid w:val="28D309C2"/>
    <w:rsid w:val="28D36FBE"/>
    <w:rsid w:val="28D41BA4"/>
    <w:rsid w:val="28D70B46"/>
    <w:rsid w:val="28D728F5"/>
    <w:rsid w:val="28D82090"/>
    <w:rsid w:val="28D9666D"/>
    <w:rsid w:val="28DA340F"/>
    <w:rsid w:val="28DC43AF"/>
    <w:rsid w:val="28DE0127"/>
    <w:rsid w:val="28DF7DF7"/>
    <w:rsid w:val="28E03E9F"/>
    <w:rsid w:val="28E81476"/>
    <w:rsid w:val="28EA087A"/>
    <w:rsid w:val="28EA6ACC"/>
    <w:rsid w:val="28ED11D6"/>
    <w:rsid w:val="28F33BD2"/>
    <w:rsid w:val="28F434A6"/>
    <w:rsid w:val="28F72F97"/>
    <w:rsid w:val="28F74D45"/>
    <w:rsid w:val="28F9286B"/>
    <w:rsid w:val="28FC05AD"/>
    <w:rsid w:val="29037B8D"/>
    <w:rsid w:val="29053FDD"/>
    <w:rsid w:val="29064F88"/>
    <w:rsid w:val="290C07F0"/>
    <w:rsid w:val="290D27BA"/>
    <w:rsid w:val="29143B49"/>
    <w:rsid w:val="291C47AB"/>
    <w:rsid w:val="291D0C4F"/>
    <w:rsid w:val="291D667C"/>
    <w:rsid w:val="291E0523"/>
    <w:rsid w:val="2927387C"/>
    <w:rsid w:val="292813A2"/>
    <w:rsid w:val="29282EA6"/>
    <w:rsid w:val="292C1B1A"/>
    <w:rsid w:val="29373393"/>
    <w:rsid w:val="29477A7A"/>
    <w:rsid w:val="294C5091"/>
    <w:rsid w:val="294D3731"/>
    <w:rsid w:val="294F2FF6"/>
    <w:rsid w:val="295126A7"/>
    <w:rsid w:val="29534671"/>
    <w:rsid w:val="29542197"/>
    <w:rsid w:val="2956295F"/>
    <w:rsid w:val="295757E3"/>
    <w:rsid w:val="295773B4"/>
    <w:rsid w:val="295977AD"/>
    <w:rsid w:val="295A0AA5"/>
    <w:rsid w:val="295B1778"/>
    <w:rsid w:val="295B3526"/>
    <w:rsid w:val="295C2DFA"/>
    <w:rsid w:val="295D54F0"/>
    <w:rsid w:val="295E3016"/>
    <w:rsid w:val="295E4DC4"/>
    <w:rsid w:val="295F7C99"/>
    <w:rsid w:val="29657F00"/>
    <w:rsid w:val="29665177"/>
    <w:rsid w:val="296A3769"/>
    <w:rsid w:val="296C6B91"/>
    <w:rsid w:val="296E14AB"/>
    <w:rsid w:val="297E0FC2"/>
    <w:rsid w:val="2984482A"/>
    <w:rsid w:val="298C36DF"/>
    <w:rsid w:val="298C7710"/>
    <w:rsid w:val="298C7B83"/>
    <w:rsid w:val="298E0E4D"/>
    <w:rsid w:val="298E38FB"/>
    <w:rsid w:val="29930F11"/>
    <w:rsid w:val="2994507C"/>
    <w:rsid w:val="299B6018"/>
    <w:rsid w:val="299B7DC6"/>
    <w:rsid w:val="299D769A"/>
    <w:rsid w:val="299F1664"/>
    <w:rsid w:val="29A24CB1"/>
    <w:rsid w:val="29A46C7B"/>
    <w:rsid w:val="29AA49F5"/>
    <w:rsid w:val="29AB625B"/>
    <w:rsid w:val="29AC3D81"/>
    <w:rsid w:val="29B019A3"/>
    <w:rsid w:val="29B570DA"/>
    <w:rsid w:val="29B64C00"/>
    <w:rsid w:val="29B733F6"/>
    <w:rsid w:val="29BD6562"/>
    <w:rsid w:val="29BD7D3C"/>
    <w:rsid w:val="29C015DB"/>
    <w:rsid w:val="29C15A7E"/>
    <w:rsid w:val="29C27101"/>
    <w:rsid w:val="29C37F84"/>
    <w:rsid w:val="29C4095E"/>
    <w:rsid w:val="29C410CB"/>
    <w:rsid w:val="29C44CF4"/>
    <w:rsid w:val="29C72969"/>
    <w:rsid w:val="29C76E0D"/>
    <w:rsid w:val="29CE3CF8"/>
    <w:rsid w:val="29CE516F"/>
    <w:rsid w:val="29CE5AA6"/>
    <w:rsid w:val="29CF181E"/>
    <w:rsid w:val="29D222A8"/>
    <w:rsid w:val="29D357B2"/>
    <w:rsid w:val="29D56857"/>
    <w:rsid w:val="29D659C5"/>
    <w:rsid w:val="29D86924"/>
    <w:rsid w:val="29D919AD"/>
    <w:rsid w:val="29DA08EE"/>
    <w:rsid w:val="29DA269C"/>
    <w:rsid w:val="29DB01C2"/>
    <w:rsid w:val="29DC2957"/>
    <w:rsid w:val="29DF18FC"/>
    <w:rsid w:val="29E51041"/>
    <w:rsid w:val="29E61F3B"/>
    <w:rsid w:val="29EA3E3E"/>
    <w:rsid w:val="29F15C38"/>
    <w:rsid w:val="29F51284"/>
    <w:rsid w:val="29F714A0"/>
    <w:rsid w:val="29FA2D3E"/>
    <w:rsid w:val="29FC6AB7"/>
    <w:rsid w:val="2A040D26"/>
    <w:rsid w:val="2A04596B"/>
    <w:rsid w:val="2A094D30"/>
    <w:rsid w:val="2A0F77B2"/>
    <w:rsid w:val="2A102562"/>
    <w:rsid w:val="2A17569E"/>
    <w:rsid w:val="2A1A6F3D"/>
    <w:rsid w:val="2A1F069B"/>
    <w:rsid w:val="2A222295"/>
    <w:rsid w:val="2A292D24"/>
    <w:rsid w:val="2A2953D2"/>
    <w:rsid w:val="2A2A61BA"/>
    <w:rsid w:val="2A2B2EF8"/>
    <w:rsid w:val="2A300308"/>
    <w:rsid w:val="2A353D77"/>
    <w:rsid w:val="2A3A313B"/>
    <w:rsid w:val="2A3F5EB0"/>
    <w:rsid w:val="2A435F0E"/>
    <w:rsid w:val="2A443FBA"/>
    <w:rsid w:val="2A470BC4"/>
    <w:rsid w:val="2A4733C9"/>
    <w:rsid w:val="2A475858"/>
    <w:rsid w:val="2A4915D0"/>
    <w:rsid w:val="2A500BB0"/>
    <w:rsid w:val="2A502FEB"/>
    <w:rsid w:val="2A505BBC"/>
    <w:rsid w:val="2A50653C"/>
    <w:rsid w:val="2A522B7B"/>
    <w:rsid w:val="2A571F3F"/>
    <w:rsid w:val="2A58434E"/>
    <w:rsid w:val="2A585A8F"/>
    <w:rsid w:val="2A5C7555"/>
    <w:rsid w:val="2A5E151F"/>
    <w:rsid w:val="2A5E32CD"/>
    <w:rsid w:val="2A622692"/>
    <w:rsid w:val="2A662182"/>
    <w:rsid w:val="2A677CA8"/>
    <w:rsid w:val="2A6843C4"/>
    <w:rsid w:val="2A6A2706"/>
    <w:rsid w:val="2A6A2ACF"/>
    <w:rsid w:val="2A6A6147"/>
    <w:rsid w:val="2A6B366E"/>
    <w:rsid w:val="2A6B7798"/>
    <w:rsid w:val="2A6C52BE"/>
    <w:rsid w:val="2A71789D"/>
    <w:rsid w:val="2A7228D5"/>
    <w:rsid w:val="2A726D79"/>
    <w:rsid w:val="2A7731A7"/>
    <w:rsid w:val="2A790107"/>
    <w:rsid w:val="2A7D74CC"/>
    <w:rsid w:val="2A834AE2"/>
    <w:rsid w:val="2A8820F8"/>
    <w:rsid w:val="2A8940C2"/>
    <w:rsid w:val="2A8B3997"/>
    <w:rsid w:val="2A8D5961"/>
    <w:rsid w:val="2A9036A3"/>
    <w:rsid w:val="2A915F2E"/>
    <w:rsid w:val="2A9270B0"/>
    <w:rsid w:val="2A930A9D"/>
    <w:rsid w:val="2A992557"/>
    <w:rsid w:val="2A9D36CA"/>
    <w:rsid w:val="2AA333D6"/>
    <w:rsid w:val="2AA80E45"/>
    <w:rsid w:val="2AAA6513"/>
    <w:rsid w:val="2AAB2DC7"/>
    <w:rsid w:val="2AAE58D7"/>
    <w:rsid w:val="2AB63109"/>
    <w:rsid w:val="2ABC1DA2"/>
    <w:rsid w:val="2ABE1FBE"/>
    <w:rsid w:val="2AC05D36"/>
    <w:rsid w:val="2AC46EA9"/>
    <w:rsid w:val="2AC60E73"/>
    <w:rsid w:val="2AC70E34"/>
    <w:rsid w:val="2AC86999"/>
    <w:rsid w:val="2ACD0A78"/>
    <w:rsid w:val="2ACD6BF6"/>
    <w:rsid w:val="2ACE1AD5"/>
    <w:rsid w:val="2AD0584D"/>
    <w:rsid w:val="2AD417E1"/>
    <w:rsid w:val="2AD4533E"/>
    <w:rsid w:val="2AD90BA6"/>
    <w:rsid w:val="2ADC41F2"/>
    <w:rsid w:val="2AE01F34"/>
    <w:rsid w:val="2AEF4E4D"/>
    <w:rsid w:val="2AF27EBA"/>
    <w:rsid w:val="2AF43C32"/>
    <w:rsid w:val="2AF4778E"/>
    <w:rsid w:val="2AF552B4"/>
    <w:rsid w:val="2AF754D0"/>
    <w:rsid w:val="2AF8625E"/>
    <w:rsid w:val="2AF9470D"/>
    <w:rsid w:val="2B02634F"/>
    <w:rsid w:val="2B0513A0"/>
    <w:rsid w:val="2B065713"/>
    <w:rsid w:val="2B0705B1"/>
    <w:rsid w:val="2B084FE7"/>
    <w:rsid w:val="2B086822"/>
    <w:rsid w:val="2B0B2D29"/>
    <w:rsid w:val="2B0C37AD"/>
    <w:rsid w:val="2B0D4CF3"/>
    <w:rsid w:val="2B116592"/>
    <w:rsid w:val="2B161A0E"/>
    <w:rsid w:val="2B1A57AD"/>
    <w:rsid w:val="2B2160A9"/>
    <w:rsid w:val="2B255B99"/>
    <w:rsid w:val="2B261911"/>
    <w:rsid w:val="2B2A7653"/>
    <w:rsid w:val="2B2B6F28"/>
    <w:rsid w:val="2B33475A"/>
    <w:rsid w:val="2B345DDC"/>
    <w:rsid w:val="2B4029D3"/>
    <w:rsid w:val="2B45623B"/>
    <w:rsid w:val="2B4A5600"/>
    <w:rsid w:val="2B4D3342"/>
    <w:rsid w:val="2B514BE0"/>
    <w:rsid w:val="2B5302F9"/>
    <w:rsid w:val="2B5D17D7"/>
    <w:rsid w:val="2B632B65"/>
    <w:rsid w:val="2B6366C1"/>
    <w:rsid w:val="2B68109E"/>
    <w:rsid w:val="2B696BA9"/>
    <w:rsid w:val="2B6C37C8"/>
    <w:rsid w:val="2B6D2330"/>
    <w:rsid w:val="2B6D7540"/>
    <w:rsid w:val="2B6E5792"/>
    <w:rsid w:val="2B77216D"/>
    <w:rsid w:val="2B786611"/>
    <w:rsid w:val="2B822FEC"/>
    <w:rsid w:val="2B836D64"/>
    <w:rsid w:val="2B85488A"/>
    <w:rsid w:val="2B8855E7"/>
    <w:rsid w:val="2B8F395A"/>
    <w:rsid w:val="2B957EC3"/>
    <w:rsid w:val="2B9952EB"/>
    <w:rsid w:val="2B9A3357"/>
    <w:rsid w:val="2B9F159F"/>
    <w:rsid w:val="2BA72A52"/>
    <w:rsid w:val="2BA74800"/>
    <w:rsid w:val="2BA86521"/>
    <w:rsid w:val="2BAB0C35"/>
    <w:rsid w:val="2BAE0B66"/>
    <w:rsid w:val="2BAE3DE1"/>
    <w:rsid w:val="2BB4516F"/>
    <w:rsid w:val="2BB46F1D"/>
    <w:rsid w:val="2BB53C62"/>
    <w:rsid w:val="2BB76C46"/>
    <w:rsid w:val="2BBB64FD"/>
    <w:rsid w:val="2BBD4024"/>
    <w:rsid w:val="2BBF5FEE"/>
    <w:rsid w:val="2BC2163A"/>
    <w:rsid w:val="2BC37160"/>
    <w:rsid w:val="2BC74EA2"/>
    <w:rsid w:val="2BC929C8"/>
    <w:rsid w:val="2BC96E6C"/>
    <w:rsid w:val="2BCA04EF"/>
    <w:rsid w:val="2BCA6741"/>
    <w:rsid w:val="2BCC1169"/>
    <w:rsid w:val="2BCC4267"/>
    <w:rsid w:val="2BD31A99"/>
    <w:rsid w:val="2BD61589"/>
    <w:rsid w:val="2BD840A4"/>
    <w:rsid w:val="2BD9277E"/>
    <w:rsid w:val="2BDB094E"/>
    <w:rsid w:val="2BDF21EC"/>
    <w:rsid w:val="2BE07D12"/>
    <w:rsid w:val="2BE23A8A"/>
    <w:rsid w:val="2BE45A54"/>
    <w:rsid w:val="2BE710A1"/>
    <w:rsid w:val="2BEB6DE3"/>
    <w:rsid w:val="2BED6BAB"/>
    <w:rsid w:val="2BEF0B9E"/>
    <w:rsid w:val="2BEF61A7"/>
    <w:rsid w:val="2BF043F9"/>
    <w:rsid w:val="2BF10171"/>
    <w:rsid w:val="2BF57C61"/>
    <w:rsid w:val="2BF81500"/>
    <w:rsid w:val="2BFC0D12"/>
    <w:rsid w:val="2BFD474A"/>
    <w:rsid w:val="2C041C52"/>
    <w:rsid w:val="2C0C4FAB"/>
    <w:rsid w:val="2C0D2CC2"/>
    <w:rsid w:val="2C0E2AD1"/>
    <w:rsid w:val="2C11611D"/>
    <w:rsid w:val="2C131E96"/>
    <w:rsid w:val="2C13426D"/>
    <w:rsid w:val="2C153E60"/>
    <w:rsid w:val="2C161986"/>
    <w:rsid w:val="2C1A3224"/>
    <w:rsid w:val="2C1C3440"/>
    <w:rsid w:val="2C1C51EE"/>
    <w:rsid w:val="2C24507B"/>
    <w:rsid w:val="2C245E51"/>
    <w:rsid w:val="2C2916B9"/>
    <w:rsid w:val="2C29790B"/>
    <w:rsid w:val="2C2E3173"/>
    <w:rsid w:val="2C332538"/>
    <w:rsid w:val="2C352789"/>
    <w:rsid w:val="2C4058A5"/>
    <w:rsid w:val="2C416A03"/>
    <w:rsid w:val="2C46226B"/>
    <w:rsid w:val="2C4B162F"/>
    <w:rsid w:val="2C4C3F30"/>
    <w:rsid w:val="2C532BDA"/>
    <w:rsid w:val="2C550700"/>
    <w:rsid w:val="2C5B55EB"/>
    <w:rsid w:val="2C5F157F"/>
    <w:rsid w:val="2C694B99"/>
    <w:rsid w:val="2C7072E8"/>
    <w:rsid w:val="2C75313C"/>
    <w:rsid w:val="2C7645CC"/>
    <w:rsid w:val="2C792640"/>
    <w:rsid w:val="2C792F4D"/>
    <w:rsid w:val="2C79468E"/>
    <w:rsid w:val="2C7C5C8D"/>
    <w:rsid w:val="2C7F6D72"/>
    <w:rsid w:val="2C830311"/>
    <w:rsid w:val="2C8965FC"/>
    <w:rsid w:val="2C8B2374"/>
    <w:rsid w:val="2C8B5ED0"/>
    <w:rsid w:val="2C8E3C12"/>
    <w:rsid w:val="2C8F0EA7"/>
    <w:rsid w:val="2C92725E"/>
    <w:rsid w:val="2C956D4E"/>
    <w:rsid w:val="2C9F197B"/>
    <w:rsid w:val="2CA70830"/>
    <w:rsid w:val="2CA84CD4"/>
    <w:rsid w:val="2CA86A82"/>
    <w:rsid w:val="2CA9068B"/>
    <w:rsid w:val="2CA945A8"/>
    <w:rsid w:val="2CAB3D48"/>
    <w:rsid w:val="2CAB6572"/>
    <w:rsid w:val="2CAC5BC5"/>
    <w:rsid w:val="2CAE1BBE"/>
    <w:rsid w:val="2CB03B88"/>
    <w:rsid w:val="2CB2345D"/>
    <w:rsid w:val="2CB73169"/>
    <w:rsid w:val="2CB82A3D"/>
    <w:rsid w:val="2CB90C8F"/>
    <w:rsid w:val="2CBB5260"/>
    <w:rsid w:val="2CBC7C58"/>
    <w:rsid w:val="2CC118F2"/>
    <w:rsid w:val="2CC413E2"/>
    <w:rsid w:val="2CC47634"/>
    <w:rsid w:val="2CC56979"/>
    <w:rsid w:val="2CCC7F97"/>
    <w:rsid w:val="2CD5539D"/>
    <w:rsid w:val="2CD57196"/>
    <w:rsid w:val="2CD86C3B"/>
    <w:rsid w:val="2CDC2BCF"/>
    <w:rsid w:val="2CDD4252"/>
    <w:rsid w:val="2CDF621C"/>
    <w:rsid w:val="2CE101E6"/>
    <w:rsid w:val="2CE41F2E"/>
    <w:rsid w:val="2CE51A84"/>
    <w:rsid w:val="2CE81574"/>
    <w:rsid w:val="2CE974BF"/>
    <w:rsid w:val="2CEA52EC"/>
    <w:rsid w:val="2CED0939"/>
    <w:rsid w:val="2CEF46B1"/>
    <w:rsid w:val="2CF241A1"/>
    <w:rsid w:val="2CF47F19"/>
    <w:rsid w:val="2CF94F11"/>
    <w:rsid w:val="2CFA3055"/>
    <w:rsid w:val="2CFA4E04"/>
    <w:rsid w:val="2CFE66A2"/>
    <w:rsid w:val="2CFF066C"/>
    <w:rsid w:val="2D012636"/>
    <w:rsid w:val="2D03015C"/>
    <w:rsid w:val="2D031F0A"/>
    <w:rsid w:val="2D0839C4"/>
    <w:rsid w:val="2D0A773C"/>
    <w:rsid w:val="2D0B13C9"/>
    <w:rsid w:val="2D0B5263"/>
    <w:rsid w:val="2D102879"/>
    <w:rsid w:val="2D12214D"/>
    <w:rsid w:val="2D140E5E"/>
    <w:rsid w:val="2D1759B5"/>
    <w:rsid w:val="2D1934DC"/>
    <w:rsid w:val="2D1B5C2C"/>
    <w:rsid w:val="2D1C121E"/>
    <w:rsid w:val="2D1C2FCC"/>
    <w:rsid w:val="2D1E4F96"/>
    <w:rsid w:val="2D2105E2"/>
    <w:rsid w:val="2D212671"/>
    <w:rsid w:val="2D214A86"/>
    <w:rsid w:val="2D241F6F"/>
    <w:rsid w:val="2D297497"/>
    <w:rsid w:val="2D2D51D9"/>
    <w:rsid w:val="2D320A41"/>
    <w:rsid w:val="2D3447B9"/>
    <w:rsid w:val="2D35408E"/>
    <w:rsid w:val="2D3703E5"/>
    <w:rsid w:val="2D377E06"/>
    <w:rsid w:val="2D3A44A6"/>
    <w:rsid w:val="2D3B78F6"/>
    <w:rsid w:val="2D3E1F7A"/>
    <w:rsid w:val="2D3F7BCD"/>
    <w:rsid w:val="2D401748"/>
    <w:rsid w:val="2D482013"/>
    <w:rsid w:val="2D48295C"/>
    <w:rsid w:val="2D4A5D8B"/>
    <w:rsid w:val="2D4D0983"/>
    <w:rsid w:val="2D546C0A"/>
    <w:rsid w:val="2D5704A8"/>
    <w:rsid w:val="2D575F0A"/>
    <w:rsid w:val="2D595FCE"/>
    <w:rsid w:val="2D5B1D46"/>
    <w:rsid w:val="2D5B36F4"/>
    <w:rsid w:val="2D5B7F98"/>
    <w:rsid w:val="2D5C5ABE"/>
    <w:rsid w:val="2D5D6739"/>
    <w:rsid w:val="2D60068C"/>
    <w:rsid w:val="2D614E83"/>
    <w:rsid w:val="2D630BFB"/>
    <w:rsid w:val="2D652BC5"/>
    <w:rsid w:val="2D656721"/>
    <w:rsid w:val="2D6706EB"/>
    <w:rsid w:val="2D6E3085"/>
    <w:rsid w:val="2D74105A"/>
    <w:rsid w:val="2D756F06"/>
    <w:rsid w:val="2D7626DC"/>
    <w:rsid w:val="2D7828F8"/>
    <w:rsid w:val="2D7A3A3A"/>
    <w:rsid w:val="2D7B4196"/>
    <w:rsid w:val="2D8017AD"/>
    <w:rsid w:val="2D8F5E37"/>
    <w:rsid w:val="2D92328E"/>
    <w:rsid w:val="2D951795"/>
    <w:rsid w:val="2D9D410D"/>
    <w:rsid w:val="2DA03BFD"/>
    <w:rsid w:val="2DA07759"/>
    <w:rsid w:val="2DA57465"/>
    <w:rsid w:val="2DA92EA3"/>
    <w:rsid w:val="2DAE631A"/>
    <w:rsid w:val="2DAF3E40"/>
    <w:rsid w:val="2DB17BB8"/>
    <w:rsid w:val="2DB45021"/>
    <w:rsid w:val="2DB57BAF"/>
    <w:rsid w:val="2DB72CF5"/>
    <w:rsid w:val="2DB979F9"/>
    <w:rsid w:val="2DBA6ABB"/>
    <w:rsid w:val="2DBB4593"/>
    <w:rsid w:val="2DBD655D"/>
    <w:rsid w:val="2DBE7D7A"/>
    <w:rsid w:val="2DC618FC"/>
    <w:rsid w:val="2DC86CB0"/>
    <w:rsid w:val="2DC93154"/>
    <w:rsid w:val="2DD35D80"/>
    <w:rsid w:val="2DDB2E87"/>
    <w:rsid w:val="2DDB4C35"/>
    <w:rsid w:val="2DDD13C6"/>
    <w:rsid w:val="2DDE357F"/>
    <w:rsid w:val="2DDF2977"/>
    <w:rsid w:val="2DE35CC7"/>
    <w:rsid w:val="2DE47F8D"/>
    <w:rsid w:val="2DE53D06"/>
    <w:rsid w:val="2DE73F83"/>
    <w:rsid w:val="2DE75388"/>
    <w:rsid w:val="2DEA4E78"/>
    <w:rsid w:val="2DED6716"/>
    <w:rsid w:val="2DEE0B8D"/>
    <w:rsid w:val="2DF2432C"/>
    <w:rsid w:val="2DF857E7"/>
    <w:rsid w:val="2DF87595"/>
    <w:rsid w:val="2DFA155F"/>
    <w:rsid w:val="2DFA568F"/>
    <w:rsid w:val="2DFB52D7"/>
    <w:rsid w:val="2E0028ED"/>
    <w:rsid w:val="2E0221C2"/>
    <w:rsid w:val="2E0A551A"/>
    <w:rsid w:val="2E0C3040"/>
    <w:rsid w:val="2E141EF5"/>
    <w:rsid w:val="2E175D80"/>
    <w:rsid w:val="2E183793"/>
    <w:rsid w:val="2E190DDE"/>
    <w:rsid w:val="2E1D6FFC"/>
    <w:rsid w:val="2E1E169D"/>
    <w:rsid w:val="2E1F0FC6"/>
    <w:rsid w:val="2E24038A"/>
    <w:rsid w:val="2E254102"/>
    <w:rsid w:val="2E271C28"/>
    <w:rsid w:val="2E2760CC"/>
    <w:rsid w:val="2E277E7A"/>
    <w:rsid w:val="2E2A34C6"/>
    <w:rsid w:val="2E2A55F7"/>
    <w:rsid w:val="2E2C36E3"/>
    <w:rsid w:val="2E2F6D2F"/>
    <w:rsid w:val="2E3118D8"/>
    <w:rsid w:val="2E343932"/>
    <w:rsid w:val="2E376E42"/>
    <w:rsid w:val="2E385BE3"/>
    <w:rsid w:val="2E4140F1"/>
    <w:rsid w:val="2E440A2C"/>
    <w:rsid w:val="2E4564F4"/>
    <w:rsid w:val="2E456552"/>
    <w:rsid w:val="2E4A5917"/>
    <w:rsid w:val="2E4C2B0D"/>
    <w:rsid w:val="2E4F2177"/>
    <w:rsid w:val="2E505623"/>
    <w:rsid w:val="2E52321D"/>
    <w:rsid w:val="2E530C6F"/>
    <w:rsid w:val="2E5336C9"/>
    <w:rsid w:val="2E536EC1"/>
    <w:rsid w:val="2E5642BC"/>
    <w:rsid w:val="2E580034"/>
    <w:rsid w:val="2E5A0250"/>
    <w:rsid w:val="2E5A0537"/>
    <w:rsid w:val="2E5A3DAC"/>
    <w:rsid w:val="2E5B7B24"/>
    <w:rsid w:val="2E5C5D76"/>
    <w:rsid w:val="2E5F4906"/>
    <w:rsid w:val="2E620EB2"/>
    <w:rsid w:val="2E625356"/>
    <w:rsid w:val="2E666BF4"/>
    <w:rsid w:val="2E6C1D31"/>
    <w:rsid w:val="2E6D7F83"/>
    <w:rsid w:val="2E701821"/>
    <w:rsid w:val="2E704C40"/>
    <w:rsid w:val="2E76495E"/>
    <w:rsid w:val="2E764C99"/>
    <w:rsid w:val="2E7806D6"/>
    <w:rsid w:val="2E786928"/>
    <w:rsid w:val="2E7A444E"/>
    <w:rsid w:val="2E7C61BE"/>
    <w:rsid w:val="2E7C6DB5"/>
    <w:rsid w:val="2E7D06D3"/>
    <w:rsid w:val="2E870919"/>
    <w:rsid w:val="2E8C5F2F"/>
    <w:rsid w:val="2E8E7EF9"/>
    <w:rsid w:val="2E903C71"/>
    <w:rsid w:val="2E920577"/>
    <w:rsid w:val="2E935510"/>
    <w:rsid w:val="2E951288"/>
    <w:rsid w:val="2E960B5C"/>
    <w:rsid w:val="2E9F3EB4"/>
    <w:rsid w:val="2EA43279"/>
    <w:rsid w:val="2EA9088F"/>
    <w:rsid w:val="2EAD4823"/>
    <w:rsid w:val="2EB21298"/>
    <w:rsid w:val="2EB21E3A"/>
    <w:rsid w:val="2EB57234"/>
    <w:rsid w:val="2EBA6870"/>
    <w:rsid w:val="2EBB78BE"/>
    <w:rsid w:val="2EBF00B3"/>
    <w:rsid w:val="2EC41B6D"/>
    <w:rsid w:val="2ECD27D0"/>
    <w:rsid w:val="2ECF44CB"/>
    <w:rsid w:val="2ED022C0"/>
    <w:rsid w:val="2ED26038"/>
    <w:rsid w:val="2ED27DE6"/>
    <w:rsid w:val="2ED51684"/>
    <w:rsid w:val="2EDC0C65"/>
    <w:rsid w:val="2EDE3B95"/>
    <w:rsid w:val="2EDF2503"/>
    <w:rsid w:val="2EE47B19"/>
    <w:rsid w:val="2EEE2746"/>
    <w:rsid w:val="2EF02962"/>
    <w:rsid w:val="2EF10397"/>
    <w:rsid w:val="2EF53AD4"/>
    <w:rsid w:val="2F032695"/>
    <w:rsid w:val="2F041F69"/>
    <w:rsid w:val="2F0476B2"/>
    <w:rsid w:val="2F063F34"/>
    <w:rsid w:val="2F083808"/>
    <w:rsid w:val="2F0B154A"/>
    <w:rsid w:val="2F0B211E"/>
    <w:rsid w:val="2F0C3E0F"/>
    <w:rsid w:val="2F0D7070"/>
    <w:rsid w:val="2F1018EA"/>
    <w:rsid w:val="2F120B2A"/>
    <w:rsid w:val="2F176141"/>
    <w:rsid w:val="2F1C5505"/>
    <w:rsid w:val="2F1D760E"/>
    <w:rsid w:val="2F1E302B"/>
    <w:rsid w:val="2F261EE0"/>
    <w:rsid w:val="2F274DD0"/>
    <w:rsid w:val="2F2820FC"/>
    <w:rsid w:val="2F285C58"/>
    <w:rsid w:val="2F2A7C22"/>
    <w:rsid w:val="2F2B399A"/>
    <w:rsid w:val="2F2F5238"/>
    <w:rsid w:val="2F300FB0"/>
    <w:rsid w:val="2F320885"/>
    <w:rsid w:val="2F350375"/>
    <w:rsid w:val="2F364819"/>
    <w:rsid w:val="2F3B1E2F"/>
    <w:rsid w:val="2F43624E"/>
    <w:rsid w:val="2F46399F"/>
    <w:rsid w:val="2F4B7B98"/>
    <w:rsid w:val="2F560A17"/>
    <w:rsid w:val="2F580725"/>
    <w:rsid w:val="2F5A7DDB"/>
    <w:rsid w:val="2F603644"/>
    <w:rsid w:val="2F672A78"/>
    <w:rsid w:val="2F745341"/>
    <w:rsid w:val="2F776BDF"/>
    <w:rsid w:val="2F794705"/>
    <w:rsid w:val="2F7964B4"/>
    <w:rsid w:val="2F7C5FA4"/>
    <w:rsid w:val="2F7D2448"/>
    <w:rsid w:val="2F7E7F6E"/>
    <w:rsid w:val="2F7F2AA0"/>
    <w:rsid w:val="2F833124"/>
    <w:rsid w:val="2F8337D6"/>
    <w:rsid w:val="2F880DEC"/>
    <w:rsid w:val="2F8A6913"/>
    <w:rsid w:val="2F8D01B1"/>
    <w:rsid w:val="2F8D6403"/>
    <w:rsid w:val="2F917175"/>
    <w:rsid w:val="2F93220A"/>
    <w:rsid w:val="2F967065"/>
    <w:rsid w:val="2F976C21"/>
    <w:rsid w:val="2F9851E3"/>
    <w:rsid w:val="2F997048"/>
    <w:rsid w:val="2F9B0B20"/>
    <w:rsid w:val="2F9B467C"/>
    <w:rsid w:val="2F9C66FC"/>
    <w:rsid w:val="2F9F2EBA"/>
    <w:rsid w:val="2FA02C09"/>
    <w:rsid w:val="2FA33530"/>
    <w:rsid w:val="2FAA7CE5"/>
    <w:rsid w:val="2FAC6889"/>
    <w:rsid w:val="2FAD2601"/>
    <w:rsid w:val="2FB120F1"/>
    <w:rsid w:val="2FB4573E"/>
    <w:rsid w:val="2FB614B6"/>
    <w:rsid w:val="2FB7522E"/>
    <w:rsid w:val="2FB76FDC"/>
    <w:rsid w:val="2FC11C09"/>
    <w:rsid w:val="2FC260AC"/>
    <w:rsid w:val="2FC47CD4"/>
    <w:rsid w:val="2FC55B9D"/>
    <w:rsid w:val="2FC73729"/>
    <w:rsid w:val="2FC811E9"/>
    <w:rsid w:val="2FC8743B"/>
    <w:rsid w:val="2FD14541"/>
    <w:rsid w:val="2FD45DE0"/>
    <w:rsid w:val="2FD933F6"/>
    <w:rsid w:val="2FDB0F1C"/>
    <w:rsid w:val="2FDB716E"/>
    <w:rsid w:val="2FDE27BA"/>
    <w:rsid w:val="2FE36023"/>
    <w:rsid w:val="2FE853E7"/>
    <w:rsid w:val="2FEA5603"/>
    <w:rsid w:val="2FED0C50"/>
    <w:rsid w:val="2FED26A0"/>
    <w:rsid w:val="2FEF2C1A"/>
    <w:rsid w:val="2FF50E32"/>
    <w:rsid w:val="2FF7387C"/>
    <w:rsid w:val="2FF975F4"/>
    <w:rsid w:val="2FFC0D05"/>
    <w:rsid w:val="300206D5"/>
    <w:rsid w:val="300246FB"/>
    <w:rsid w:val="300B73F6"/>
    <w:rsid w:val="300C37CC"/>
    <w:rsid w:val="300F6E18"/>
    <w:rsid w:val="3014442E"/>
    <w:rsid w:val="301B3A0F"/>
    <w:rsid w:val="301B57BD"/>
    <w:rsid w:val="301B756B"/>
    <w:rsid w:val="301D32E3"/>
    <w:rsid w:val="30201103"/>
    <w:rsid w:val="302100FF"/>
    <w:rsid w:val="30240B15"/>
    <w:rsid w:val="302527A4"/>
    <w:rsid w:val="30257F10"/>
    <w:rsid w:val="302B59D4"/>
    <w:rsid w:val="302C1778"/>
    <w:rsid w:val="302C5C1C"/>
    <w:rsid w:val="302C7740"/>
    <w:rsid w:val="303074BA"/>
    <w:rsid w:val="303B2136"/>
    <w:rsid w:val="303B5E5F"/>
    <w:rsid w:val="303D7627"/>
    <w:rsid w:val="303F594F"/>
    <w:rsid w:val="30405223"/>
    <w:rsid w:val="304170CB"/>
    <w:rsid w:val="30442F65"/>
    <w:rsid w:val="30444D13"/>
    <w:rsid w:val="30446AC1"/>
    <w:rsid w:val="3045283A"/>
    <w:rsid w:val="30470360"/>
    <w:rsid w:val="304A60A2"/>
    <w:rsid w:val="30550CCF"/>
    <w:rsid w:val="305667F5"/>
    <w:rsid w:val="305B3E0B"/>
    <w:rsid w:val="3062163D"/>
    <w:rsid w:val="30623321"/>
    <w:rsid w:val="30623DE4"/>
    <w:rsid w:val="30685202"/>
    <w:rsid w:val="306C6018"/>
    <w:rsid w:val="30731155"/>
    <w:rsid w:val="30741FB4"/>
    <w:rsid w:val="30755662"/>
    <w:rsid w:val="30766E97"/>
    <w:rsid w:val="30846656"/>
    <w:rsid w:val="3086532C"/>
    <w:rsid w:val="3089052D"/>
    <w:rsid w:val="308A43D0"/>
    <w:rsid w:val="308B70BE"/>
    <w:rsid w:val="309015AF"/>
    <w:rsid w:val="309317F7"/>
    <w:rsid w:val="30974EC3"/>
    <w:rsid w:val="30983B9C"/>
    <w:rsid w:val="309A5723"/>
    <w:rsid w:val="309A5F10"/>
    <w:rsid w:val="309C1A0D"/>
    <w:rsid w:val="309F019C"/>
    <w:rsid w:val="30A13F14"/>
    <w:rsid w:val="30A25EDE"/>
    <w:rsid w:val="30A27C8C"/>
    <w:rsid w:val="30A47560"/>
    <w:rsid w:val="30A6777C"/>
    <w:rsid w:val="30A9726C"/>
    <w:rsid w:val="30B04157"/>
    <w:rsid w:val="30B139AA"/>
    <w:rsid w:val="30B26121"/>
    <w:rsid w:val="30B33C47"/>
    <w:rsid w:val="30B408BB"/>
    <w:rsid w:val="30B55C11"/>
    <w:rsid w:val="30B64654"/>
    <w:rsid w:val="30B80CAC"/>
    <w:rsid w:val="30C108CE"/>
    <w:rsid w:val="30C220DC"/>
    <w:rsid w:val="30C61BCC"/>
    <w:rsid w:val="30C776F3"/>
    <w:rsid w:val="30C96FC7"/>
    <w:rsid w:val="30CD2F5B"/>
    <w:rsid w:val="30CE282F"/>
    <w:rsid w:val="30D86B55"/>
    <w:rsid w:val="30DC13F0"/>
    <w:rsid w:val="30E47124"/>
    <w:rsid w:val="30E65DCB"/>
    <w:rsid w:val="30E738F1"/>
    <w:rsid w:val="30E91417"/>
    <w:rsid w:val="30E97669"/>
    <w:rsid w:val="30ED53AB"/>
    <w:rsid w:val="30F142F0"/>
    <w:rsid w:val="30F304E8"/>
    <w:rsid w:val="30F46739"/>
    <w:rsid w:val="30F53DBD"/>
    <w:rsid w:val="30FA3624"/>
    <w:rsid w:val="30FD5F50"/>
    <w:rsid w:val="30FF6E8C"/>
    <w:rsid w:val="30FF7939"/>
    <w:rsid w:val="31010E56"/>
    <w:rsid w:val="31046251"/>
    <w:rsid w:val="31085D41"/>
    <w:rsid w:val="311428B2"/>
    <w:rsid w:val="311A20BE"/>
    <w:rsid w:val="311E5564"/>
    <w:rsid w:val="31201969"/>
    <w:rsid w:val="312106D4"/>
    <w:rsid w:val="31224929"/>
    <w:rsid w:val="3123652A"/>
    <w:rsid w:val="3123750E"/>
    <w:rsid w:val="312A215B"/>
    <w:rsid w:val="312D1C4B"/>
    <w:rsid w:val="312D57A8"/>
    <w:rsid w:val="31321010"/>
    <w:rsid w:val="31350B00"/>
    <w:rsid w:val="3135465C"/>
    <w:rsid w:val="31376626"/>
    <w:rsid w:val="3138414C"/>
    <w:rsid w:val="313A6116"/>
    <w:rsid w:val="313F3E12"/>
    <w:rsid w:val="31413001"/>
    <w:rsid w:val="31434FCB"/>
    <w:rsid w:val="3143726F"/>
    <w:rsid w:val="31464ABB"/>
    <w:rsid w:val="31466869"/>
    <w:rsid w:val="314825E1"/>
    <w:rsid w:val="314E571E"/>
    <w:rsid w:val="3150593A"/>
    <w:rsid w:val="3159659D"/>
    <w:rsid w:val="315B5608"/>
    <w:rsid w:val="315C608D"/>
    <w:rsid w:val="31603761"/>
    <w:rsid w:val="31647A1E"/>
    <w:rsid w:val="3166245B"/>
    <w:rsid w:val="316D2048"/>
    <w:rsid w:val="31700A79"/>
    <w:rsid w:val="31721C5E"/>
    <w:rsid w:val="31723B02"/>
    <w:rsid w:val="31784BB8"/>
    <w:rsid w:val="317D4577"/>
    <w:rsid w:val="317E5771"/>
    <w:rsid w:val="317F0E37"/>
    <w:rsid w:val="31817793"/>
    <w:rsid w:val="31857392"/>
    <w:rsid w:val="31881D10"/>
    <w:rsid w:val="318B4309"/>
    <w:rsid w:val="318F6462"/>
    <w:rsid w:val="319A0963"/>
    <w:rsid w:val="319C0B7F"/>
    <w:rsid w:val="31A16195"/>
    <w:rsid w:val="31A517E2"/>
    <w:rsid w:val="31A5314A"/>
    <w:rsid w:val="31AB7B22"/>
    <w:rsid w:val="31AE4DFC"/>
    <w:rsid w:val="31AF3D3F"/>
    <w:rsid w:val="31B732C3"/>
    <w:rsid w:val="31B859B9"/>
    <w:rsid w:val="31B934DF"/>
    <w:rsid w:val="31BB1005"/>
    <w:rsid w:val="31BB12CA"/>
    <w:rsid w:val="31BC4D7D"/>
    <w:rsid w:val="31BD2FCF"/>
    <w:rsid w:val="31C003CA"/>
    <w:rsid w:val="31C0486E"/>
    <w:rsid w:val="31C205E6"/>
    <w:rsid w:val="31C3435E"/>
    <w:rsid w:val="31C36CF8"/>
    <w:rsid w:val="31C4449A"/>
    <w:rsid w:val="31C62983"/>
    <w:rsid w:val="31C854D0"/>
    <w:rsid w:val="31C94210"/>
    <w:rsid w:val="31CB6BCB"/>
    <w:rsid w:val="31D1650A"/>
    <w:rsid w:val="31D16A7B"/>
    <w:rsid w:val="31D413BE"/>
    <w:rsid w:val="31D5284E"/>
    <w:rsid w:val="31D616B2"/>
    <w:rsid w:val="31D92BDB"/>
    <w:rsid w:val="31E0281A"/>
    <w:rsid w:val="31E247E4"/>
    <w:rsid w:val="31E3055C"/>
    <w:rsid w:val="31E7004C"/>
    <w:rsid w:val="31F91B2E"/>
    <w:rsid w:val="31FC33CC"/>
    <w:rsid w:val="31FF1567"/>
    <w:rsid w:val="31FF437A"/>
    <w:rsid w:val="3203475A"/>
    <w:rsid w:val="320501EC"/>
    <w:rsid w:val="320756DD"/>
    <w:rsid w:val="320944A7"/>
    <w:rsid w:val="320D2B61"/>
    <w:rsid w:val="320F1351"/>
    <w:rsid w:val="320F28B0"/>
    <w:rsid w:val="32116E77"/>
    <w:rsid w:val="32140715"/>
    <w:rsid w:val="32180050"/>
    <w:rsid w:val="321B1AA4"/>
    <w:rsid w:val="321E1594"/>
    <w:rsid w:val="32250B75"/>
    <w:rsid w:val="3229553B"/>
    <w:rsid w:val="322A1CE7"/>
    <w:rsid w:val="322B5D49"/>
    <w:rsid w:val="32326DEE"/>
    <w:rsid w:val="32335040"/>
    <w:rsid w:val="32356A97"/>
    <w:rsid w:val="323A4620"/>
    <w:rsid w:val="323B5CA2"/>
    <w:rsid w:val="323C5A5D"/>
    <w:rsid w:val="323C7DCD"/>
    <w:rsid w:val="32430FFB"/>
    <w:rsid w:val="324A05DB"/>
    <w:rsid w:val="324C6101"/>
    <w:rsid w:val="324E1E79"/>
    <w:rsid w:val="324F79A0"/>
    <w:rsid w:val="3251196A"/>
    <w:rsid w:val="325154C6"/>
    <w:rsid w:val="32582CF8"/>
    <w:rsid w:val="32584AA6"/>
    <w:rsid w:val="325B4596"/>
    <w:rsid w:val="326571C3"/>
    <w:rsid w:val="32677589"/>
    <w:rsid w:val="326A2A2B"/>
    <w:rsid w:val="326A47D9"/>
    <w:rsid w:val="326C1E5D"/>
    <w:rsid w:val="326E42CA"/>
    <w:rsid w:val="32700042"/>
    <w:rsid w:val="32717916"/>
    <w:rsid w:val="32755658"/>
    <w:rsid w:val="32780143"/>
    <w:rsid w:val="327A2C6E"/>
    <w:rsid w:val="327A42BE"/>
    <w:rsid w:val="327F2033"/>
    <w:rsid w:val="32807B59"/>
    <w:rsid w:val="3284589B"/>
    <w:rsid w:val="328A09D8"/>
    <w:rsid w:val="32931F82"/>
    <w:rsid w:val="3296737C"/>
    <w:rsid w:val="32994EA0"/>
    <w:rsid w:val="329B0E37"/>
    <w:rsid w:val="32A001FB"/>
    <w:rsid w:val="32A25D21"/>
    <w:rsid w:val="32A61CB5"/>
    <w:rsid w:val="32AE0B6A"/>
    <w:rsid w:val="32B05ACE"/>
    <w:rsid w:val="32B128D9"/>
    <w:rsid w:val="32B31CDC"/>
    <w:rsid w:val="32B36180"/>
    <w:rsid w:val="32B40693"/>
    <w:rsid w:val="32B759A1"/>
    <w:rsid w:val="32B75C71"/>
    <w:rsid w:val="32B85545"/>
    <w:rsid w:val="32BD2C24"/>
    <w:rsid w:val="32BE744E"/>
    <w:rsid w:val="32BF4B25"/>
    <w:rsid w:val="32C24615"/>
    <w:rsid w:val="32C43EEA"/>
    <w:rsid w:val="32C75788"/>
    <w:rsid w:val="32CB171C"/>
    <w:rsid w:val="32D16607"/>
    <w:rsid w:val="32D3412D"/>
    <w:rsid w:val="32D560F7"/>
    <w:rsid w:val="32D571A3"/>
    <w:rsid w:val="32D67C67"/>
    <w:rsid w:val="32D81743"/>
    <w:rsid w:val="32D87995"/>
    <w:rsid w:val="32DD144F"/>
    <w:rsid w:val="32E20814"/>
    <w:rsid w:val="32E77BD8"/>
    <w:rsid w:val="32EA7AB2"/>
    <w:rsid w:val="32EE0F67"/>
    <w:rsid w:val="32F04CDF"/>
    <w:rsid w:val="32F32A3D"/>
    <w:rsid w:val="32F347CF"/>
    <w:rsid w:val="32F36623"/>
    <w:rsid w:val="32F440A4"/>
    <w:rsid w:val="32F50547"/>
    <w:rsid w:val="32F83B93"/>
    <w:rsid w:val="32FB17B4"/>
    <w:rsid w:val="32FD22FD"/>
    <w:rsid w:val="32FE0260"/>
    <w:rsid w:val="33010C9A"/>
    <w:rsid w:val="3304078A"/>
    <w:rsid w:val="330469DC"/>
    <w:rsid w:val="330B1B18"/>
    <w:rsid w:val="330B7D6A"/>
    <w:rsid w:val="330C5891"/>
    <w:rsid w:val="330C763F"/>
    <w:rsid w:val="330D3AE3"/>
    <w:rsid w:val="330E1609"/>
    <w:rsid w:val="331309CD"/>
    <w:rsid w:val="331A65AF"/>
    <w:rsid w:val="331C3D26"/>
    <w:rsid w:val="331F3816"/>
    <w:rsid w:val="332143CC"/>
    <w:rsid w:val="33240E2C"/>
    <w:rsid w:val="33296443"/>
    <w:rsid w:val="33353039"/>
    <w:rsid w:val="33354DE7"/>
    <w:rsid w:val="333746BC"/>
    <w:rsid w:val="33381756"/>
    <w:rsid w:val="333A23FE"/>
    <w:rsid w:val="33437504"/>
    <w:rsid w:val="3344327C"/>
    <w:rsid w:val="33447CF9"/>
    <w:rsid w:val="33460DA3"/>
    <w:rsid w:val="334A7763"/>
    <w:rsid w:val="334B460B"/>
    <w:rsid w:val="334E5EA9"/>
    <w:rsid w:val="334E7C57"/>
    <w:rsid w:val="335039CF"/>
    <w:rsid w:val="335334BF"/>
    <w:rsid w:val="3353526D"/>
    <w:rsid w:val="33590AD6"/>
    <w:rsid w:val="335A65FC"/>
    <w:rsid w:val="335C05C6"/>
    <w:rsid w:val="335E1684"/>
    <w:rsid w:val="335E60EC"/>
    <w:rsid w:val="336254B1"/>
    <w:rsid w:val="33641229"/>
    <w:rsid w:val="33677B8F"/>
    <w:rsid w:val="33694A91"/>
    <w:rsid w:val="3369683F"/>
    <w:rsid w:val="336A2CE3"/>
    <w:rsid w:val="336E3E55"/>
    <w:rsid w:val="33705E1F"/>
    <w:rsid w:val="33745910"/>
    <w:rsid w:val="337551E4"/>
    <w:rsid w:val="337C47C4"/>
    <w:rsid w:val="338418CB"/>
    <w:rsid w:val="338D3D76"/>
    <w:rsid w:val="339935C8"/>
    <w:rsid w:val="33997124"/>
    <w:rsid w:val="339C6C14"/>
    <w:rsid w:val="339D48C8"/>
    <w:rsid w:val="339E473B"/>
    <w:rsid w:val="33A4500D"/>
    <w:rsid w:val="33AA7583"/>
    <w:rsid w:val="33AE06F6"/>
    <w:rsid w:val="33BE20D3"/>
    <w:rsid w:val="33BE7EEE"/>
    <w:rsid w:val="33C06DA7"/>
    <w:rsid w:val="33C53B6C"/>
    <w:rsid w:val="33C543BD"/>
    <w:rsid w:val="33C65A3F"/>
    <w:rsid w:val="33C70135"/>
    <w:rsid w:val="33C81968"/>
    <w:rsid w:val="33C95001"/>
    <w:rsid w:val="33CA3782"/>
    <w:rsid w:val="33CD5020"/>
    <w:rsid w:val="33CF0D98"/>
    <w:rsid w:val="33CF0E73"/>
    <w:rsid w:val="33D04B10"/>
    <w:rsid w:val="33D26ADA"/>
    <w:rsid w:val="33D4015C"/>
    <w:rsid w:val="33D53ED4"/>
    <w:rsid w:val="33D64A34"/>
    <w:rsid w:val="33D75E9F"/>
    <w:rsid w:val="33D95773"/>
    <w:rsid w:val="33E11B47"/>
    <w:rsid w:val="33E365F1"/>
    <w:rsid w:val="33E660E2"/>
    <w:rsid w:val="33E701B5"/>
    <w:rsid w:val="33E81E5A"/>
    <w:rsid w:val="33EE7627"/>
    <w:rsid w:val="33EF143A"/>
    <w:rsid w:val="33F22CD8"/>
    <w:rsid w:val="33F26834"/>
    <w:rsid w:val="33FC76B3"/>
    <w:rsid w:val="33FE342B"/>
    <w:rsid w:val="33FE78CF"/>
    <w:rsid w:val="340071A3"/>
    <w:rsid w:val="34014CC9"/>
    <w:rsid w:val="34034EE6"/>
    <w:rsid w:val="340842AA"/>
    <w:rsid w:val="340A6274"/>
    <w:rsid w:val="340F73E6"/>
    <w:rsid w:val="34126ED7"/>
    <w:rsid w:val="34140EA1"/>
    <w:rsid w:val="3416085D"/>
    <w:rsid w:val="34191C89"/>
    <w:rsid w:val="34210CBB"/>
    <w:rsid w:val="342D3D10"/>
    <w:rsid w:val="342D5ABF"/>
    <w:rsid w:val="3431735D"/>
    <w:rsid w:val="34346E4D"/>
    <w:rsid w:val="34394463"/>
    <w:rsid w:val="34395261"/>
    <w:rsid w:val="343D7DFF"/>
    <w:rsid w:val="343F6D1F"/>
    <w:rsid w:val="3442156A"/>
    <w:rsid w:val="344277BC"/>
    <w:rsid w:val="34495F0D"/>
    <w:rsid w:val="344C23E9"/>
    <w:rsid w:val="34515C51"/>
    <w:rsid w:val="34525300"/>
    <w:rsid w:val="34545741"/>
    <w:rsid w:val="34592D57"/>
    <w:rsid w:val="345E722D"/>
    <w:rsid w:val="34655258"/>
    <w:rsid w:val="346A7471"/>
    <w:rsid w:val="346C2A8B"/>
    <w:rsid w:val="346F257B"/>
    <w:rsid w:val="34713BFD"/>
    <w:rsid w:val="34785525"/>
    <w:rsid w:val="34790D04"/>
    <w:rsid w:val="34827C54"/>
    <w:rsid w:val="34833930"/>
    <w:rsid w:val="34863867"/>
    <w:rsid w:val="34872CF7"/>
    <w:rsid w:val="348845FB"/>
    <w:rsid w:val="348953EB"/>
    <w:rsid w:val="348A1163"/>
    <w:rsid w:val="348A2F11"/>
    <w:rsid w:val="348E2A01"/>
    <w:rsid w:val="34990098"/>
    <w:rsid w:val="34993154"/>
    <w:rsid w:val="349D2C44"/>
    <w:rsid w:val="349F4C0E"/>
    <w:rsid w:val="34A02734"/>
    <w:rsid w:val="34A2025B"/>
    <w:rsid w:val="34A22009"/>
    <w:rsid w:val="34A87296"/>
    <w:rsid w:val="34A9783B"/>
    <w:rsid w:val="34AB35B3"/>
    <w:rsid w:val="34AF2977"/>
    <w:rsid w:val="34B306BA"/>
    <w:rsid w:val="34B561E0"/>
    <w:rsid w:val="34BA1A48"/>
    <w:rsid w:val="34BA37F6"/>
    <w:rsid w:val="34BD7C90"/>
    <w:rsid w:val="34C401D1"/>
    <w:rsid w:val="34D7310F"/>
    <w:rsid w:val="34D81ECE"/>
    <w:rsid w:val="34DB551B"/>
    <w:rsid w:val="34E316B2"/>
    <w:rsid w:val="34E41C88"/>
    <w:rsid w:val="34E72FB8"/>
    <w:rsid w:val="34E94521"/>
    <w:rsid w:val="34EC597A"/>
    <w:rsid w:val="34EE7F06"/>
    <w:rsid w:val="34F36D08"/>
    <w:rsid w:val="34F51DC6"/>
    <w:rsid w:val="34F5482E"/>
    <w:rsid w:val="34F839CE"/>
    <w:rsid w:val="34FC399A"/>
    <w:rsid w:val="34FD1935"/>
    <w:rsid w:val="34FD7B87"/>
    <w:rsid w:val="350137AB"/>
    <w:rsid w:val="35050E48"/>
    <w:rsid w:val="350925D2"/>
    <w:rsid w:val="350B5E00"/>
    <w:rsid w:val="350C1B78"/>
    <w:rsid w:val="350E3A5C"/>
    <w:rsid w:val="350E58F0"/>
    <w:rsid w:val="35102DBF"/>
    <w:rsid w:val="3511718E"/>
    <w:rsid w:val="35131158"/>
    <w:rsid w:val="351849C1"/>
    <w:rsid w:val="351D3D85"/>
    <w:rsid w:val="351F7AFD"/>
    <w:rsid w:val="352057FD"/>
    <w:rsid w:val="352073D1"/>
    <w:rsid w:val="35223149"/>
    <w:rsid w:val="35243365"/>
    <w:rsid w:val="352549E8"/>
    <w:rsid w:val="3529272A"/>
    <w:rsid w:val="352B0250"/>
    <w:rsid w:val="352E1AEE"/>
    <w:rsid w:val="352E5F92"/>
    <w:rsid w:val="352F7F42"/>
    <w:rsid w:val="35300883"/>
    <w:rsid w:val="35337105"/>
    <w:rsid w:val="35386E11"/>
    <w:rsid w:val="353A1D60"/>
    <w:rsid w:val="353A4937"/>
    <w:rsid w:val="354237EC"/>
    <w:rsid w:val="3542559A"/>
    <w:rsid w:val="35466E38"/>
    <w:rsid w:val="35494B7A"/>
    <w:rsid w:val="354B6B44"/>
    <w:rsid w:val="354F72C2"/>
    <w:rsid w:val="355157DD"/>
    <w:rsid w:val="35524794"/>
    <w:rsid w:val="35591A96"/>
    <w:rsid w:val="355E6877"/>
    <w:rsid w:val="355F7EFA"/>
    <w:rsid w:val="356674DA"/>
    <w:rsid w:val="35675000"/>
    <w:rsid w:val="356A0417"/>
    <w:rsid w:val="356D139C"/>
    <w:rsid w:val="356D4F9D"/>
    <w:rsid w:val="3570514C"/>
    <w:rsid w:val="357059DA"/>
    <w:rsid w:val="35775243"/>
    <w:rsid w:val="35777939"/>
    <w:rsid w:val="3578720D"/>
    <w:rsid w:val="357F67EE"/>
    <w:rsid w:val="35812566"/>
    <w:rsid w:val="358160D1"/>
    <w:rsid w:val="3586192A"/>
    <w:rsid w:val="358D4A67"/>
    <w:rsid w:val="358F4C83"/>
    <w:rsid w:val="358F6E87"/>
    <w:rsid w:val="35951B6D"/>
    <w:rsid w:val="359528C1"/>
    <w:rsid w:val="35956BF6"/>
    <w:rsid w:val="35986E4F"/>
    <w:rsid w:val="35A3072E"/>
    <w:rsid w:val="35A53D8B"/>
    <w:rsid w:val="35A973C7"/>
    <w:rsid w:val="35AD5109"/>
    <w:rsid w:val="35AE1D1F"/>
    <w:rsid w:val="35AF0E81"/>
    <w:rsid w:val="35B04BF9"/>
    <w:rsid w:val="35B4360A"/>
    <w:rsid w:val="35B93AAE"/>
    <w:rsid w:val="35BB6E36"/>
    <w:rsid w:val="35BC359E"/>
    <w:rsid w:val="35C67F79"/>
    <w:rsid w:val="35CB1A33"/>
    <w:rsid w:val="35CB70D1"/>
    <w:rsid w:val="35D46B3A"/>
    <w:rsid w:val="35D52E6A"/>
    <w:rsid w:val="35D5640E"/>
    <w:rsid w:val="35DA3A24"/>
    <w:rsid w:val="35E36D7D"/>
    <w:rsid w:val="35E623C9"/>
    <w:rsid w:val="35E825E5"/>
    <w:rsid w:val="35F1149A"/>
    <w:rsid w:val="35F27157"/>
    <w:rsid w:val="35F76384"/>
    <w:rsid w:val="35FC1BEC"/>
    <w:rsid w:val="360016CD"/>
    <w:rsid w:val="360016DD"/>
    <w:rsid w:val="3602502C"/>
    <w:rsid w:val="36034D29"/>
    <w:rsid w:val="360B0081"/>
    <w:rsid w:val="360D3DFA"/>
    <w:rsid w:val="360E01D9"/>
    <w:rsid w:val="360F36CE"/>
    <w:rsid w:val="36127662"/>
    <w:rsid w:val="36133BB0"/>
    <w:rsid w:val="36140CE4"/>
    <w:rsid w:val="36160F00"/>
    <w:rsid w:val="36174C78"/>
    <w:rsid w:val="3619279E"/>
    <w:rsid w:val="361A4E3E"/>
    <w:rsid w:val="361B6516"/>
    <w:rsid w:val="361C403D"/>
    <w:rsid w:val="361D6A8E"/>
    <w:rsid w:val="361E7DB5"/>
    <w:rsid w:val="362058DB"/>
    <w:rsid w:val="362353CB"/>
    <w:rsid w:val="36266C69"/>
    <w:rsid w:val="36274FEC"/>
    <w:rsid w:val="36307493"/>
    <w:rsid w:val="36315D3A"/>
    <w:rsid w:val="36370E76"/>
    <w:rsid w:val="363C648D"/>
    <w:rsid w:val="363E0457"/>
    <w:rsid w:val="36405F7D"/>
    <w:rsid w:val="36455341"/>
    <w:rsid w:val="36484E32"/>
    <w:rsid w:val="364A2958"/>
    <w:rsid w:val="364C0B13"/>
    <w:rsid w:val="364D069A"/>
    <w:rsid w:val="36513CE6"/>
    <w:rsid w:val="36525CB0"/>
    <w:rsid w:val="3656754F"/>
    <w:rsid w:val="36581519"/>
    <w:rsid w:val="3659703F"/>
    <w:rsid w:val="365A15F9"/>
    <w:rsid w:val="365D5F63"/>
    <w:rsid w:val="365D6B2F"/>
    <w:rsid w:val="36642B6C"/>
    <w:rsid w:val="36647880"/>
    <w:rsid w:val="36657792"/>
    <w:rsid w:val="366859E7"/>
    <w:rsid w:val="366C6D72"/>
    <w:rsid w:val="366D6646"/>
    <w:rsid w:val="366F6336"/>
    <w:rsid w:val="36767BF1"/>
    <w:rsid w:val="367845C1"/>
    <w:rsid w:val="36794FEB"/>
    <w:rsid w:val="367A601A"/>
    <w:rsid w:val="367F74A1"/>
    <w:rsid w:val="36820D95"/>
    <w:rsid w:val="36857E34"/>
    <w:rsid w:val="36874BEE"/>
    <w:rsid w:val="368A544A"/>
    <w:rsid w:val="368E62C3"/>
    <w:rsid w:val="368F0CB2"/>
    <w:rsid w:val="369342FF"/>
    <w:rsid w:val="36940077"/>
    <w:rsid w:val="369462C9"/>
    <w:rsid w:val="369B3F26"/>
    <w:rsid w:val="369B6B2C"/>
    <w:rsid w:val="369D33CF"/>
    <w:rsid w:val="369D517D"/>
    <w:rsid w:val="369E0EF6"/>
    <w:rsid w:val="36A03408"/>
    <w:rsid w:val="36A04C6E"/>
    <w:rsid w:val="36A14795"/>
    <w:rsid w:val="36A77DAA"/>
    <w:rsid w:val="36AA1648"/>
    <w:rsid w:val="36AA39B8"/>
    <w:rsid w:val="36AC53C0"/>
    <w:rsid w:val="36AE738B"/>
    <w:rsid w:val="36B316DA"/>
    <w:rsid w:val="36B62551"/>
    <w:rsid w:val="36B74B2C"/>
    <w:rsid w:val="36BA5D2F"/>
    <w:rsid w:val="36BD137C"/>
    <w:rsid w:val="36BE50F4"/>
    <w:rsid w:val="36BF32BE"/>
    <w:rsid w:val="36C344B8"/>
    <w:rsid w:val="36C4095C"/>
    <w:rsid w:val="36C73FA8"/>
    <w:rsid w:val="36CA5847"/>
    <w:rsid w:val="36CE17DB"/>
    <w:rsid w:val="36CF7301"/>
    <w:rsid w:val="36D27CB5"/>
    <w:rsid w:val="36D546CB"/>
    <w:rsid w:val="36D861B6"/>
    <w:rsid w:val="36D93CDC"/>
    <w:rsid w:val="36DA1F2E"/>
    <w:rsid w:val="36DB5CA6"/>
    <w:rsid w:val="36DD2B68"/>
    <w:rsid w:val="36E01FE0"/>
    <w:rsid w:val="36E25286"/>
    <w:rsid w:val="36E27742"/>
    <w:rsid w:val="36E508D2"/>
    <w:rsid w:val="36E65E63"/>
    <w:rsid w:val="36ED1EEB"/>
    <w:rsid w:val="36ED633C"/>
    <w:rsid w:val="36EE3C2B"/>
    <w:rsid w:val="36EF34FF"/>
    <w:rsid w:val="36F11025"/>
    <w:rsid w:val="36F47456"/>
    <w:rsid w:val="36F6663C"/>
    <w:rsid w:val="36FB1EA4"/>
    <w:rsid w:val="36FC292C"/>
    <w:rsid w:val="36FE0E31"/>
    <w:rsid w:val="36FE36D2"/>
    <w:rsid w:val="36FE5B80"/>
    <w:rsid w:val="3701395E"/>
    <w:rsid w:val="37034BCF"/>
    <w:rsid w:val="37052D23"/>
    <w:rsid w:val="37054AD1"/>
    <w:rsid w:val="3707395A"/>
    <w:rsid w:val="370C5E5F"/>
    <w:rsid w:val="371371EE"/>
    <w:rsid w:val="37155B10"/>
    <w:rsid w:val="37164F30"/>
    <w:rsid w:val="37180854"/>
    <w:rsid w:val="371D006C"/>
    <w:rsid w:val="37227431"/>
    <w:rsid w:val="372C6501"/>
    <w:rsid w:val="372E13CA"/>
    <w:rsid w:val="372E5DD5"/>
    <w:rsid w:val="3733163E"/>
    <w:rsid w:val="373830F8"/>
    <w:rsid w:val="373A48BE"/>
    <w:rsid w:val="373B6744"/>
    <w:rsid w:val="373D426B"/>
    <w:rsid w:val="37420939"/>
    <w:rsid w:val="37424565"/>
    <w:rsid w:val="37425D25"/>
    <w:rsid w:val="374470BC"/>
    <w:rsid w:val="374675C3"/>
    <w:rsid w:val="37474C07"/>
    <w:rsid w:val="374B6019"/>
    <w:rsid w:val="374D6BA3"/>
    <w:rsid w:val="37500442"/>
    <w:rsid w:val="3756532C"/>
    <w:rsid w:val="37575712"/>
    <w:rsid w:val="375A7F25"/>
    <w:rsid w:val="375C0B95"/>
    <w:rsid w:val="375D116C"/>
    <w:rsid w:val="37620175"/>
    <w:rsid w:val="37643EED"/>
    <w:rsid w:val="37647A49"/>
    <w:rsid w:val="37682FD3"/>
    <w:rsid w:val="37691503"/>
    <w:rsid w:val="376B0DD8"/>
    <w:rsid w:val="376D2DA2"/>
    <w:rsid w:val="37737C8C"/>
    <w:rsid w:val="37760883"/>
    <w:rsid w:val="37781747"/>
    <w:rsid w:val="37783AA1"/>
    <w:rsid w:val="377F2AD5"/>
    <w:rsid w:val="377F4883"/>
    <w:rsid w:val="37893954"/>
    <w:rsid w:val="378A0189"/>
    <w:rsid w:val="378B4801"/>
    <w:rsid w:val="378B76CC"/>
    <w:rsid w:val="378D51F2"/>
    <w:rsid w:val="379E73FF"/>
    <w:rsid w:val="37A278A0"/>
    <w:rsid w:val="37AB3982"/>
    <w:rsid w:val="37AD0841"/>
    <w:rsid w:val="37AD7642"/>
    <w:rsid w:val="37B07132"/>
    <w:rsid w:val="37B54360"/>
    <w:rsid w:val="37B564F7"/>
    <w:rsid w:val="37BA58BB"/>
    <w:rsid w:val="37BD53AB"/>
    <w:rsid w:val="37C242B9"/>
    <w:rsid w:val="37C408B8"/>
    <w:rsid w:val="37C64260"/>
    <w:rsid w:val="37D20E57"/>
    <w:rsid w:val="37D351ED"/>
    <w:rsid w:val="37D54A07"/>
    <w:rsid w:val="37D83F93"/>
    <w:rsid w:val="37D90437"/>
    <w:rsid w:val="37D97E4C"/>
    <w:rsid w:val="37DC3A83"/>
    <w:rsid w:val="37DC7F27"/>
    <w:rsid w:val="37DE77FC"/>
    <w:rsid w:val="37E03F72"/>
    <w:rsid w:val="37E312B6"/>
    <w:rsid w:val="37E33064"/>
    <w:rsid w:val="37E44AA4"/>
    <w:rsid w:val="37E46AA7"/>
    <w:rsid w:val="37E62C43"/>
    <w:rsid w:val="37E666B0"/>
    <w:rsid w:val="37EB016A"/>
    <w:rsid w:val="37EB1F18"/>
    <w:rsid w:val="37EB70CB"/>
    <w:rsid w:val="37ED3EE3"/>
    <w:rsid w:val="37F64733"/>
    <w:rsid w:val="37FB65FF"/>
    <w:rsid w:val="37FD7DBA"/>
    <w:rsid w:val="37FE7E9E"/>
    <w:rsid w:val="38042FDA"/>
    <w:rsid w:val="38045A76"/>
    <w:rsid w:val="380D1E8F"/>
    <w:rsid w:val="380E117F"/>
    <w:rsid w:val="380F3E59"/>
    <w:rsid w:val="38190834"/>
    <w:rsid w:val="381921BA"/>
    <w:rsid w:val="381D4C13"/>
    <w:rsid w:val="38211DDE"/>
    <w:rsid w:val="382316B2"/>
    <w:rsid w:val="382947EF"/>
    <w:rsid w:val="382D2E86"/>
    <w:rsid w:val="383438BF"/>
    <w:rsid w:val="38367638"/>
    <w:rsid w:val="38392C84"/>
    <w:rsid w:val="38397128"/>
    <w:rsid w:val="383C5DD6"/>
    <w:rsid w:val="383E029A"/>
    <w:rsid w:val="383E473E"/>
    <w:rsid w:val="38471845"/>
    <w:rsid w:val="3848736B"/>
    <w:rsid w:val="384D672F"/>
    <w:rsid w:val="385201EA"/>
    <w:rsid w:val="38521F98"/>
    <w:rsid w:val="38543F62"/>
    <w:rsid w:val="38563D6C"/>
    <w:rsid w:val="3857135C"/>
    <w:rsid w:val="38577975"/>
    <w:rsid w:val="385C6972"/>
    <w:rsid w:val="38657F1D"/>
    <w:rsid w:val="386E0B07"/>
    <w:rsid w:val="38740160"/>
    <w:rsid w:val="38752EFE"/>
    <w:rsid w:val="387737AC"/>
    <w:rsid w:val="38832151"/>
    <w:rsid w:val="3885236D"/>
    <w:rsid w:val="388F4F9A"/>
    <w:rsid w:val="38910D12"/>
    <w:rsid w:val="38912AC0"/>
    <w:rsid w:val="38934A8A"/>
    <w:rsid w:val="389A0BB8"/>
    <w:rsid w:val="38A50319"/>
    <w:rsid w:val="38A5656B"/>
    <w:rsid w:val="38A87E0A"/>
    <w:rsid w:val="38AA3B82"/>
    <w:rsid w:val="38AF1198"/>
    <w:rsid w:val="38B30C88"/>
    <w:rsid w:val="38B60C47"/>
    <w:rsid w:val="38B62526"/>
    <w:rsid w:val="38B82D22"/>
    <w:rsid w:val="38B8629F"/>
    <w:rsid w:val="38BB18EB"/>
    <w:rsid w:val="38BD6B23"/>
    <w:rsid w:val="38C435DA"/>
    <w:rsid w:val="38C43E25"/>
    <w:rsid w:val="38CC58A6"/>
    <w:rsid w:val="38CC5B33"/>
    <w:rsid w:val="38CD7855"/>
    <w:rsid w:val="38CF183A"/>
    <w:rsid w:val="38CF35E8"/>
    <w:rsid w:val="38D37F4B"/>
    <w:rsid w:val="38D46E50"/>
    <w:rsid w:val="38D6668F"/>
    <w:rsid w:val="38D80B0A"/>
    <w:rsid w:val="38D97FC3"/>
    <w:rsid w:val="38DC14F7"/>
    <w:rsid w:val="38E36364"/>
    <w:rsid w:val="38EE1CC0"/>
    <w:rsid w:val="38EF5A38"/>
    <w:rsid w:val="38F17A02"/>
    <w:rsid w:val="38F65019"/>
    <w:rsid w:val="38F848ED"/>
    <w:rsid w:val="38F8669B"/>
    <w:rsid w:val="38FD1F03"/>
    <w:rsid w:val="390019F4"/>
    <w:rsid w:val="39012F5F"/>
    <w:rsid w:val="39050DB8"/>
    <w:rsid w:val="39113C01"/>
    <w:rsid w:val="391A2AB5"/>
    <w:rsid w:val="391F631E"/>
    <w:rsid w:val="39225E0E"/>
    <w:rsid w:val="3925145A"/>
    <w:rsid w:val="392A0C82"/>
    <w:rsid w:val="392E47B3"/>
    <w:rsid w:val="3930052B"/>
    <w:rsid w:val="39382F3B"/>
    <w:rsid w:val="39394BC4"/>
    <w:rsid w:val="393B53E7"/>
    <w:rsid w:val="393D0552"/>
    <w:rsid w:val="393D49F6"/>
    <w:rsid w:val="3942025E"/>
    <w:rsid w:val="394750CB"/>
    <w:rsid w:val="39494261"/>
    <w:rsid w:val="394C61B4"/>
    <w:rsid w:val="394E6C03"/>
    <w:rsid w:val="395064D7"/>
    <w:rsid w:val="39513FFD"/>
    <w:rsid w:val="39535FC7"/>
    <w:rsid w:val="395A05A6"/>
    <w:rsid w:val="39602492"/>
    <w:rsid w:val="396106E4"/>
    <w:rsid w:val="39627FB8"/>
    <w:rsid w:val="396957EB"/>
    <w:rsid w:val="396B7DEA"/>
    <w:rsid w:val="396E4BAF"/>
    <w:rsid w:val="39700927"/>
    <w:rsid w:val="39706B79"/>
    <w:rsid w:val="3971644D"/>
    <w:rsid w:val="397217C8"/>
    <w:rsid w:val="39775781"/>
    <w:rsid w:val="397A79F8"/>
    <w:rsid w:val="397C1E1E"/>
    <w:rsid w:val="397D1296"/>
    <w:rsid w:val="397D3044"/>
    <w:rsid w:val="3983100C"/>
    <w:rsid w:val="3986014B"/>
    <w:rsid w:val="3986639D"/>
    <w:rsid w:val="398E5251"/>
    <w:rsid w:val="39902180"/>
    <w:rsid w:val="3995213C"/>
    <w:rsid w:val="399A09D4"/>
    <w:rsid w:val="399C2A22"/>
    <w:rsid w:val="399E2974"/>
    <w:rsid w:val="399E6794"/>
    <w:rsid w:val="39A131D7"/>
    <w:rsid w:val="39A46823"/>
    <w:rsid w:val="39A6259B"/>
    <w:rsid w:val="39A84565"/>
    <w:rsid w:val="39AB5E03"/>
    <w:rsid w:val="39AB7BB1"/>
    <w:rsid w:val="39AF6E3D"/>
    <w:rsid w:val="39B0341A"/>
    <w:rsid w:val="39B051C8"/>
    <w:rsid w:val="39B12CEE"/>
    <w:rsid w:val="39B90520"/>
    <w:rsid w:val="39BB78C7"/>
    <w:rsid w:val="39BF18AF"/>
    <w:rsid w:val="39BF668E"/>
    <w:rsid w:val="39C11183"/>
    <w:rsid w:val="39C42A21"/>
    <w:rsid w:val="39C62978"/>
    <w:rsid w:val="39CB2002"/>
    <w:rsid w:val="39CD5D7A"/>
    <w:rsid w:val="39CE597F"/>
    <w:rsid w:val="39D32C64"/>
    <w:rsid w:val="39D8471E"/>
    <w:rsid w:val="39D96878"/>
    <w:rsid w:val="39DC5FBD"/>
    <w:rsid w:val="39DE7F87"/>
    <w:rsid w:val="39E2749E"/>
    <w:rsid w:val="39E3559D"/>
    <w:rsid w:val="39EA2D8B"/>
    <w:rsid w:val="39EB6200"/>
    <w:rsid w:val="39ED01CA"/>
    <w:rsid w:val="39EE5CF0"/>
    <w:rsid w:val="39F257E0"/>
    <w:rsid w:val="39FE1322"/>
    <w:rsid w:val="39FF1EC0"/>
    <w:rsid w:val="3A015A23"/>
    <w:rsid w:val="3A016441"/>
    <w:rsid w:val="3A0177D1"/>
    <w:rsid w:val="3A055283"/>
    <w:rsid w:val="3A092B2A"/>
    <w:rsid w:val="3A0C143C"/>
    <w:rsid w:val="3A105C66"/>
    <w:rsid w:val="3A125E82"/>
    <w:rsid w:val="3A127C30"/>
    <w:rsid w:val="3A1439A9"/>
    <w:rsid w:val="3A145757"/>
    <w:rsid w:val="3A190FBF"/>
    <w:rsid w:val="3A1A4D37"/>
    <w:rsid w:val="3A1F40FB"/>
    <w:rsid w:val="3A231646"/>
    <w:rsid w:val="3A250E0D"/>
    <w:rsid w:val="3A26548A"/>
    <w:rsid w:val="3A266CCC"/>
    <w:rsid w:val="3A2B0CF2"/>
    <w:rsid w:val="3A2B16AE"/>
    <w:rsid w:val="3A2B484E"/>
    <w:rsid w:val="3A323E2F"/>
    <w:rsid w:val="3A32526F"/>
    <w:rsid w:val="3A3556CD"/>
    <w:rsid w:val="3A396F6B"/>
    <w:rsid w:val="3A3E0A25"/>
    <w:rsid w:val="3A414072"/>
    <w:rsid w:val="3A451DB4"/>
    <w:rsid w:val="3A4D2A17"/>
    <w:rsid w:val="3A4E3759"/>
    <w:rsid w:val="3A4F2C33"/>
    <w:rsid w:val="3A4F49E1"/>
    <w:rsid w:val="3A522C54"/>
    <w:rsid w:val="3A573895"/>
    <w:rsid w:val="3A5E4C24"/>
    <w:rsid w:val="3A663AD8"/>
    <w:rsid w:val="3A685AA2"/>
    <w:rsid w:val="3A68758F"/>
    <w:rsid w:val="3A695377"/>
    <w:rsid w:val="3A6B10EF"/>
    <w:rsid w:val="3A6C475E"/>
    <w:rsid w:val="3A6D4E67"/>
    <w:rsid w:val="3A712BA9"/>
    <w:rsid w:val="3A7368B4"/>
    <w:rsid w:val="3A744447"/>
    <w:rsid w:val="3A751F6D"/>
    <w:rsid w:val="3A763C53"/>
    <w:rsid w:val="3A766411"/>
    <w:rsid w:val="3A78116B"/>
    <w:rsid w:val="3A791A5E"/>
    <w:rsid w:val="3A7D408B"/>
    <w:rsid w:val="3A7E52C6"/>
    <w:rsid w:val="3A7E7074"/>
    <w:rsid w:val="3A810912"/>
    <w:rsid w:val="3A836438"/>
    <w:rsid w:val="3A84453E"/>
    <w:rsid w:val="3A8521B0"/>
    <w:rsid w:val="3A8601A8"/>
    <w:rsid w:val="3A8723CC"/>
    <w:rsid w:val="3A880D96"/>
    <w:rsid w:val="3A8827B8"/>
    <w:rsid w:val="3A8A3C6B"/>
    <w:rsid w:val="3A8B353F"/>
    <w:rsid w:val="3A91750A"/>
    <w:rsid w:val="3A9C574C"/>
    <w:rsid w:val="3A9C7348"/>
    <w:rsid w:val="3AA12D62"/>
    <w:rsid w:val="3AA20FB4"/>
    <w:rsid w:val="3AA41612"/>
    <w:rsid w:val="3AA45CB6"/>
    <w:rsid w:val="3AAA60BB"/>
    <w:rsid w:val="3AAB6C4F"/>
    <w:rsid w:val="3AB24F6F"/>
    <w:rsid w:val="3AB26D1E"/>
    <w:rsid w:val="3AC56A51"/>
    <w:rsid w:val="3AC76C6D"/>
    <w:rsid w:val="3AC802EF"/>
    <w:rsid w:val="3AC9755C"/>
    <w:rsid w:val="3ACD1DA9"/>
    <w:rsid w:val="3AD1189A"/>
    <w:rsid w:val="3AD4138A"/>
    <w:rsid w:val="3AD60C5E"/>
    <w:rsid w:val="3AD66EB0"/>
    <w:rsid w:val="3AD96C13"/>
    <w:rsid w:val="3ADB0022"/>
    <w:rsid w:val="3ADC3D9A"/>
    <w:rsid w:val="3AE113B1"/>
    <w:rsid w:val="3AF235BE"/>
    <w:rsid w:val="3AF42149"/>
    <w:rsid w:val="3AFB2473"/>
    <w:rsid w:val="3B00217F"/>
    <w:rsid w:val="3B003F2D"/>
    <w:rsid w:val="3B0312A1"/>
    <w:rsid w:val="3B084B8F"/>
    <w:rsid w:val="3B091033"/>
    <w:rsid w:val="3B0A4DAB"/>
    <w:rsid w:val="3B0C0B24"/>
    <w:rsid w:val="3B135A0E"/>
    <w:rsid w:val="3B16734F"/>
    <w:rsid w:val="3B167C0B"/>
    <w:rsid w:val="3B181276"/>
    <w:rsid w:val="3B1F0857"/>
    <w:rsid w:val="3B20637D"/>
    <w:rsid w:val="3B20692C"/>
    <w:rsid w:val="3B2319C9"/>
    <w:rsid w:val="3B240E97"/>
    <w:rsid w:val="3B247C1B"/>
    <w:rsid w:val="3B251BE5"/>
    <w:rsid w:val="3B255D13"/>
    <w:rsid w:val="3B27770B"/>
    <w:rsid w:val="3B374E9C"/>
    <w:rsid w:val="3B384E25"/>
    <w:rsid w:val="3B3911ED"/>
    <w:rsid w:val="3B3B6D13"/>
    <w:rsid w:val="3B3C718F"/>
    <w:rsid w:val="3B424545"/>
    <w:rsid w:val="3B4262F3"/>
    <w:rsid w:val="3B443E1A"/>
    <w:rsid w:val="3B460044"/>
    <w:rsid w:val="3B4C5C32"/>
    <w:rsid w:val="3B4C67D8"/>
    <w:rsid w:val="3B4E4C98"/>
    <w:rsid w:val="3B4F27BE"/>
    <w:rsid w:val="3B55139D"/>
    <w:rsid w:val="3B5A1C91"/>
    <w:rsid w:val="3B6B3A9C"/>
    <w:rsid w:val="3B6B584A"/>
    <w:rsid w:val="3B6E533A"/>
    <w:rsid w:val="3B6F4C0F"/>
    <w:rsid w:val="3B714E2B"/>
    <w:rsid w:val="3B716BD9"/>
    <w:rsid w:val="3B722D63"/>
    <w:rsid w:val="3B783AC3"/>
    <w:rsid w:val="3B7A783B"/>
    <w:rsid w:val="3B7F30A4"/>
    <w:rsid w:val="3B806E1C"/>
    <w:rsid w:val="3B8A07A5"/>
    <w:rsid w:val="3B910593"/>
    <w:rsid w:val="3B985F13"/>
    <w:rsid w:val="3B99523B"/>
    <w:rsid w:val="3B9C4E79"/>
    <w:rsid w:val="3B9D352A"/>
    <w:rsid w:val="3B9F54F4"/>
    <w:rsid w:val="3BA1126C"/>
    <w:rsid w:val="3BA23236"/>
    <w:rsid w:val="3BA448B8"/>
    <w:rsid w:val="3BA9378A"/>
    <w:rsid w:val="3BA945C4"/>
    <w:rsid w:val="3BA9567F"/>
    <w:rsid w:val="3BAC5E63"/>
    <w:rsid w:val="3BAE4FCF"/>
    <w:rsid w:val="3BB014AF"/>
    <w:rsid w:val="3BB0325D"/>
    <w:rsid w:val="3BB16FD5"/>
    <w:rsid w:val="3BB40E41"/>
    <w:rsid w:val="3BB4717C"/>
    <w:rsid w:val="3BB865B6"/>
    <w:rsid w:val="3BBA232E"/>
    <w:rsid w:val="3BBC42F8"/>
    <w:rsid w:val="3BBF5492"/>
    <w:rsid w:val="3BC1190E"/>
    <w:rsid w:val="3BC907C3"/>
    <w:rsid w:val="3BC91BD6"/>
    <w:rsid w:val="3BCE7B87"/>
    <w:rsid w:val="3BD76CB6"/>
    <w:rsid w:val="3BD81617"/>
    <w:rsid w:val="3BDD7DCA"/>
    <w:rsid w:val="3BE164EA"/>
    <w:rsid w:val="3BE23632"/>
    <w:rsid w:val="3BE45256"/>
    <w:rsid w:val="3BE60A52"/>
    <w:rsid w:val="3BE61128"/>
    <w:rsid w:val="3BE70C49"/>
    <w:rsid w:val="3BE86E9B"/>
    <w:rsid w:val="3BEC707E"/>
    <w:rsid w:val="3BEF3A59"/>
    <w:rsid w:val="3BF50BF3"/>
    <w:rsid w:val="3BF55114"/>
    <w:rsid w:val="3BF910A8"/>
    <w:rsid w:val="3BFE66BE"/>
    <w:rsid w:val="3C096E11"/>
    <w:rsid w:val="3C0B0DDB"/>
    <w:rsid w:val="3C0D413C"/>
    <w:rsid w:val="3C0D4B53"/>
    <w:rsid w:val="3C0D65B5"/>
    <w:rsid w:val="3C123F18"/>
    <w:rsid w:val="3C145EFF"/>
    <w:rsid w:val="3C17152E"/>
    <w:rsid w:val="3C1934F8"/>
    <w:rsid w:val="3C1A2DCC"/>
    <w:rsid w:val="3C1A7270"/>
    <w:rsid w:val="3C1C6B44"/>
    <w:rsid w:val="3C1F3E60"/>
    <w:rsid w:val="3C217EE4"/>
    <w:rsid w:val="3C2E0626"/>
    <w:rsid w:val="3C357C06"/>
    <w:rsid w:val="3C391D8E"/>
    <w:rsid w:val="3C3A521C"/>
    <w:rsid w:val="3C4147FD"/>
    <w:rsid w:val="3C4605F3"/>
    <w:rsid w:val="3C461E13"/>
    <w:rsid w:val="3C471EF3"/>
    <w:rsid w:val="3C4E0CC8"/>
    <w:rsid w:val="3C4F6F1A"/>
    <w:rsid w:val="3C502C92"/>
    <w:rsid w:val="3C5A6340"/>
    <w:rsid w:val="3C5F4C83"/>
    <w:rsid w:val="3C6109FB"/>
    <w:rsid w:val="3C6127A9"/>
    <w:rsid w:val="3C683B38"/>
    <w:rsid w:val="3C691CF2"/>
    <w:rsid w:val="3C6978B0"/>
    <w:rsid w:val="3C6A11AE"/>
    <w:rsid w:val="3C6D55F2"/>
    <w:rsid w:val="3C6E77BC"/>
    <w:rsid w:val="3C706E90"/>
    <w:rsid w:val="3C7324DC"/>
    <w:rsid w:val="3C74072E"/>
    <w:rsid w:val="3C75078B"/>
    <w:rsid w:val="3C797AF3"/>
    <w:rsid w:val="3C7B3647"/>
    <w:rsid w:val="3C805325"/>
    <w:rsid w:val="3C860462"/>
    <w:rsid w:val="3C8D17A0"/>
    <w:rsid w:val="3C8F37BA"/>
    <w:rsid w:val="3C9506A5"/>
    <w:rsid w:val="3C983B5D"/>
    <w:rsid w:val="3C9A11D3"/>
    <w:rsid w:val="3C9B3F0D"/>
    <w:rsid w:val="3CA134EE"/>
    <w:rsid w:val="3CA21500"/>
    <w:rsid w:val="3CA37266"/>
    <w:rsid w:val="3CA60B04"/>
    <w:rsid w:val="3CA8662A"/>
    <w:rsid w:val="3CAB24D0"/>
    <w:rsid w:val="3CB72D11"/>
    <w:rsid w:val="3CB7686D"/>
    <w:rsid w:val="3CBC3E83"/>
    <w:rsid w:val="3CBC5C91"/>
    <w:rsid w:val="3CBE05CE"/>
    <w:rsid w:val="3CBE19AA"/>
    <w:rsid w:val="3CBE7045"/>
    <w:rsid w:val="3CBE7BFC"/>
    <w:rsid w:val="3CC1149A"/>
    <w:rsid w:val="3CC21B20"/>
    <w:rsid w:val="3CCA02B2"/>
    <w:rsid w:val="3CCF044E"/>
    <w:rsid w:val="3CD016DD"/>
    <w:rsid w:val="3CD15B81"/>
    <w:rsid w:val="3CD1792F"/>
    <w:rsid w:val="3CD218F9"/>
    <w:rsid w:val="3CD967E3"/>
    <w:rsid w:val="3CDA57AD"/>
    <w:rsid w:val="3CDB69FF"/>
    <w:rsid w:val="3CE11114"/>
    <w:rsid w:val="3CE37662"/>
    <w:rsid w:val="3CE82ECA"/>
    <w:rsid w:val="3CED228F"/>
    <w:rsid w:val="3CF11D7F"/>
    <w:rsid w:val="3CF7310E"/>
    <w:rsid w:val="3CF772CF"/>
    <w:rsid w:val="3CF90C34"/>
    <w:rsid w:val="3CF947C0"/>
    <w:rsid w:val="3CF96E86"/>
    <w:rsid w:val="3CFB0E50"/>
    <w:rsid w:val="3CFE449C"/>
    <w:rsid w:val="3CFE624A"/>
    <w:rsid w:val="3CFF7DD1"/>
    <w:rsid w:val="3D001FC2"/>
    <w:rsid w:val="3D023F8C"/>
    <w:rsid w:val="3D037D04"/>
    <w:rsid w:val="3D05582A"/>
    <w:rsid w:val="3D0715A3"/>
    <w:rsid w:val="3D076AAE"/>
    <w:rsid w:val="3D08531B"/>
    <w:rsid w:val="3D0870C9"/>
    <w:rsid w:val="3D0F2D97"/>
    <w:rsid w:val="3D0F48FB"/>
    <w:rsid w:val="3D12337E"/>
    <w:rsid w:val="3D184472"/>
    <w:rsid w:val="3D1D247A"/>
    <w:rsid w:val="3D1E68EC"/>
    <w:rsid w:val="3D2263DC"/>
    <w:rsid w:val="3D233F03"/>
    <w:rsid w:val="3D2C725B"/>
    <w:rsid w:val="3D2E2FD3"/>
    <w:rsid w:val="3D347EBE"/>
    <w:rsid w:val="3D363C36"/>
    <w:rsid w:val="3D3B749E"/>
    <w:rsid w:val="3D402D06"/>
    <w:rsid w:val="3D406863"/>
    <w:rsid w:val="3D45031D"/>
    <w:rsid w:val="3D475E43"/>
    <w:rsid w:val="3D491BBB"/>
    <w:rsid w:val="3D4A2BD7"/>
    <w:rsid w:val="3D4C5F1D"/>
    <w:rsid w:val="3D516CC2"/>
    <w:rsid w:val="3D5227F9"/>
    <w:rsid w:val="3D536596"/>
    <w:rsid w:val="3D5F318D"/>
    <w:rsid w:val="3D605157"/>
    <w:rsid w:val="3D622C7D"/>
    <w:rsid w:val="3D65451B"/>
    <w:rsid w:val="3D670293"/>
    <w:rsid w:val="3D687B67"/>
    <w:rsid w:val="3D6A1B31"/>
    <w:rsid w:val="3D6A7D83"/>
    <w:rsid w:val="3D6C72B3"/>
    <w:rsid w:val="3D702C5A"/>
    <w:rsid w:val="3D712D52"/>
    <w:rsid w:val="3D7529B0"/>
    <w:rsid w:val="3D766728"/>
    <w:rsid w:val="3D7824A0"/>
    <w:rsid w:val="3D785FFC"/>
    <w:rsid w:val="3D790ED4"/>
    <w:rsid w:val="3D7A6218"/>
    <w:rsid w:val="3D7B3D3F"/>
    <w:rsid w:val="3D7B5AED"/>
    <w:rsid w:val="3D7D1865"/>
    <w:rsid w:val="3D7D7AB7"/>
    <w:rsid w:val="3D7F382F"/>
    <w:rsid w:val="3D840E45"/>
    <w:rsid w:val="3D842BF3"/>
    <w:rsid w:val="3D85696B"/>
    <w:rsid w:val="3D864BBD"/>
    <w:rsid w:val="3D874491"/>
    <w:rsid w:val="3D87623F"/>
    <w:rsid w:val="3D8A4880"/>
    <w:rsid w:val="3D8D69A3"/>
    <w:rsid w:val="3D8E65E6"/>
    <w:rsid w:val="3D8F0A2E"/>
    <w:rsid w:val="3D932E36"/>
    <w:rsid w:val="3D960B78"/>
    <w:rsid w:val="3D9B618F"/>
    <w:rsid w:val="3D9F7A2D"/>
    <w:rsid w:val="3DA037A5"/>
    <w:rsid w:val="3DA46DF1"/>
    <w:rsid w:val="3DA803B0"/>
    <w:rsid w:val="3DB00CB1"/>
    <w:rsid w:val="3DB246A5"/>
    <w:rsid w:val="3DB35286"/>
    <w:rsid w:val="3DBB413B"/>
    <w:rsid w:val="3DBD7EB3"/>
    <w:rsid w:val="3DBF1E7D"/>
    <w:rsid w:val="3DC15BF5"/>
    <w:rsid w:val="3DC2371B"/>
    <w:rsid w:val="3DC6320C"/>
    <w:rsid w:val="3DC94AAA"/>
    <w:rsid w:val="3DCC6348"/>
    <w:rsid w:val="3DCD7770"/>
    <w:rsid w:val="3DD0408A"/>
    <w:rsid w:val="3DD31EFC"/>
    <w:rsid w:val="3DD376D7"/>
    <w:rsid w:val="3DD84CED"/>
    <w:rsid w:val="3DDA2813"/>
    <w:rsid w:val="3DDD2303"/>
    <w:rsid w:val="3DDE0AF1"/>
    <w:rsid w:val="3DE90CA8"/>
    <w:rsid w:val="3DEC2546"/>
    <w:rsid w:val="3DEE62BF"/>
    <w:rsid w:val="3DF153E6"/>
    <w:rsid w:val="3DF15DAF"/>
    <w:rsid w:val="3DF8538F"/>
    <w:rsid w:val="3DFA2EB5"/>
    <w:rsid w:val="3DFB09DB"/>
    <w:rsid w:val="3DFD29A6"/>
    <w:rsid w:val="3E014244"/>
    <w:rsid w:val="3E02162D"/>
    <w:rsid w:val="3E06185A"/>
    <w:rsid w:val="3E071210"/>
    <w:rsid w:val="3E07248B"/>
    <w:rsid w:val="3E1201FF"/>
    <w:rsid w:val="3E1677F2"/>
    <w:rsid w:val="3E18158D"/>
    <w:rsid w:val="3E1877DF"/>
    <w:rsid w:val="3E1F0B6E"/>
    <w:rsid w:val="3E1F291C"/>
    <w:rsid w:val="3E216046"/>
    <w:rsid w:val="3E246184"/>
    <w:rsid w:val="3E2B12C1"/>
    <w:rsid w:val="3E2B306F"/>
    <w:rsid w:val="3E2E064A"/>
    <w:rsid w:val="3E2E0DB1"/>
    <w:rsid w:val="3E2E7003"/>
    <w:rsid w:val="3E330175"/>
    <w:rsid w:val="3E3626AC"/>
    <w:rsid w:val="3E37026C"/>
    <w:rsid w:val="3E416D36"/>
    <w:rsid w:val="3E435CB3"/>
    <w:rsid w:val="3E4942AA"/>
    <w:rsid w:val="3E502554"/>
    <w:rsid w:val="3E5235C3"/>
    <w:rsid w:val="3E5500EC"/>
    <w:rsid w:val="3E55633E"/>
    <w:rsid w:val="3E5716A8"/>
    <w:rsid w:val="3E587BDC"/>
    <w:rsid w:val="3E594080"/>
    <w:rsid w:val="3E5959D1"/>
    <w:rsid w:val="3E595E2E"/>
    <w:rsid w:val="3E5A3954"/>
    <w:rsid w:val="3E5C147A"/>
    <w:rsid w:val="3E5C591E"/>
    <w:rsid w:val="3E612F34"/>
    <w:rsid w:val="3E6350CC"/>
    <w:rsid w:val="3E682515"/>
    <w:rsid w:val="3E691DE9"/>
    <w:rsid w:val="3E6B623F"/>
    <w:rsid w:val="3E6E1261"/>
    <w:rsid w:val="3E6F5ADD"/>
    <w:rsid w:val="3E75078E"/>
    <w:rsid w:val="3E750F66"/>
    <w:rsid w:val="3E75253C"/>
    <w:rsid w:val="3E7964D0"/>
    <w:rsid w:val="3E7A1E9F"/>
    <w:rsid w:val="3E7A5DA4"/>
    <w:rsid w:val="3E7E5894"/>
    <w:rsid w:val="3E7F160D"/>
    <w:rsid w:val="3E810EE1"/>
    <w:rsid w:val="3E854E75"/>
    <w:rsid w:val="3E860BED"/>
    <w:rsid w:val="3E876CE6"/>
    <w:rsid w:val="3E8A248B"/>
    <w:rsid w:val="3E8E2DB7"/>
    <w:rsid w:val="3E8F1850"/>
    <w:rsid w:val="3E926441"/>
    <w:rsid w:val="3E94330A"/>
    <w:rsid w:val="3E974BA8"/>
    <w:rsid w:val="3E9A1FA2"/>
    <w:rsid w:val="3EAD617A"/>
    <w:rsid w:val="3EB07A18"/>
    <w:rsid w:val="3EB412B6"/>
    <w:rsid w:val="3EBA2645"/>
    <w:rsid w:val="3EBA43F3"/>
    <w:rsid w:val="3EBD7A0F"/>
    <w:rsid w:val="3EBF1A09"/>
    <w:rsid w:val="3EC62B88"/>
    <w:rsid w:val="3ECB4852"/>
    <w:rsid w:val="3ED6747E"/>
    <w:rsid w:val="3ED71449"/>
    <w:rsid w:val="3EDE4585"/>
    <w:rsid w:val="3EE17BD1"/>
    <w:rsid w:val="3EEA4CD8"/>
    <w:rsid w:val="3EED2A1A"/>
    <w:rsid w:val="3EF21DDE"/>
    <w:rsid w:val="3EF618CF"/>
    <w:rsid w:val="3EF868E3"/>
    <w:rsid w:val="3EF9316D"/>
    <w:rsid w:val="3EF94F1B"/>
    <w:rsid w:val="3EFD0EAF"/>
    <w:rsid w:val="3F025137"/>
    <w:rsid w:val="3F051B12"/>
    <w:rsid w:val="3F0A35CC"/>
    <w:rsid w:val="3F0A537A"/>
    <w:rsid w:val="3F0C10F2"/>
    <w:rsid w:val="3F0D09C6"/>
    <w:rsid w:val="3F0D4E6A"/>
    <w:rsid w:val="3F0F473E"/>
    <w:rsid w:val="3F136CC1"/>
    <w:rsid w:val="3F163D1F"/>
    <w:rsid w:val="3F1735F3"/>
    <w:rsid w:val="3F1955BD"/>
    <w:rsid w:val="3F1E0E25"/>
    <w:rsid w:val="3F20694C"/>
    <w:rsid w:val="3F2301EA"/>
    <w:rsid w:val="3F235CAB"/>
    <w:rsid w:val="3F2521B4"/>
    <w:rsid w:val="3F277DAD"/>
    <w:rsid w:val="3F285C7B"/>
    <w:rsid w:val="3F2C3542"/>
    <w:rsid w:val="3F2F08A8"/>
    <w:rsid w:val="3F32042D"/>
    <w:rsid w:val="3F3453F5"/>
    <w:rsid w:val="3F346B36"/>
    <w:rsid w:val="3F3D5750"/>
    <w:rsid w:val="3F422D66"/>
    <w:rsid w:val="3F485EA2"/>
    <w:rsid w:val="3F496996"/>
    <w:rsid w:val="3F4A39C9"/>
    <w:rsid w:val="3F4A5777"/>
    <w:rsid w:val="3F4D5267"/>
    <w:rsid w:val="3F56036D"/>
    <w:rsid w:val="3F5900B0"/>
    <w:rsid w:val="3F5B3E28"/>
    <w:rsid w:val="3F5D194E"/>
    <w:rsid w:val="3F6031EC"/>
    <w:rsid w:val="3F626F64"/>
    <w:rsid w:val="3F642278"/>
    <w:rsid w:val="3F656A54"/>
    <w:rsid w:val="3F676329"/>
    <w:rsid w:val="3F6D40F6"/>
    <w:rsid w:val="3F7171A7"/>
    <w:rsid w:val="3F74620D"/>
    <w:rsid w:val="3F746D26"/>
    <w:rsid w:val="3F767786"/>
    <w:rsid w:val="3F786788"/>
    <w:rsid w:val="3F79526A"/>
    <w:rsid w:val="3F7A3AC2"/>
    <w:rsid w:val="3F7D3D9E"/>
    <w:rsid w:val="3F8073EA"/>
    <w:rsid w:val="3F830C89"/>
    <w:rsid w:val="3F841CFC"/>
    <w:rsid w:val="3F8838CF"/>
    <w:rsid w:val="3F890995"/>
    <w:rsid w:val="3F8C1CD0"/>
    <w:rsid w:val="3F8C3FE1"/>
    <w:rsid w:val="3F8E5FAB"/>
    <w:rsid w:val="3F9115F7"/>
    <w:rsid w:val="3F964E60"/>
    <w:rsid w:val="3F9904AC"/>
    <w:rsid w:val="3F9D4665"/>
    <w:rsid w:val="3FA05CDE"/>
    <w:rsid w:val="3FA07A8C"/>
    <w:rsid w:val="3FA27361"/>
    <w:rsid w:val="3FA330D9"/>
    <w:rsid w:val="3FA530A3"/>
    <w:rsid w:val="3FA56E51"/>
    <w:rsid w:val="3FAB68BC"/>
    <w:rsid w:val="3FAC38F4"/>
    <w:rsid w:val="3FB52739"/>
    <w:rsid w:val="3FBF6165"/>
    <w:rsid w:val="3FC76DC7"/>
    <w:rsid w:val="3FC90D91"/>
    <w:rsid w:val="3FC96FE3"/>
    <w:rsid w:val="3FCC262F"/>
    <w:rsid w:val="3FCF2120"/>
    <w:rsid w:val="3FCF6064"/>
    <w:rsid w:val="3FD12164"/>
    <w:rsid w:val="3FD6525C"/>
    <w:rsid w:val="3FDA0202"/>
    <w:rsid w:val="3FDA11F0"/>
    <w:rsid w:val="3FDB2873"/>
    <w:rsid w:val="3FE060DB"/>
    <w:rsid w:val="3FE212A4"/>
    <w:rsid w:val="3FE21E53"/>
    <w:rsid w:val="3FE478F9"/>
    <w:rsid w:val="3FE66D36"/>
    <w:rsid w:val="3FE77469"/>
    <w:rsid w:val="3FEC2CD2"/>
    <w:rsid w:val="3FEE25A6"/>
    <w:rsid w:val="3FF30210"/>
    <w:rsid w:val="3FF74EF0"/>
    <w:rsid w:val="3FF83425"/>
    <w:rsid w:val="3FFB0761"/>
    <w:rsid w:val="3FFB4CC3"/>
    <w:rsid w:val="3FFF4F2D"/>
    <w:rsid w:val="40026051"/>
    <w:rsid w:val="400B31BF"/>
    <w:rsid w:val="401527BC"/>
    <w:rsid w:val="40153FD6"/>
    <w:rsid w:val="40195E74"/>
    <w:rsid w:val="401A060A"/>
    <w:rsid w:val="401C35B7"/>
    <w:rsid w:val="401D2E8B"/>
    <w:rsid w:val="401D6B00"/>
    <w:rsid w:val="4024246B"/>
    <w:rsid w:val="40242C9D"/>
    <w:rsid w:val="40251D40"/>
    <w:rsid w:val="40324B88"/>
    <w:rsid w:val="403703F1"/>
    <w:rsid w:val="403C77B5"/>
    <w:rsid w:val="403F1053"/>
    <w:rsid w:val="404831FE"/>
    <w:rsid w:val="404C3770"/>
    <w:rsid w:val="404E7113"/>
    <w:rsid w:val="40511B68"/>
    <w:rsid w:val="405E5702"/>
    <w:rsid w:val="405F0517"/>
    <w:rsid w:val="4061721C"/>
    <w:rsid w:val="4063054B"/>
    <w:rsid w:val="40644F5E"/>
    <w:rsid w:val="40646D0C"/>
    <w:rsid w:val="40664832"/>
    <w:rsid w:val="40672358"/>
    <w:rsid w:val="406D5BC1"/>
    <w:rsid w:val="40750F19"/>
    <w:rsid w:val="40776A3F"/>
    <w:rsid w:val="407A681D"/>
    <w:rsid w:val="407C5E04"/>
    <w:rsid w:val="407D392A"/>
    <w:rsid w:val="4081166C"/>
    <w:rsid w:val="40850A58"/>
    <w:rsid w:val="408847A8"/>
    <w:rsid w:val="40890521"/>
    <w:rsid w:val="40896772"/>
    <w:rsid w:val="408B4299"/>
    <w:rsid w:val="408B6047"/>
    <w:rsid w:val="408D0011"/>
    <w:rsid w:val="408D71EA"/>
    <w:rsid w:val="4093314D"/>
    <w:rsid w:val="409475F1"/>
    <w:rsid w:val="40972C3D"/>
    <w:rsid w:val="4099576A"/>
    <w:rsid w:val="409A0980"/>
    <w:rsid w:val="40A47108"/>
    <w:rsid w:val="40A560BB"/>
    <w:rsid w:val="40A806BA"/>
    <w:rsid w:val="40AD67D4"/>
    <w:rsid w:val="40AF61D9"/>
    <w:rsid w:val="40B056B7"/>
    <w:rsid w:val="40B27A77"/>
    <w:rsid w:val="40B362CD"/>
    <w:rsid w:val="40B51316"/>
    <w:rsid w:val="40B97058"/>
    <w:rsid w:val="40BE466E"/>
    <w:rsid w:val="40C003E6"/>
    <w:rsid w:val="40C1415E"/>
    <w:rsid w:val="40C27F71"/>
    <w:rsid w:val="40C31C84"/>
    <w:rsid w:val="40C81049"/>
    <w:rsid w:val="40CC2FE3"/>
    <w:rsid w:val="40D23C76"/>
    <w:rsid w:val="40D774DE"/>
    <w:rsid w:val="40D81790"/>
    <w:rsid w:val="40DA6FCE"/>
    <w:rsid w:val="40DF157D"/>
    <w:rsid w:val="40E35E83"/>
    <w:rsid w:val="40E562DD"/>
    <w:rsid w:val="40E63BC5"/>
    <w:rsid w:val="40E67721"/>
    <w:rsid w:val="40E952E6"/>
    <w:rsid w:val="40ED1A7B"/>
    <w:rsid w:val="40EE2BED"/>
    <w:rsid w:val="40EE7B1D"/>
    <w:rsid w:val="40F005A0"/>
    <w:rsid w:val="40F2256A"/>
    <w:rsid w:val="40F276D3"/>
    <w:rsid w:val="40F41E3E"/>
    <w:rsid w:val="40F736DC"/>
    <w:rsid w:val="40FA6487"/>
    <w:rsid w:val="40FC0CF2"/>
    <w:rsid w:val="410C362B"/>
    <w:rsid w:val="410D2F00"/>
    <w:rsid w:val="41103C6B"/>
    <w:rsid w:val="4110479E"/>
    <w:rsid w:val="41114BBA"/>
    <w:rsid w:val="41120516"/>
    <w:rsid w:val="41126AEB"/>
    <w:rsid w:val="41175793"/>
    <w:rsid w:val="411C3143"/>
    <w:rsid w:val="411C75E7"/>
    <w:rsid w:val="412169AB"/>
    <w:rsid w:val="41241D87"/>
    <w:rsid w:val="412546ED"/>
    <w:rsid w:val="4125649B"/>
    <w:rsid w:val="41287D39"/>
    <w:rsid w:val="412F0F7D"/>
    <w:rsid w:val="413466DE"/>
    <w:rsid w:val="41347F55"/>
    <w:rsid w:val="413A424B"/>
    <w:rsid w:val="413C37E5"/>
    <w:rsid w:val="413C5593"/>
    <w:rsid w:val="413F7AE6"/>
    <w:rsid w:val="41410DFB"/>
    <w:rsid w:val="41410E54"/>
    <w:rsid w:val="41457180"/>
    <w:rsid w:val="41466412"/>
    <w:rsid w:val="4148218A"/>
    <w:rsid w:val="41483F38"/>
    <w:rsid w:val="414D4FAE"/>
    <w:rsid w:val="414F3518"/>
    <w:rsid w:val="414F52C6"/>
    <w:rsid w:val="41526B64"/>
    <w:rsid w:val="41540B2E"/>
    <w:rsid w:val="415428DD"/>
    <w:rsid w:val="41562AF9"/>
    <w:rsid w:val="41581D4D"/>
    <w:rsid w:val="41596145"/>
    <w:rsid w:val="41597EF3"/>
    <w:rsid w:val="415C79E3"/>
    <w:rsid w:val="41601281"/>
    <w:rsid w:val="416074D3"/>
    <w:rsid w:val="41630D72"/>
    <w:rsid w:val="41636FC4"/>
    <w:rsid w:val="416A65A4"/>
    <w:rsid w:val="416C126A"/>
    <w:rsid w:val="416C231C"/>
    <w:rsid w:val="416C67D4"/>
    <w:rsid w:val="41717932"/>
    <w:rsid w:val="41790595"/>
    <w:rsid w:val="4181094E"/>
    <w:rsid w:val="41840582"/>
    <w:rsid w:val="41866897"/>
    <w:rsid w:val="418807D8"/>
    <w:rsid w:val="41886A2A"/>
    <w:rsid w:val="418D5DEE"/>
    <w:rsid w:val="418E2292"/>
    <w:rsid w:val="419929E5"/>
    <w:rsid w:val="419C7ECA"/>
    <w:rsid w:val="419D24D5"/>
    <w:rsid w:val="419E1DAA"/>
    <w:rsid w:val="41A028AC"/>
    <w:rsid w:val="41A03A7B"/>
    <w:rsid w:val="41A04232"/>
    <w:rsid w:val="41A43864"/>
    <w:rsid w:val="41A5138A"/>
    <w:rsid w:val="41A82C28"/>
    <w:rsid w:val="41AA4BF2"/>
    <w:rsid w:val="41AC096A"/>
    <w:rsid w:val="41AE6491"/>
    <w:rsid w:val="41AF2209"/>
    <w:rsid w:val="41AF633F"/>
    <w:rsid w:val="41B07B63"/>
    <w:rsid w:val="41B56B45"/>
    <w:rsid w:val="41B80A98"/>
    <w:rsid w:val="41CA6CFC"/>
    <w:rsid w:val="41CA7043"/>
    <w:rsid w:val="41CB6863"/>
    <w:rsid w:val="41D028AB"/>
    <w:rsid w:val="41D13F2D"/>
    <w:rsid w:val="41D2798B"/>
    <w:rsid w:val="41D659E7"/>
    <w:rsid w:val="41D83E0A"/>
    <w:rsid w:val="41D852BC"/>
    <w:rsid w:val="41DF2AEE"/>
    <w:rsid w:val="41DF489C"/>
    <w:rsid w:val="41E225DE"/>
    <w:rsid w:val="41E53E7C"/>
    <w:rsid w:val="41E558F3"/>
    <w:rsid w:val="41E55C2A"/>
    <w:rsid w:val="41E579D9"/>
    <w:rsid w:val="41E73B64"/>
    <w:rsid w:val="41E9571B"/>
    <w:rsid w:val="41EB61F0"/>
    <w:rsid w:val="41ED183A"/>
    <w:rsid w:val="41EE2D31"/>
    <w:rsid w:val="41EE72BB"/>
    <w:rsid w:val="41F07D7A"/>
    <w:rsid w:val="41F320F5"/>
    <w:rsid w:val="41F36599"/>
    <w:rsid w:val="41F45941"/>
    <w:rsid w:val="42027077"/>
    <w:rsid w:val="420662CD"/>
    <w:rsid w:val="42070318"/>
    <w:rsid w:val="420E4058"/>
    <w:rsid w:val="42100EF9"/>
    <w:rsid w:val="421233DB"/>
    <w:rsid w:val="4216697D"/>
    <w:rsid w:val="42176C30"/>
    <w:rsid w:val="421A3B26"/>
    <w:rsid w:val="421D1269"/>
    <w:rsid w:val="421F2EEA"/>
    <w:rsid w:val="422229DB"/>
    <w:rsid w:val="422425C9"/>
    <w:rsid w:val="422468A6"/>
    <w:rsid w:val="42276243"/>
    <w:rsid w:val="422B5D33"/>
    <w:rsid w:val="422E312E"/>
    <w:rsid w:val="422E5CAE"/>
    <w:rsid w:val="42311FDE"/>
    <w:rsid w:val="423170C2"/>
    <w:rsid w:val="42350960"/>
    <w:rsid w:val="42397786"/>
    <w:rsid w:val="42417305"/>
    <w:rsid w:val="42440BA3"/>
    <w:rsid w:val="424B1F31"/>
    <w:rsid w:val="424B3CDF"/>
    <w:rsid w:val="425132C0"/>
    <w:rsid w:val="4251797B"/>
    <w:rsid w:val="42552DB0"/>
    <w:rsid w:val="425A03C6"/>
    <w:rsid w:val="425D7EB7"/>
    <w:rsid w:val="425E2DCE"/>
    <w:rsid w:val="42641245"/>
    <w:rsid w:val="426B0106"/>
    <w:rsid w:val="42723962"/>
    <w:rsid w:val="42725710"/>
    <w:rsid w:val="42731488"/>
    <w:rsid w:val="42734FE4"/>
    <w:rsid w:val="42755200"/>
    <w:rsid w:val="427A45C5"/>
    <w:rsid w:val="427C033D"/>
    <w:rsid w:val="427C658F"/>
    <w:rsid w:val="42905B96"/>
    <w:rsid w:val="42967E23"/>
    <w:rsid w:val="42974BBA"/>
    <w:rsid w:val="42982C9D"/>
    <w:rsid w:val="42995053"/>
    <w:rsid w:val="429A3BAB"/>
    <w:rsid w:val="429A4C67"/>
    <w:rsid w:val="429C09DF"/>
    <w:rsid w:val="429F402B"/>
    <w:rsid w:val="42A11B51"/>
    <w:rsid w:val="42A45AE6"/>
    <w:rsid w:val="42AB0C22"/>
    <w:rsid w:val="42AE5DE9"/>
    <w:rsid w:val="42B60ED1"/>
    <w:rsid w:val="42BA70B7"/>
    <w:rsid w:val="42C27D1A"/>
    <w:rsid w:val="42C7049C"/>
    <w:rsid w:val="42C77E4F"/>
    <w:rsid w:val="42C811FF"/>
    <w:rsid w:val="42C82CA2"/>
    <w:rsid w:val="42C910A8"/>
    <w:rsid w:val="42CE66BF"/>
    <w:rsid w:val="42D24401"/>
    <w:rsid w:val="42D261AF"/>
    <w:rsid w:val="42D34FAF"/>
    <w:rsid w:val="42D44F28"/>
    <w:rsid w:val="42D53EF1"/>
    <w:rsid w:val="42D56EED"/>
    <w:rsid w:val="42D64FF5"/>
    <w:rsid w:val="42D77C69"/>
    <w:rsid w:val="42E303BC"/>
    <w:rsid w:val="42E6709F"/>
    <w:rsid w:val="42ED2FE9"/>
    <w:rsid w:val="42F24B05"/>
    <w:rsid w:val="42F26851"/>
    <w:rsid w:val="42F27A5A"/>
    <w:rsid w:val="42F27D13"/>
    <w:rsid w:val="42F42673"/>
    <w:rsid w:val="42F44377"/>
    <w:rsid w:val="42F8192F"/>
    <w:rsid w:val="42F9198D"/>
    <w:rsid w:val="42FD47C4"/>
    <w:rsid w:val="42FE5942"/>
    <w:rsid w:val="42FF4ACA"/>
    <w:rsid w:val="43000F6E"/>
    <w:rsid w:val="43010842"/>
    <w:rsid w:val="43027EFB"/>
    <w:rsid w:val="43081BD1"/>
    <w:rsid w:val="430B346F"/>
    <w:rsid w:val="430E2866"/>
    <w:rsid w:val="430E5D85"/>
    <w:rsid w:val="430F51D8"/>
    <w:rsid w:val="43140575"/>
    <w:rsid w:val="43170066"/>
    <w:rsid w:val="431A7B56"/>
    <w:rsid w:val="431E7646"/>
    <w:rsid w:val="43212404"/>
    <w:rsid w:val="432254AC"/>
    <w:rsid w:val="432664FB"/>
    <w:rsid w:val="43275F61"/>
    <w:rsid w:val="43291B47"/>
    <w:rsid w:val="432A7D99"/>
    <w:rsid w:val="432B1D63"/>
    <w:rsid w:val="432B2EF5"/>
    <w:rsid w:val="432E715D"/>
    <w:rsid w:val="43317379"/>
    <w:rsid w:val="43340C18"/>
    <w:rsid w:val="43351583"/>
    <w:rsid w:val="433724B6"/>
    <w:rsid w:val="4339622E"/>
    <w:rsid w:val="433A5366"/>
    <w:rsid w:val="434265FC"/>
    <w:rsid w:val="434314A4"/>
    <w:rsid w:val="434370AD"/>
    <w:rsid w:val="434626F9"/>
    <w:rsid w:val="434846C3"/>
    <w:rsid w:val="434B7D0F"/>
    <w:rsid w:val="434C41B3"/>
    <w:rsid w:val="434D1CD9"/>
    <w:rsid w:val="43506584"/>
    <w:rsid w:val="4352109E"/>
    <w:rsid w:val="43526362"/>
    <w:rsid w:val="435272F0"/>
    <w:rsid w:val="43571A95"/>
    <w:rsid w:val="43591ADF"/>
    <w:rsid w:val="4359242C"/>
    <w:rsid w:val="435A7F52"/>
    <w:rsid w:val="435B2648"/>
    <w:rsid w:val="435B61A4"/>
    <w:rsid w:val="435D635D"/>
    <w:rsid w:val="436314FD"/>
    <w:rsid w:val="436332AB"/>
    <w:rsid w:val="43650DD1"/>
    <w:rsid w:val="43655275"/>
    <w:rsid w:val="43675B98"/>
    <w:rsid w:val="436A04F5"/>
    <w:rsid w:val="436D4129"/>
    <w:rsid w:val="436E31AC"/>
    <w:rsid w:val="43707CB2"/>
    <w:rsid w:val="4374370A"/>
    <w:rsid w:val="43784FA8"/>
    <w:rsid w:val="4379487C"/>
    <w:rsid w:val="437B23A2"/>
    <w:rsid w:val="437B6846"/>
    <w:rsid w:val="437E0267"/>
    <w:rsid w:val="43803E5D"/>
    <w:rsid w:val="43891CF7"/>
    <w:rsid w:val="438D20D6"/>
    <w:rsid w:val="43917E18"/>
    <w:rsid w:val="43923B90"/>
    <w:rsid w:val="43947908"/>
    <w:rsid w:val="43996CCD"/>
    <w:rsid w:val="439C52E2"/>
    <w:rsid w:val="43A06C82"/>
    <w:rsid w:val="43A55671"/>
    <w:rsid w:val="43A63197"/>
    <w:rsid w:val="43AA2C88"/>
    <w:rsid w:val="43B76E5D"/>
    <w:rsid w:val="43C52FFD"/>
    <w:rsid w:val="43C57E2B"/>
    <w:rsid w:val="43C81360"/>
    <w:rsid w:val="43C875B2"/>
    <w:rsid w:val="43C95804"/>
    <w:rsid w:val="43CA50D8"/>
    <w:rsid w:val="43CC0E50"/>
    <w:rsid w:val="43CE2E1A"/>
    <w:rsid w:val="43CF0940"/>
    <w:rsid w:val="43D72AC4"/>
    <w:rsid w:val="43D87DEF"/>
    <w:rsid w:val="43DB5537"/>
    <w:rsid w:val="43DF35A3"/>
    <w:rsid w:val="43DF5027"/>
    <w:rsid w:val="43E06BC0"/>
    <w:rsid w:val="43E22422"/>
    <w:rsid w:val="43E3619A"/>
    <w:rsid w:val="43E50164"/>
    <w:rsid w:val="43E837B0"/>
    <w:rsid w:val="43EA7528"/>
    <w:rsid w:val="43EE0AA5"/>
    <w:rsid w:val="43EF2D90"/>
    <w:rsid w:val="43EF4B3E"/>
    <w:rsid w:val="43F6411F"/>
    <w:rsid w:val="43F65ECD"/>
    <w:rsid w:val="43F72CBA"/>
    <w:rsid w:val="43FA3C0F"/>
    <w:rsid w:val="44004F9E"/>
    <w:rsid w:val="44024872"/>
    <w:rsid w:val="440305EA"/>
    <w:rsid w:val="44054362"/>
    <w:rsid w:val="44093E52"/>
    <w:rsid w:val="440E12B2"/>
    <w:rsid w:val="440E3217"/>
    <w:rsid w:val="44116432"/>
    <w:rsid w:val="44134942"/>
    <w:rsid w:val="4416031D"/>
    <w:rsid w:val="441E71D2"/>
    <w:rsid w:val="441F5424"/>
    <w:rsid w:val="4420119C"/>
    <w:rsid w:val="442567B2"/>
    <w:rsid w:val="442671C8"/>
    <w:rsid w:val="4427252A"/>
    <w:rsid w:val="44276398"/>
    <w:rsid w:val="44281522"/>
    <w:rsid w:val="44281E17"/>
    <w:rsid w:val="44293363"/>
    <w:rsid w:val="442B1BAA"/>
    <w:rsid w:val="44304BA3"/>
    <w:rsid w:val="44307631"/>
    <w:rsid w:val="4436276D"/>
    <w:rsid w:val="443A225E"/>
    <w:rsid w:val="443A35FD"/>
    <w:rsid w:val="443F7874"/>
    <w:rsid w:val="444B446B"/>
    <w:rsid w:val="444F55DD"/>
    <w:rsid w:val="44501A81"/>
    <w:rsid w:val="445157F9"/>
    <w:rsid w:val="445A46AE"/>
    <w:rsid w:val="44615A3C"/>
    <w:rsid w:val="44654E01"/>
    <w:rsid w:val="446E6DAA"/>
    <w:rsid w:val="447357CF"/>
    <w:rsid w:val="4475708D"/>
    <w:rsid w:val="44775260"/>
    <w:rsid w:val="447F2366"/>
    <w:rsid w:val="4484172B"/>
    <w:rsid w:val="448842E0"/>
    <w:rsid w:val="44894335"/>
    <w:rsid w:val="44896D41"/>
    <w:rsid w:val="448A36AA"/>
    <w:rsid w:val="448C4EE6"/>
    <w:rsid w:val="449750E1"/>
    <w:rsid w:val="44987A63"/>
    <w:rsid w:val="44995DA8"/>
    <w:rsid w:val="44A1052F"/>
    <w:rsid w:val="44A2243C"/>
    <w:rsid w:val="44A363BC"/>
    <w:rsid w:val="44AB315B"/>
    <w:rsid w:val="44AF063D"/>
    <w:rsid w:val="44B26298"/>
    <w:rsid w:val="44B32010"/>
    <w:rsid w:val="44B518E4"/>
    <w:rsid w:val="44B55D88"/>
    <w:rsid w:val="44BA339E"/>
    <w:rsid w:val="44BD176A"/>
    <w:rsid w:val="44C47D79"/>
    <w:rsid w:val="44C61D43"/>
    <w:rsid w:val="44C77996"/>
    <w:rsid w:val="44C85ABB"/>
    <w:rsid w:val="44C935E1"/>
    <w:rsid w:val="44CB1108"/>
    <w:rsid w:val="44CD1324"/>
    <w:rsid w:val="44D31E62"/>
    <w:rsid w:val="44D446A1"/>
    <w:rsid w:val="44DA57EF"/>
    <w:rsid w:val="44DB7445"/>
    <w:rsid w:val="44E126D9"/>
    <w:rsid w:val="44E328F5"/>
    <w:rsid w:val="44E421C9"/>
    <w:rsid w:val="44E87F0C"/>
    <w:rsid w:val="44F06DC0"/>
    <w:rsid w:val="44F208A0"/>
    <w:rsid w:val="44F52628"/>
    <w:rsid w:val="44F93EC7"/>
    <w:rsid w:val="44FC7513"/>
    <w:rsid w:val="44FF0DB1"/>
    <w:rsid w:val="450E5498"/>
    <w:rsid w:val="450E6E58"/>
    <w:rsid w:val="45126D36"/>
    <w:rsid w:val="4513485D"/>
    <w:rsid w:val="451B0980"/>
    <w:rsid w:val="451E0AF1"/>
    <w:rsid w:val="45246A6A"/>
    <w:rsid w:val="4528655A"/>
    <w:rsid w:val="452E1696"/>
    <w:rsid w:val="45322F35"/>
    <w:rsid w:val="45352773"/>
    <w:rsid w:val="45372C41"/>
    <w:rsid w:val="45387C9D"/>
    <w:rsid w:val="453A003B"/>
    <w:rsid w:val="453A628D"/>
    <w:rsid w:val="453B44DF"/>
    <w:rsid w:val="453F38A4"/>
    <w:rsid w:val="454021E6"/>
    <w:rsid w:val="45451750"/>
    <w:rsid w:val="454809AA"/>
    <w:rsid w:val="454D5FC1"/>
    <w:rsid w:val="454F7F8B"/>
    <w:rsid w:val="45505AB1"/>
    <w:rsid w:val="455455A1"/>
    <w:rsid w:val="45575091"/>
    <w:rsid w:val="455B5F6E"/>
    <w:rsid w:val="455B6F58"/>
    <w:rsid w:val="455E1F7C"/>
    <w:rsid w:val="45605CF4"/>
    <w:rsid w:val="45636562"/>
    <w:rsid w:val="4566298E"/>
    <w:rsid w:val="45687946"/>
    <w:rsid w:val="456A6B72"/>
    <w:rsid w:val="456C53D4"/>
    <w:rsid w:val="4570109D"/>
    <w:rsid w:val="45761EBB"/>
    <w:rsid w:val="4577303D"/>
    <w:rsid w:val="457C68A6"/>
    <w:rsid w:val="457E36C4"/>
    <w:rsid w:val="45815C6A"/>
    <w:rsid w:val="45833790"/>
    <w:rsid w:val="458539AC"/>
    <w:rsid w:val="458614D2"/>
    <w:rsid w:val="45863281"/>
    <w:rsid w:val="4588524B"/>
    <w:rsid w:val="458F46CB"/>
    <w:rsid w:val="45935D6C"/>
    <w:rsid w:val="45943BEF"/>
    <w:rsid w:val="45964673"/>
    <w:rsid w:val="459736E0"/>
    <w:rsid w:val="459A3C5C"/>
    <w:rsid w:val="459B6D2C"/>
    <w:rsid w:val="459C0CF6"/>
    <w:rsid w:val="459C4852"/>
    <w:rsid w:val="45A33E32"/>
    <w:rsid w:val="45A7579D"/>
    <w:rsid w:val="45AF4585"/>
    <w:rsid w:val="45B147A1"/>
    <w:rsid w:val="45B55914"/>
    <w:rsid w:val="45B639A3"/>
    <w:rsid w:val="45BB117C"/>
    <w:rsid w:val="45BB5620"/>
    <w:rsid w:val="45BC0665"/>
    <w:rsid w:val="45BC630D"/>
    <w:rsid w:val="45BD5347"/>
    <w:rsid w:val="45BD5BC5"/>
    <w:rsid w:val="45C049E4"/>
    <w:rsid w:val="45C5024D"/>
    <w:rsid w:val="45C864B7"/>
    <w:rsid w:val="45CA7611"/>
    <w:rsid w:val="45CF2E79"/>
    <w:rsid w:val="45D221DF"/>
    <w:rsid w:val="45D3296A"/>
    <w:rsid w:val="45D40490"/>
    <w:rsid w:val="45DB5AC7"/>
    <w:rsid w:val="45DE4E6B"/>
    <w:rsid w:val="45E5269D"/>
    <w:rsid w:val="45E87A97"/>
    <w:rsid w:val="45EA380F"/>
    <w:rsid w:val="45EB0E25"/>
    <w:rsid w:val="45EB79E8"/>
    <w:rsid w:val="45EC546D"/>
    <w:rsid w:val="45EE1552"/>
    <w:rsid w:val="45F428E0"/>
    <w:rsid w:val="45F468CD"/>
    <w:rsid w:val="45F66A69"/>
    <w:rsid w:val="45F96148"/>
    <w:rsid w:val="45FB3C6E"/>
    <w:rsid w:val="45FB5A1D"/>
    <w:rsid w:val="45FD3F69"/>
    <w:rsid w:val="45FD79E7"/>
    <w:rsid w:val="45FF375F"/>
    <w:rsid w:val="460076E6"/>
    <w:rsid w:val="46020C7E"/>
    <w:rsid w:val="460348D1"/>
    <w:rsid w:val="46080139"/>
    <w:rsid w:val="460A2104"/>
    <w:rsid w:val="460A3878"/>
    <w:rsid w:val="460A5C60"/>
    <w:rsid w:val="460C5E7C"/>
    <w:rsid w:val="460D5750"/>
    <w:rsid w:val="46101E17"/>
    <w:rsid w:val="46130FB8"/>
    <w:rsid w:val="46195EA3"/>
    <w:rsid w:val="461D73F1"/>
    <w:rsid w:val="461E795D"/>
    <w:rsid w:val="462211FB"/>
    <w:rsid w:val="46244F73"/>
    <w:rsid w:val="46256F3D"/>
    <w:rsid w:val="46263727"/>
    <w:rsid w:val="46274A64"/>
    <w:rsid w:val="4629258A"/>
    <w:rsid w:val="462A00B0"/>
    <w:rsid w:val="462D264E"/>
    <w:rsid w:val="462F1C33"/>
    <w:rsid w:val="462F3918"/>
    <w:rsid w:val="46333408"/>
    <w:rsid w:val="46344E89"/>
    <w:rsid w:val="46366A55"/>
    <w:rsid w:val="46394BB5"/>
    <w:rsid w:val="463D2143"/>
    <w:rsid w:val="463D7C0A"/>
    <w:rsid w:val="463D7DE3"/>
    <w:rsid w:val="464253F9"/>
    <w:rsid w:val="46431460"/>
    <w:rsid w:val="464473C4"/>
    <w:rsid w:val="46470C62"/>
    <w:rsid w:val="4652776C"/>
    <w:rsid w:val="465313B5"/>
    <w:rsid w:val="46584C1D"/>
    <w:rsid w:val="465A6BE7"/>
    <w:rsid w:val="465E4B3A"/>
    <w:rsid w:val="465F5FAB"/>
    <w:rsid w:val="46601D24"/>
    <w:rsid w:val="466510E8"/>
    <w:rsid w:val="4666379B"/>
    <w:rsid w:val="466704B9"/>
    <w:rsid w:val="46671304"/>
    <w:rsid w:val="4669507C"/>
    <w:rsid w:val="466C2476"/>
    <w:rsid w:val="466C70B0"/>
    <w:rsid w:val="4670640B"/>
    <w:rsid w:val="46753A21"/>
    <w:rsid w:val="46794B93"/>
    <w:rsid w:val="467A1037"/>
    <w:rsid w:val="467C5DC4"/>
    <w:rsid w:val="46850939"/>
    <w:rsid w:val="4685178A"/>
    <w:rsid w:val="4689127A"/>
    <w:rsid w:val="468C0D6B"/>
    <w:rsid w:val="46903E9E"/>
    <w:rsid w:val="469043B7"/>
    <w:rsid w:val="469462AC"/>
    <w:rsid w:val="46977B86"/>
    <w:rsid w:val="469B0FAE"/>
    <w:rsid w:val="469B2D5C"/>
    <w:rsid w:val="469D6AD4"/>
    <w:rsid w:val="469E126A"/>
    <w:rsid w:val="469F0A9E"/>
    <w:rsid w:val="469F45FA"/>
    <w:rsid w:val="46A460B4"/>
    <w:rsid w:val="46A55988"/>
    <w:rsid w:val="46A600ED"/>
    <w:rsid w:val="46AE3F60"/>
    <w:rsid w:val="46B02CAB"/>
    <w:rsid w:val="46B34549"/>
    <w:rsid w:val="46B53E1D"/>
    <w:rsid w:val="46B61944"/>
    <w:rsid w:val="46BA58D8"/>
    <w:rsid w:val="46BC1650"/>
    <w:rsid w:val="46C04436"/>
    <w:rsid w:val="46CA3945"/>
    <w:rsid w:val="46CD560B"/>
    <w:rsid w:val="46D21AC8"/>
    <w:rsid w:val="46D324F5"/>
    <w:rsid w:val="46D53DA4"/>
    <w:rsid w:val="46D85D5E"/>
    <w:rsid w:val="46D87B0C"/>
    <w:rsid w:val="46D973C9"/>
    <w:rsid w:val="46DC75FC"/>
    <w:rsid w:val="46DD15C6"/>
    <w:rsid w:val="46DF0E9A"/>
    <w:rsid w:val="46DF533E"/>
    <w:rsid w:val="46E11293"/>
    <w:rsid w:val="46E666CD"/>
    <w:rsid w:val="46EE7152"/>
    <w:rsid w:val="46F012F9"/>
    <w:rsid w:val="46F06FEE"/>
    <w:rsid w:val="46F32B98"/>
    <w:rsid w:val="46F336A8"/>
    <w:rsid w:val="46FF153C"/>
    <w:rsid w:val="47017063"/>
    <w:rsid w:val="47046B53"/>
    <w:rsid w:val="47090486"/>
    <w:rsid w:val="4709474B"/>
    <w:rsid w:val="470B3A79"/>
    <w:rsid w:val="470D3C59"/>
    <w:rsid w:val="47136D96"/>
    <w:rsid w:val="471A6376"/>
    <w:rsid w:val="471F1BDF"/>
    <w:rsid w:val="4723347D"/>
    <w:rsid w:val="47262F6D"/>
    <w:rsid w:val="472745EF"/>
    <w:rsid w:val="47280D7A"/>
    <w:rsid w:val="472856E5"/>
    <w:rsid w:val="472B2331"/>
    <w:rsid w:val="472F1E22"/>
    <w:rsid w:val="4733370C"/>
    <w:rsid w:val="473A07C7"/>
    <w:rsid w:val="47470193"/>
    <w:rsid w:val="47490A0A"/>
    <w:rsid w:val="474A6C5C"/>
    <w:rsid w:val="474B29D4"/>
    <w:rsid w:val="474D04FA"/>
    <w:rsid w:val="47503B46"/>
    <w:rsid w:val="47524A88"/>
    <w:rsid w:val="47525B10"/>
    <w:rsid w:val="47555600"/>
    <w:rsid w:val="475C698F"/>
    <w:rsid w:val="475E2EA5"/>
    <w:rsid w:val="47653A95"/>
    <w:rsid w:val="47655843"/>
    <w:rsid w:val="47694C08"/>
    <w:rsid w:val="476F66C2"/>
    <w:rsid w:val="47705F96"/>
    <w:rsid w:val="47723ABC"/>
    <w:rsid w:val="47737835"/>
    <w:rsid w:val="47741147"/>
    <w:rsid w:val="47767A51"/>
    <w:rsid w:val="477911B5"/>
    <w:rsid w:val="477E06B3"/>
    <w:rsid w:val="4780267D"/>
    <w:rsid w:val="478163F5"/>
    <w:rsid w:val="4783216D"/>
    <w:rsid w:val="47835CCA"/>
    <w:rsid w:val="47855EE6"/>
    <w:rsid w:val="47857C94"/>
    <w:rsid w:val="47877015"/>
    <w:rsid w:val="478832E0"/>
    <w:rsid w:val="478B23DE"/>
    <w:rsid w:val="478C11D2"/>
    <w:rsid w:val="478E2BD5"/>
    <w:rsid w:val="478F0B12"/>
    <w:rsid w:val="47924127"/>
    <w:rsid w:val="479779C7"/>
    <w:rsid w:val="479C563B"/>
    <w:rsid w:val="479E2B03"/>
    <w:rsid w:val="47A07BBB"/>
    <w:rsid w:val="47AA76FA"/>
    <w:rsid w:val="47AB6FCE"/>
    <w:rsid w:val="47AD2D46"/>
    <w:rsid w:val="47AF4D11"/>
    <w:rsid w:val="47B16CDB"/>
    <w:rsid w:val="47B448F0"/>
    <w:rsid w:val="47B6609F"/>
    <w:rsid w:val="47B71E17"/>
    <w:rsid w:val="47B76DB7"/>
    <w:rsid w:val="47B93F31"/>
    <w:rsid w:val="47C702AC"/>
    <w:rsid w:val="47C76C5A"/>
    <w:rsid w:val="47C85DD2"/>
    <w:rsid w:val="47C87B80"/>
    <w:rsid w:val="47CA38F8"/>
    <w:rsid w:val="47CD33E9"/>
    <w:rsid w:val="47DB4285"/>
    <w:rsid w:val="47DB5B06"/>
    <w:rsid w:val="47DD7AD0"/>
    <w:rsid w:val="47E2253F"/>
    <w:rsid w:val="47E50732"/>
    <w:rsid w:val="47E744AA"/>
    <w:rsid w:val="47ED5839"/>
    <w:rsid w:val="47ED75E7"/>
    <w:rsid w:val="47EF335F"/>
    <w:rsid w:val="47F210A1"/>
    <w:rsid w:val="47F34421"/>
    <w:rsid w:val="47F40041"/>
    <w:rsid w:val="47F60B91"/>
    <w:rsid w:val="47F92430"/>
    <w:rsid w:val="47F941DE"/>
    <w:rsid w:val="47F95F8C"/>
    <w:rsid w:val="47FC782A"/>
    <w:rsid w:val="48013092"/>
    <w:rsid w:val="48027536"/>
    <w:rsid w:val="48052B82"/>
    <w:rsid w:val="48066CAA"/>
    <w:rsid w:val="48066D69"/>
    <w:rsid w:val="480908C5"/>
    <w:rsid w:val="480C3F11"/>
    <w:rsid w:val="4812704D"/>
    <w:rsid w:val="48153C8D"/>
    <w:rsid w:val="48194880"/>
    <w:rsid w:val="48205C0E"/>
    <w:rsid w:val="48217291"/>
    <w:rsid w:val="48236291"/>
    <w:rsid w:val="48272AF9"/>
    <w:rsid w:val="4828061F"/>
    <w:rsid w:val="482C45B3"/>
    <w:rsid w:val="482E032B"/>
    <w:rsid w:val="483100AC"/>
    <w:rsid w:val="48346666"/>
    <w:rsid w:val="483671E0"/>
    <w:rsid w:val="4838292E"/>
    <w:rsid w:val="483925C3"/>
    <w:rsid w:val="48403BBB"/>
    <w:rsid w:val="48410CB9"/>
    <w:rsid w:val="48435459"/>
    <w:rsid w:val="48443BF6"/>
    <w:rsid w:val="48452B2F"/>
    <w:rsid w:val="484823A3"/>
    <w:rsid w:val="48486557"/>
    <w:rsid w:val="484A6384"/>
    <w:rsid w:val="4851401A"/>
    <w:rsid w:val="48545A7F"/>
    <w:rsid w:val="48547666"/>
    <w:rsid w:val="48550F4C"/>
    <w:rsid w:val="48567212"/>
    <w:rsid w:val="48577D5B"/>
    <w:rsid w:val="48584FE2"/>
    <w:rsid w:val="485E2293"/>
    <w:rsid w:val="485F6737"/>
    <w:rsid w:val="486331F4"/>
    <w:rsid w:val="486420C6"/>
    <w:rsid w:val="48644E50"/>
    <w:rsid w:val="48647785"/>
    <w:rsid w:val="48650DF8"/>
    <w:rsid w:val="48684EBF"/>
    <w:rsid w:val="486C0E54"/>
    <w:rsid w:val="486D1153"/>
    <w:rsid w:val="48735D3E"/>
    <w:rsid w:val="48743864"/>
    <w:rsid w:val="48763A80"/>
    <w:rsid w:val="48764197"/>
    <w:rsid w:val="48773972"/>
    <w:rsid w:val="487970CD"/>
    <w:rsid w:val="487B4BF3"/>
    <w:rsid w:val="487D096B"/>
    <w:rsid w:val="48802C4C"/>
    <w:rsid w:val="488340A3"/>
    <w:rsid w:val="48847F4B"/>
    <w:rsid w:val="48897310"/>
    <w:rsid w:val="488C32A4"/>
    <w:rsid w:val="489167A2"/>
    <w:rsid w:val="48945CB4"/>
    <w:rsid w:val="489E30D7"/>
    <w:rsid w:val="489E7916"/>
    <w:rsid w:val="489F24E0"/>
    <w:rsid w:val="48A04659"/>
    <w:rsid w:val="48A26623"/>
    <w:rsid w:val="48A759E8"/>
    <w:rsid w:val="48AE321A"/>
    <w:rsid w:val="48B3438D"/>
    <w:rsid w:val="48B40105"/>
    <w:rsid w:val="48B545A9"/>
    <w:rsid w:val="48B76708"/>
    <w:rsid w:val="48BB1E89"/>
    <w:rsid w:val="48BF2D31"/>
    <w:rsid w:val="48C20A74"/>
    <w:rsid w:val="48C22822"/>
    <w:rsid w:val="48C42A3E"/>
    <w:rsid w:val="48C52312"/>
    <w:rsid w:val="48D04F3E"/>
    <w:rsid w:val="48D11FCA"/>
    <w:rsid w:val="48D12A65"/>
    <w:rsid w:val="48D32C81"/>
    <w:rsid w:val="48D34A2F"/>
    <w:rsid w:val="48D6451F"/>
    <w:rsid w:val="48D80297"/>
    <w:rsid w:val="48D82045"/>
    <w:rsid w:val="48DA5DBD"/>
    <w:rsid w:val="48DC7D87"/>
    <w:rsid w:val="48E11FE9"/>
    <w:rsid w:val="48E1714C"/>
    <w:rsid w:val="48E409EA"/>
    <w:rsid w:val="48E7672C"/>
    <w:rsid w:val="48E82D4D"/>
    <w:rsid w:val="48E96000"/>
    <w:rsid w:val="48F055E1"/>
    <w:rsid w:val="48F7696F"/>
    <w:rsid w:val="48FC21D7"/>
    <w:rsid w:val="48FF3A76"/>
    <w:rsid w:val="48FF5824"/>
    <w:rsid w:val="4904108C"/>
    <w:rsid w:val="49051D27"/>
    <w:rsid w:val="49054987"/>
    <w:rsid w:val="49064E04"/>
    <w:rsid w:val="4907292A"/>
    <w:rsid w:val="49090450"/>
    <w:rsid w:val="490C7F41"/>
    <w:rsid w:val="490D6193"/>
    <w:rsid w:val="491325C4"/>
    <w:rsid w:val="49180694"/>
    <w:rsid w:val="49184B37"/>
    <w:rsid w:val="492139EC"/>
    <w:rsid w:val="492601CA"/>
    <w:rsid w:val="492852F0"/>
    <w:rsid w:val="49304650"/>
    <w:rsid w:val="49325BF9"/>
    <w:rsid w:val="4933371F"/>
    <w:rsid w:val="493556E9"/>
    <w:rsid w:val="49380D36"/>
    <w:rsid w:val="493A087A"/>
    <w:rsid w:val="493C0826"/>
    <w:rsid w:val="493C6A78"/>
    <w:rsid w:val="493D634C"/>
    <w:rsid w:val="493E4372"/>
    <w:rsid w:val="493F0316"/>
    <w:rsid w:val="49425710"/>
    <w:rsid w:val="49461447"/>
    <w:rsid w:val="49486249"/>
    <w:rsid w:val="4950607F"/>
    <w:rsid w:val="49521DF7"/>
    <w:rsid w:val="49566508"/>
    <w:rsid w:val="495711BC"/>
    <w:rsid w:val="496555C4"/>
    <w:rsid w:val="496702A5"/>
    <w:rsid w:val="49680B13"/>
    <w:rsid w:val="49696171"/>
    <w:rsid w:val="49791E13"/>
    <w:rsid w:val="497E13D0"/>
    <w:rsid w:val="497F6965"/>
    <w:rsid w:val="49804BB7"/>
    <w:rsid w:val="49836455"/>
    <w:rsid w:val="4989182E"/>
    <w:rsid w:val="4989333F"/>
    <w:rsid w:val="498A77E3"/>
    <w:rsid w:val="498D72D3"/>
    <w:rsid w:val="498E6BA8"/>
    <w:rsid w:val="49971F00"/>
    <w:rsid w:val="499917D4"/>
    <w:rsid w:val="499A72FA"/>
    <w:rsid w:val="499C7517"/>
    <w:rsid w:val="49A21DDA"/>
    <w:rsid w:val="49A34401"/>
    <w:rsid w:val="49A62143"/>
    <w:rsid w:val="49A85EBB"/>
    <w:rsid w:val="49A95790"/>
    <w:rsid w:val="49AA1C33"/>
    <w:rsid w:val="49AD702E"/>
    <w:rsid w:val="49BA799D"/>
    <w:rsid w:val="49C73B68"/>
    <w:rsid w:val="49CF169A"/>
    <w:rsid w:val="49CF3448"/>
    <w:rsid w:val="49D2118A"/>
    <w:rsid w:val="49D60C91"/>
    <w:rsid w:val="49D97E23"/>
    <w:rsid w:val="49E05655"/>
    <w:rsid w:val="49E113CD"/>
    <w:rsid w:val="49E36EF3"/>
    <w:rsid w:val="49E84459"/>
    <w:rsid w:val="49F27137"/>
    <w:rsid w:val="49F44C5D"/>
    <w:rsid w:val="49F509D5"/>
    <w:rsid w:val="49FA5FEB"/>
    <w:rsid w:val="49FC1D63"/>
    <w:rsid w:val="49FE1F7F"/>
    <w:rsid w:val="49FF7F76"/>
    <w:rsid w:val="4A001853"/>
    <w:rsid w:val="4A003601"/>
    <w:rsid w:val="4A02485B"/>
    <w:rsid w:val="4A037596"/>
    <w:rsid w:val="4A05330E"/>
    <w:rsid w:val="4A080708"/>
    <w:rsid w:val="4A0F1A96"/>
    <w:rsid w:val="4A0F498D"/>
    <w:rsid w:val="4A113A61"/>
    <w:rsid w:val="4A190B67"/>
    <w:rsid w:val="4A1A5F35"/>
    <w:rsid w:val="4A1B4023"/>
    <w:rsid w:val="4A1D5D99"/>
    <w:rsid w:val="4A1E71A6"/>
    <w:rsid w:val="4A1E75C0"/>
    <w:rsid w:val="4A28673E"/>
    <w:rsid w:val="4A2D63C1"/>
    <w:rsid w:val="4A3239D7"/>
    <w:rsid w:val="4A3414FD"/>
    <w:rsid w:val="4A366656"/>
    <w:rsid w:val="4A3D2AA8"/>
    <w:rsid w:val="4A3E05CE"/>
    <w:rsid w:val="4A407EA2"/>
    <w:rsid w:val="4A442959"/>
    <w:rsid w:val="4A484FA8"/>
    <w:rsid w:val="4A4861AE"/>
    <w:rsid w:val="4A4D0811"/>
    <w:rsid w:val="4A4F6337"/>
    <w:rsid w:val="4A513E5D"/>
    <w:rsid w:val="4A547DF1"/>
    <w:rsid w:val="4A590F64"/>
    <w:rsid w:val="4A5E47CC"/>
    <w:rsid w:val="4A600544"/>
    <w:rsid w:val="4A623EAE"/>
    <w:rsid w:val="4A677B24"/>
    <w:rsid w:val="4A6873F9"/>
    <w:rsid w:val="4A6C0C97"/>
    <w:rsid w:val="4A6E0EB3"/>
    <w:rsid w:val="4A6F0787"/>
    <w:rsid w:val="4A712751"/>
    <w:rsid w:val="4A7162AD"/>
    <w:rsid w:val="4A746B40"/>
    <w:rsid w:val="4A756F9E"/>
    <w:rsid w:val="4A757163"/>
    <w:rsid w:val="4A7638C4"/>
    <w:rsid w:val="4A775DA4"/>
    <w:rsid w:val="4A7E7BF1"/>
    <w:rsid w:val="4A8204BA"/>
    <w:rsid w:val="4A82670C"/>
    <w:rsid w:val="4A83494B"/>
    <w:rsid w:val="4A8A3813"/>
    <w:rsid w:val="4A8C1339"/>
    <w:rsid w:val="4A8C30E7"/>
    <w:rsid w:val="4A9111A3"/>
    <w:rsid w:val="4A9326C8"/>
    <w:rsid w:val="4A9804CE"/>
    <w:rsid w:val="4A9F72BE"/>
    <w:rsid w:val="4AA2290B"/>
    <w:rsid w:val="4AA246B9"/>
    <w:rsid w:val="4AA64DBF"/>
    <w:rsid w:val="4AAB17DF"/>
    <w:rsid w:val="4AB12B4E"/>
    <w:rsid w:val="4AB83EDC"/>
    <w:rsid w:val="4AB915D4"/>
    <w:rsid w:val="4AC00E34"/>
    <w:rsid w:val="4AC26B09"/>
    <w:rsid w:val="4AC62BC0"/>
    <w:rsid w:val="4AC705C3"/>
    <w:rsid w:val="4AC76815"/>
    <w:rsid w:val="4ACA1E61"/>
    <w:rsid w:val="4ACC3B7D"/>
    <w:rsid w:val="4ACD77C9"/>
    <w:rsid w:val="4ACE7349"/>
    <w:rsid w:val="4AD131F0"/>
    <w:rsid w:val="4AD36F68"/>
    <w:rsid w:val="4AD66A58"/>
    <w:rsid w:val="4AD7075F"/>
    <w:rsid w:val="4ADA6548"/>
    <w:rsid w:val="4ADB1B7B"/>
    <w:rsid w:val="4ADB7BCB"/>
    <w:rsid w:val="4ADD1B95"/>
    <w:rsid w:val="4AE029E3"/>
    <w:rsid w:val="4AE20F59"/>
    <w:rsid w:val="4AE41175"/>
    <w:rsid w:val="4AE9678B"/>
    <w:rsid w:val="4AEE55F3"/>
    <w:rsid w:val="4AEE78FE"/>
    <w:rsid w:val="4AF73AD6"/>
    <w:rsid w:val="4AFC3011"/>
    <w:rsid w:val="4AFD2EF8"/>
    <w:rsid w:val="4B045373"/>
    <w:rsid w:val="4B09298A"/>
    <w:rsid w:val="4B0B04B0"/>
    <w:rsid w:val="4B0B4954"/>
    <w:rsid w:val="4B0B5621"/>
    <w:rsid w:val="4B0E1D4E"/>
    <w:rsid w:val="4B1530DD"/>
    <w:rsid w:val="4B1A05AF"/>
    <w:rsid w:val="4B217CD3"/>
    <w:rsid w:val="4B221C9D"/>
    <w:rsid w:val="4B241572"/>
    <w:rsid w:val="4B245A16"/>
    <w:rsid w:val="4B386DCB"/>
    <w:rsid w:val="4B3A55EB"/>
    <w:rsid w:val="4B3A746D"/>
    <w:rsid w:val="4B3C4B0D"/>
    <w:rsid w:val="4B3F45FD"/>
    <w:rsid w:val="4B3F63AB"/>
    <w:rsid w:val="4B427C4A"/>
    <w:rsid w:val="4B4A0B1E"/>
    <w:rsid w:val="4B4B73DD"/>
    <w:rsid w:val="4B4D48CE"/>
    <w:rsid w:val="4B4D6D1A"/>
    <w:rsid w:val="4B4F5ACD"/>
    <w:rsid w:val="4B5005B9"/>
    <w:rsid w:val="4B517E8D"/>
    <w:rsid w:val="4B5300A9"/>
    <w:rsid w:val="4B53748E"/>
    <w:rsid w:val="4B5447A1"/>
    <w:rsid w:val="4B5A4F93"/>
    <w:rsid w:val="4B5D2CD5"/>
    <w:rsid w:val="4B6202EC"/>
    <w:rsid w:val="4B645E12"/>
    <w:rsid w:val="4B675475"/>
    <w:rsid w:val="4B756271"/>
    <w:rsid w:val="4B7778F3"/>
    <w:rsid w:val="4B7854A6"/>
    <w:rsid w:val="4B797B0F"/>
    <w:rsid w:val="4B7A73E4"/>
    <w:rsid w:val="4B7D6C6A"/>
    <w:rsid w:val="4B803312"/>
    <w:rsid w:val="4B814C16"/>
    <w:rsid w:val="4B83098E"/>
    <w:rsid w:val="4B83273C"/>
    <w:rsid w:val="4B846F4F"/>
    <w:rsid w:val="4B851076"/>
    <w:rsid w:val="4B871B00"/>
    <w:rsid w:val="4B8A2BD1"/>
    <w:rsid w:val="4B8B339F"/>
    <w:rsid w:val="4B8B4870"/>
    <w:rsid w:val="4B8E10E1"/>
    <w:rsid w:val="4B9009B5"/>
    <w:rsid w:val="4B907E48"/>
    <w:rsid w:val="4B9366F7"/>
    <w:rsid w:val="4B9868B7"/>
    <w:rsid w:val="4BA91A77"/>
    <w:rsid w:val="4BB36023"/>
    <w:rsid w:val="4BB5041C"/>
    <w:rsid w:val="4BB943B0"/>
    <w:rsid w:val="4BB95A51"/>
    <w:rsid w:val="4BBC369E"/>
    <w:rsid w:val="4BBE3774"/>
    <w:rsid w:val="4BC30D8B"/>
    <w:rsid w:val="4BC36FDC"/>
    <w:rsid w:val="4BC845F3"/>
    <w:rsid w:val="4BCA036B"/>
    <w:rsid w:val="4BCC0FE5"/>
    <w:rsid w:val="4BD439FC"/>
    <w:rsid w:val="4BE233FC"/>
    <w:rsid w:val="4BE34975"/>
    <w:rsid w:val="4BE62CCB"/>
    <w:rsid w:val="4BE86A43"/>
    <w:rsid w:val="4BED509D"/>
    <w:rsid w:val="4BEF7DD1"/>
    <w:rsid w:val="4BF278C2"/>
    <w:rsid w:val="4BF52F0E"/>
    <w:rsid w:val="4BF61160"/>
    <w:rsid w:val="4BF87D30"/>
    <w:rsid w:val="4BFA6AB7"/>
    <w:rsid w:val="4BFE0015"/>
    <w:rsid w:val="4C001FDF"/>
    <w:rsid w:val="4C0118B3"/>
    <w:rsid w:val="4C0513A3"/>
    <w:rsid w:val="4C080E93"/>
    <w:rsid w:val="4C0B2731"/>
    <w:rsid w:val="4C0D64AA"/>
    <w:rsid w:val="4C107D48"/>
    <w:rsid w:val="4C116304"/>
    <w:rsid w:val="4C1524C5"/>
    <w:rsid w:val="4C1710D6"/>
    <w:rsid w:val="4C177328"/>
    <w:rsid w:val="4C1B0BC7"/>
    <w:rsid w:val="4C1B2975"/>
    <w:rsid w:val="4C1B5BC3"/>
    <w:rsid w:val="4C1E0C2D"/>
    <w:rsid w:val="4C231829"/>
    <w:rsid w:val="4C242852"/>
    <w:rsid w:val="4C261319"/>
    <w:rsid w:val="4C263D9D"/>
    <w:rsid w:val="4C2832E3"/>
    <w:rsid w:val="4C285091"/>
    <w:rsid w:val="4C2A0E0A"/>
    <w:rsid w:val="4C2D26A8"/>
    <w:rsid w:val="4C303F46"/>
    <w:rsid w:val="4C343A36"/>
    <w:rsid w:val="4C3750D5"/>
    <w:rsid w:val="4C3F126C"/>
    <w:rsid w:val="4C40066C"/>
    <w:rsid w:val="4C404189"/>
    <w:rsid w:val="4C454024"/>
    <w:rsid w:val="4C4579F1"/>
    <w:rsid w:val="4C462BF6"/>
    <w:rsid w:val="4C485734"/>
    <w:rsid w:val="4C4874E2"/>
    <w:rsid w:val="4C4B0D80"/>
    <w:rsid w:val="4C4F6AC2"/>
    <w:rsid w:val="4C523EBC"/>
    <w:rsid w:val="4C5440D8"/>
    <w:rsid w:val="4C545E87"/>
    <w:rsid w:val="4C561BFF"/>
    <w:rsid w:val="4C583BC9"/>
    <w:rsid w:val="4C6247DB"/>
    <w:rsid w:val="4C673E0C"/>
    <w:rsid w:val="4C681932"/>
    <w:rsid w:val="4C6A56AA"/>
    <w:rsid w:val="4C6B4F7E"/>
    <w:rsid w:val="4C6C1422"/>
    <w:rsid w:val="4C6D6F48"/>
    <w:rsid w:val="4C6E0E52"/>
    <w:rsid w:val="4C7327B1"/>
    <w:rsid w:val="4C786019"/>
    <w:rsid w:val="4C7C718B"/>
    <w:rsid w:val="4C7E4CB1"/>
    <w:rsid w:val="4C800A2A"/>
    <w:rsid w:val="4C804ECE"/>
    <w:rsid w:val="4C820C46"/>
    <w:rsid w:val="4C83051A"/>
    <w:rsid w:val="4C891FD4"/>
    <w:rsid w:val="4C8C5620"/>
    <w:rsid w:val="4C8C73CE"/>
    <w:rsid w:val="4C9124AD"/>
    <w:rsid w:val="4C9444D5"/>
    <w:rsid w:val="4C975D73"/>
    <w:rsid w:val="4C991AEB"/>
    <w:rsid w:val="4C995102"/>
    <w:rsid w:val="4C995F8F"/>
    <w:rsid w:val="4CA42662"/>
    <w:rsid w:val="4CA46E0E"/>
    <w:rsid w:val="4CA87F80"/>
    <w:rsid w:val="4CB02408"/>
    <w:rsid w:val="4CB41CD6"/>
    <w:rsid w:val="4CB42DC9"/>
    <w:rsid w:val="4CB46925"/>
    <w:rsid w:val="4CB9218D"/>
    <w:rsid w:val="4CBA03DF"/>
    <w:rsid w:val="4CBE3B8B"/>
    <w:rsid w:val="4CBF2812"/>
    <w:rsid w:val="4CBF59F6"/>
    <w:rsid w:val="4CC27294"/>
    <w:rsid w:val="4CC36B68"/>
    <w:rsid w:val="4CC528E0"/>
    <w:rsid w:val="4CC56D84"/>
    <w:rsid w:val="4CC72AFC"/>
    <w:rsid w:val="4CC90623"/>
    <w:rsid w:val="4CCA439B"/>
    <w:rsid w:val="4CCF375F"/>
    <w:rsid w:val="4CCF550D"/>
    <w:rsid w:val="4CD15729"/>
    <w:rsid w:val="4CD4593A"/>
    <w:rsid w:val="4CD55219"/>
    <w:rsid w:val="4CD6689C"/>
    <w:rsid w:val="4CD86AB8"/>
    <w:rsid w:val="4CD97E11"/>
    <w:rsid w:val="4CDD1363"/>
    <w:rsid w:val="4CE1708E"/>
    <w:rsid w:val="4CE90CC5"/>
    <w:rsid w:val="4CE94821"/>
    <w:rsid w:val="4CEC2563"/>
    <w:rsid w:val="4CF03E01"/>
    <w:rsid w:val="4CF124D7"/>
    <w:rsid w:val="4CF136D5"/>
    <w:rsid w:val="4CF431C6"/>
    <w:rsid w:val="4CF84A64"/>
    <w:rsid w:val="4CFA1B21"/>
    <w:rsid w:val="4CFA6A2E"/>
    <w:rsid w:val="4CFE5DF2"/>
    <w:rsid w:val="4D005E2E"/>
    <w:rsid w:val="4D007DBC"/>
    <w:rsid w:val="4D0C050F"/>
    <w:rsid w:val="4D0C138D"/>
    <w:rsid w:val="4D0F1DAD"/>
    <w:rsid w:val="4D0F61C4"/>
    <w:rsid w:val="4D185106"/>
    <w:rsid w:val="4D1A1D0C"/>
    <w:rsid w:val="4D1C074A"/>
    <w:rsid w:val="4D220322"/>
    <w:rsid w:val="4D244F88"/>
    <w:rsid w:val="4D267823"/>
    <w:rsid w:val="4D2A6BE7"/>
    <w:rsid w:val="4D2B23EF"/>
    <w:rsid w:val="4D3006A2"/>
    <w:rsid w:val="4D322037"/>
    <w:rsid w:val="4D331F40"/>
    <w:rsid w:val="4D386DDA"/>
    <w:rsid w:val="4D387556"/>
    <w:rsid w:val="4D38766A"/>
    <w:rsid w:val="4D3D691B"/>
    <w:rsid w:val="4D405E8D"/>
    <w:rsid w:val="4D44414D"/>
    <w:rsid w:val="4D4E01F5"/>
    <w:rsid w:val="4D5123C6"/>
    <w:rsid w:val="4D534390"/>
    <w:rsid w:val="4D555CC4"/>
    <w:rsid w:val="4D572760"/>
    <w:rsid w:val="4D5D3C89"/>
    <w:rsid w:val="4D6420F9"/>
    <w:rsid w:val="4D671BE9"/>
    <w:rsid w:val="4D695962"/>
    <w:rsid w:val="4D6B4B4B"/>
    <w:rsid w:val="4D6C0FAE"/>
    <w:rsid w:val="4D6E11CA"/>
    <w:rsid w:val="4D6E6C73"/>
    <w:rsid w:val="4D782FD9"/>
    <w:rsid w:val="4D785BA5"/>
    <w:rsid w:val="4D79174D"/>
    <w:rsid w:val="4D7F6F33"/>
    <w:rsid w:val="4D7F7022"/>
    <w:rsid w:val="4D812CAB"/>
    <w:rsid w:val="4D821B8C"/>
    <w:rsid w:val="4D886C44"/>
    <w:rsid w:val="4D8C324F"/>
    <w:rsid w:val="4D8E7176"/>
    <w:rsid w:val="4D8F5636"/>
    <w:rsid w:val="4D911D44"/>
    <w:rsid w:val="4D9643D3"/>
    <w:rsid w:val="4D987FF5"/>
    <w:rsid w:val="4D9B0602"/>
    <w:rsid w:val="4D9C0FDC"/>
    <w:rsid w:val="4D9C7C8B"/>
    <w:rsid w:val="4D9E1AAF"/>
    <w:rsid w:val="4DA370C6"/>
    <w:rsid w:val="4DA60964"/>
    <w:rsid w:val="4DA62CD8"/>
    <w:rsid w:val="4DAB1AD6"/>
    <w:rsid w:val="4DAB41CC"/>
    <w:rsid w:val="4DAB5F7A"/>
    <w:rsid w:val="4DB766CD"/>
    <w:rsid w:val="4DBC5B34"/>
    <w:rsid w:val="4DC06044"/>
    <w:rsid w:val="4DC31516"/>
    <w:rsid w:val="4DC808DA"/>
    <w:rsid w:val="4DC86B2C"/>
    <w:rsid w:val="4DCB03CA"/>
    <w:rsid w:val="4DCB3F26"/>
    <w:rsid w:val="4DCB5631"/>
    <w:rsid w:val="4DCD7C9F"/>
    <w:rsid w:val="4DD27745"/>
    <w:rsid w:val="4DD3102D"/>
    <w:rsid w:val="4DD8512C"/>
    <w:rsid w:val="4DDC4386"/>
    <w:rsid w:val="4DDC6134"/>
    <w:rsid w:val="4DE14C7E"/>
    <w:rsid w:val="4DE374C2"/>
    <w:rsid w:val="4DE4148C"/>
    <w:rsid w:val="4DE6024A"/>
    <w:rsid w:val="4DEE4A39"/>
    <w:rsid w:val="4DF01BDF"/>
    <w:rsid w:val="4DF01E53"/>
    <w:rsid w:val="4DF0398D"/>
    <w:rsid w:val="4DF74D1B"/>
    <w:rsid w:val="4DFC67D6"/>
    <w:rsid w:val="4DFF1E22"/>
    <w:rsid w:val="4E00263F"/>
    <w:rsid w:val="4E035DB6"/>
    <w:rsid w:val="4E045131"/>
    <w:rsid w:val="4E0A0EF3"/>
    <w:rsid w:val="4E0B6496"/>
    <w:rsid w:val="4E0F02B7"/>
    <w:rsid w:val="4E10402F"/>
    <w:rsid w:val="4E141D71"/>
    <w:rsid w:val="4E1545A9"/>
    <w:rsid w:val="4E157897"/>
    <w:rsid w:val="4E184ECF"/>
    <w:rsid w:val="4E18612D"/>
    <w:rsid w:val="4E192EE4"/>
    <w:rsid w:val="4E1A4EAE"/>
    <w:rsid w:val="4E1A6C5C"/>
    <w:rsid w:val="4E1C6E78"/>
    <w:rsid w:val="4E1E499E"/>
    <w:rsid w:val="4E200716"/>
    <w:rsid w:val="4E223A1D"/>
    <w:rsid w:val="4E231FB4"/>
    <w:rsid w:val="4E2822AD"/>
    <w:rsid w:val="4E2D4BE1"/>
    <w:rsid w:val="4E2F0959"/>
    <w:rsid w:val="4E30022D"/>
    <w:rsid w:val="4E30647F"/>
    <w:rsid w:val="4E345F70"/>
    <w:rsid w:val="4E3715BC"/>
    <w:rsid w:val="4E3C4E24"/>
    <w:rsid w:val="4E3C4FB1"/>
    <w:rsid w:val="4E402B66"/>
    <w:rsid w:val="4E41243B"/>
    <w:rsid w:val="4E446BEC"/>
    <w:rsid w:val="4E481A1B"/>
    <w:rsid w:val="4E4837C9"/>
    <w:rsid w:val="4E487C6D"/>
    <w:rsid w:val="4E4A12EF"/>
    <w:rsid w:val="4E4C2032"/>
    <w:rsid w:val="4E4D7031"/>
    <w:rsid w:val="4E5263F6"/>
    <w:rsid w:val="4E5377DA"/>
    <w:rsid w:val="4E5403C0"/>
    <w:rsid w:val="4E556430"/>
    <w:rsid w:val="4E606D65"/>
    <w:rsid w:val="4E654842"/>
    <w:rsid w:val="4E683E6B"/>
    <w:rsid w:val="4E6920B3"/>
    <w:rsid w:val="4E6D1482"/>
    <w:rsid w:val="4E6E3563"/>
    <w:rsid w:val="4E6F4101"/>
    <w:rsid w:val="4E6F6FA8"/>
    <w:rsid w:val="4E79582B"/>
    <w:rsid w:val="4E7C09F9"/>
    <w:rsid w:val="4E8567CB"/>
    <w:rsid w:val="4E8B0A28"/>
    <w:rsid w:val="4E8C1327"/>
    <w:rsid w:val="4E8C7B5A"/>
    <w:rsid w:val="4E8F31A6"/>
    <w:rsid w:val="4E944C60"/>
    <w:rsid w:val="4E975330"/>
    <w:rsid w:val="4E984750"/>
    <w:rsid w:val="4EA00746"/>
    <w:rsid w:val="4EA1206A"/>
    <w:rsid w:val="4EA2112B"/>
    <w:rsid w:val="4EA3285D"/>
    <w:rsid w:val="4EA34EA3"/>
    <w:rsid w:val="4EB26E94"/>
    <w:rsid w:val="4EB51578"/>
    <w:rsid w:val="4EB64BD7"/>
    <w:rsid w:val="4EB70E3E"/>
    <w:rsid w:val="4EBD5F65"/>
    <w:rsid w:val="4EBF33BF"/>
    <w:rsid w:val="4EC01F05"/>
    <w:rsid w:val="4EC05A55"/>
    <w:rsid w:val="4EC12B91"/>
    <w:rsid w:val="4EC2357B"/>
    <w:rsid w:val="4EC45545"/>
    <w:rsid w:val="4EC54E1A"/>
    <w:rsid w:val="4EC76DE4"/>
    <w:rsid w:val="4EC92B5C"/>
    <w:rsid w:val="4ECC61A8"/>
    <w:rsid w:val="4ED03843"/>
    <w:rsid w:val="4ED079B5"/>
    <w:rsid w:val="4ED24BC6"/>
    <w:rsid w:val="4ED27537"/>
    <w:rsid w:val="4ED4505D"/>
    <w:rsid w:val="4EE02FF7"/>
    <w:rsid w:val="4EE47996"/>
    <w:rsid w:val="4EE50468"/>
    <w:rsid w:val="4EE74081"/>
    <w:rsid w:val="4EF07467"/>
    <w:rsid w:val="4EF13E61"/>
    <w:rsid w:val="4EF179BD"/>
    <w:rsid w:val="4EF456FF"/>
    <w:rsid w:val="4EF65EE6"/>
    <w:rsid w:val="4EF86F9D"/>
    <w:rsid w:val="4EF94AC3"/>
    <w:rsid w:val="4EFB6A8D"/>
    <w:rsid w:val="4F02606E"/>
    <w:rsid w:val="4F027E1C"/>
    <w:rsid w:val="4F032DA5"/>
    <w:rsid w:val="4F037C1C"/>
    <w:rsid w:val="4F073684"/>
    <w:rsid w:val="4F0911AA"/>
    <w:rsid w:val="4F0A10D5"/>
    <w:rsid w:val="4F11005F"/>
    <w:rsid w:val="4F111E0D"/>
    <w:rsid w:val="4F132029"/>
    <w:rsid w:val="4F194B69"/>
    <w:rsid w:val="4F1A0BCA"/>
    <w:rsid w:val="4F1B712F"/>
    <w:rsid w:val="4F2608AE"/>
    <w:rsid w:val="4F271D3E"/>
    <w:rsid w:val="4F31425D"/>
    <w:rsid w:val="4F3A75B6"/>
    <w:rsid w:val="4F3B50DC"/>
    <w:rsid w:val="4F3D2C02"/>
    <w:rsid w:val="4F3F1455"/>
    <w:rsid w:val="4F4026F2"/>
    <w:rsid w:val="4F42290E"/>
    <w:rsid w:val="4F45117A"/>
    <w:rsid w:val="4F457D08"/>
    <w:rsid w:val="4F4977F9"/>
    <w:rsid w:val="4F4C72E9"/>
    <w:rsid w:val="4F4F0B87"/>
    <w:rsid w:val="4F505507"/>
    <w:rsid w:val="4F506DD9"/>
    <w:rsid w:val="4F52414B"/>
    <w:rsid w:val="4F55619D"/>
    <w:rsid w:val="4F5B577E"/>
    <w:rsid w:val="4F5F526E"/>
    <w:rsid w:val="4F602D94"/>
    <w:rsid w:val="4F6603AB"/>
    <w:rsid w:val="4F672375"/>
    <w:rsid w:val="4F674123"/>
    <w:rsid w:val="4F6F15E1"/>
    <w:rsid w:val="4F756840"/>
    <w:rsid w:val="4F764366"/>
    <w:rsid w:val="4F77327D"/>
    <w:rsid w:val="4F7800DE"/>
    <w:rsid w:val="4F7A3E56"/>
    <w:rsid w:val="4F7B372A"/>
    <w:rsid w:val="4F7D74A2"/>
    <w:rsid w:val="4F7F3D17"/>
    <w:rsid w:val="4F801F1C"/>
    <w:rsid w:val="4F806F93"/>
    <w:rsid w:val="4F807D78"/>
    <w:rsid w:val="4F813436"/>
    <w:rsid w:val="4F836FD1"/>
    <w:rsid w:val="4F8E16AF"/>
    <w:rsid w:val="4F90367A"/>
    <w:rsid w:val="4F960564"/>
    <w:rsid w:val="4F9922E8"/>
    <w:rsid w:val="4F9B5B7A"/>
    <w:rsid w:val="4FA42C81"/>
    <w:rsid w:val="4FA61921"/>
    <w:rsid w:val="4FAD422B"/>
    <w:rsid w:val="4FAF16B5"/>
    <w:rsid w:val="4FB1539E"/>
    <w:rsid w:val="4FB31116"/>
    <w:rsid w:val="4FB37368"/>
    <w:rsid w:val="4FB8497E"/>
    <w:rsid w:val="4FBC446F"/>
    <w:rsid w:val="4FC357FD"/>
    <w:rsid w:val="4FC8279A"/>
    <w:rsid w:val="4FCA3333"/>
    <w:rsid w:val="4FD01CC8"/>
    <w:rsid w:val="4FD2395D"/>
    <w:rsid w:val="4FD25A40"/>
    <w:rsid w:val="4FD535CD"/>
    <w:rsid w:val="4FD94922"/>
    <w:rsid w:val="4FD95020"/>
    <w:rsid w:val="4FE25169"/>
    <w:rsid w:val="4FE63299"/>
    <w:rsid w:val="4FEA6D37"/>
    <w:rsid w:val="4FFA4F97"/>
    <w:rsid w:val="50010F5D"/>
    <w:rsid w:val="50016554"/>
    <w:rsid w:val="50041972"/>
    <w:rsid w:val="50091D29"/>
    <w:rsid w:val="501047BA"/>
    <w:rsid w:val="501301BD"/>
    <w:rsid w:val="50141FA4"/>
    <w:rsid w:val="5015592D"/>
    <w:rsid w:val="501778F7"/>
    <w:rsid w:val="5019366F"/>
    <w:rsid w:val="501E0EA8"/>
    <w:rsid w:val="501F6277"/>
    <w:rsid w:val="502352E1"/>
    <w:rsid w:val="50243DC2"/>
    <w:rsid w:val="50265D8C"/>
    <w:rsid w:val="502838B2"/>
    <w:rsid w:val="502D757B"/>
    <w:rsid w:val="502D7C51"/>
    <w:rsid w:val="502E4997"/>
    <w:rsid w:val="502F4C40"/>
    <w:rsid w:val="503009B9"/>
    <w:rsid w:val="50306C0B"/>
    <w:rsid w:val="5031142E"/>
    <w:rsid w:val="5032028D"/>
    <w:rsid w:val="50324731"/>
    <w:rsid w:val="503404A9"/>
    <w:rsid w:val="503A35E5"/>
    <w:rsid w:val="503C7AAB"/>
    <w:rsid w:val="503E4E84"/>
    <w:rsid w:val="503F3AD0"/>
    <w:rsid w:val="50406E4E"/>
    <w:rsid w:val="50433E79"/>
    <w:rsid w:val="50447FC0"/>
    <w:rsid w:val="50463D38"/>
    <w:rsid w:val="50483F54"/>
    <w:rsid w:val="50487AB0"/>
    <w:rsid w:val="504F52E3"/>
    <w:rsid w:val="504F7091"/>
    <w:rsid w:val="5052092F"/>
    <w:rsid w:val="505226DD"/>
    <w:rsid w:val="505446A7"/>
    <w:rsid w:val="5055041F"/>
    <w:rsid w:val="50574197"/>
    <w:rsid w:val="50575F45"/>
    <w:rsid w:val="50597F0F"/>
    <w:rsid w:val="505F4DFA"/>
    <w:rsid w:val="50691B4D"/>
    <w:rsid w:val="506F7733"/>
    <w:rsid w:val="50724B2D"/>
    <w:rsid w:val="507A1C34"/>
    <w:rsid w:val="507C1E50"/>
    <w:rsid w:val="507E1724"/>
    <w:rsid w:val="5080549C"/>
    <w:rsid w:val="50810B36"/>
    <w:rsid w:val="50812FC2"/>
    <w:rsid w:val="50893447"/>
    <w:rsid w:val="508A631B"/>
    <w:rsid w:val="508D49F6"/>
    <w:rsid w:val="508D7BB9"/>
    <w:rsid w:val="50923421"/>
    <w:rsid w:val="50940F47"/>
    <w:rsid w:val="5095081C"/>
    <w:rsid w:val="509B0528"/>
    <w:rsid w:val="509E3B74"/>
    <w:rsid w:val="50A00F4B"/>
    <w:rsid w:val="50A05B3E"/>
    <w:rsid w:val="50A218B6"/>
    <w:rsid w:val="50A373DC"/>
    <w:rsid w:val="50A54F03"/>
    <w:rsid w:val="50AA42C7"/>
    <w:rsid w:val="50AC6291"/>
    <w:rsid w:val="50B415EA"/>
    <w:rsid w:val="50BD049E"/>
    <w:rsid w:val="50C23D07"/>
    <w:rsid w:val="50C335DB"/>
    <w:rsid w:val="50C86E43"/>
    <w:rsid w:val="50CA30CD"/>
    <w:rsid w:val="50CA3508"/>
    <w:rsid w:val="50CB7569"/>
    <w:rsid w:val="50CC09F9"/>
    <w:rsid w:val="50CC6933"/>
    <w:rsid w:val="50CD6207"/>
    <w:rsid w:val="50CE26AB"/>
    <w:rsid w:val="50CE6F9F"/>
    <w:rsid w:val="50D91050"/>
    <w:rsid w:val="50D94BAC"/>
    <w:rsid w:val="50DA0833"/>
    <w:rsid w:val="50DB6B76"/>
    <w:rsid w:val="50DB7A39"/>
    <w:rsid w:val="50E0418D"/>
    <w:rsid w:val="50E05F3B"/>
    <w:rsid w:val="50E7254E"/>
    <w:rsid w:val="50EA0B67"/>
    <w:rsid w:val="50EA6DB9"/>
    <w:rsid w:val="50ED7D32"/>
    <w:rsid w:val="50EE4AFC"/>
    <w:rsid w:val="50F25C6E"/>
    <w:rsid w:val="50F43794"/>
    <w:rsid w:val="50F639B0"/>
    <w:rsid w:val="50FD6AED"/>
    <w:rsid w:val="5100482F"/>
    <w:rsid w:val="51023F76"/>
    <w:rsid w:val="51044B29"/>
    <w:rsid w:val="510507A1"/>
    <w:rsid w:val="510559A1"/>
    <w:rsid w:val="510A1DF1"/>
    <w:rsid w:val="510D2AA8"/>
    <w:rsid w:val="510F1C3C"/>
    <w:rsid w:val="511030CC"/>
    <w:rsid w:val="51111E2A"/>
    <w:rsid w:val="51136310"/>
    <w:rsid w:val="51143E36"/>
    <w:rsid w:val="51156A77"/>
    <w:rsid w:val="5116195C"/>
    <w:rsid w:val="51165E00"/>
    <w:rsid w:val="511B3417"/>
    <w:rsid w:val="511C421F"/>
    <w:rsid w:val="511D718F"/>
    <w:rsid w:val="511F2F07"/>
    <w:rsid w:val="51220301"/>
    <w:rsid w:val="51234079"/>
    <w:rsid w:val="512651A9"/>
    <w:rsid w:val="51275918"/>
    <w:rsid w:val="51281690"/>
    <w:rsid w:val="512D6CA6"/>
    <w:rsid w:val="512F6EC2"/>
    <w:rsid w:val="513149E8"/>
    <w:rsid w:val="5133250E"/>
    <w:rsid w:val="513A1AEF"/>
    <w:rsid w:val="513C0BD2"/>
    <w:rsid w:val="513F5357"/>
    <w:rsid w:val="51422751"/>
    <w:rsid w:val="51426BF5"/>
    <w:rsid w:val="514351EF"/>
    <w:rsid w:val="51453FF0"/>
    <w:rsid w:val="514A5AAA"/>
    <w:rsid w:val="514F30C0"/>
    <w:rsid w:val="515406D7"/>
    <w:rsid w:val="515801C7"/>
    <w:rsid w:val="51597A9B"/>
    <w:rsid w:val="515D3A2F"/>
    <w:rsid w:val="515D57DD"/>
    <w:rsid w:val="515E0E17"/>
    <w:rsid w:val="516052CE"/>
    <w:rsid w:val="51616342"/>
    <w:rsid w:val="51625545"/>
    <w:rsid w:val="5164091A"/>
    <w:rsid w:val="51654692"/>
    <w:rsid w:val="51656440"/>
    <w:rsid w:val="516A1CA8"/>
    <w:rsid w:val="516A3A56"/>
    <w:rsid w:val="516C5A20"/>
    <w:rsid w:val="516C77CE"/>
    <w:rsid w:val="516E3547"/>
    <w:rsid w:val="516F72BF"/>
    <w:rsid w:val="51701F58"/>
    <w:rsid w:val="51706C86"/>
    <w:rsid w:val="51711289"/>
    <w:rsid w:val="517148AA"/>
    <w:rsid w:val="517320C3"/>
    <w:rsid w:val="517A638F"/>
    <w:rsid w:val="517D5E7F"/>
    <w:rsid w:val="517F5754"/>
    <w:rsid w:val="51850890"/>
    <w:rsid w:val="518906F0"/>
    <w:rsid w:val="518C60C3"/>
    <w:rsid w:val="51915487"/>
    <w:rsid w:val="51945C61"/>
    <w:rsid w:val="5199716D"/>
    <w:rsid w:val="519B6306"/>
    <w:rsid w:val="519C5ECC"/>
    <w:rsid w:val="51A67184"/>
    <w:rsid w:val="51AC5E5D"/>
    <w:rsid w:val="51AE6039"/>
    <w:rsid w:val="51AE7211"/>
    <w:rsid w:val="51AF4F86"/>
    <w:rsid w:val="51B178D7"/>
    <w:rsid w:val="51B86EB8"/>
    <w:rsid w:val="51C13FBE"/>
    <w:rsid w:val="51C159B6"/>
    <w:rsid w:val="51C2088C"/>
    <w:rsid w:val="51C27D36"/>
    <w:rsid w:val="51C4585C"/>
    <w:rsid w:val="51C70EA9"/>
    <w:rsid w:val="51C8234F"/>
    <w:rsid w:val="51C904BB"/>
    <w:rsid w:val="51CF19F5"/>
    <w:rsid w:val="51CF6F3E"/>
    <w:rsid w:val="51D07D5D"/>
    <w:rsid w:val="51D57A6A"/>
    <w:rsid w:val="51DA5080"/>
    <w:rsid w:val="51DB6702"/>
    <w:rsid w:val="51DD247A"/>
    <w:rsid w:val="51DF61F2"/>
    <w:rsid w:val="51E25CE3"/>
    <w:rsid w:val="51E4360B"/>
    <w:rsid w:val="51E67581"/>
    <w:rsid w:val="51EE28D9"/>
    <w:rsid w:val="51F55A16"/>
    <w:rsid w:val="51F83758"/>
    <w:rsid w:val="51FF4AE6"/>
    <w:rsid w:val="5201085F"/>
    <w:rsid w:val="5201260D"/>
    <w:rsid w:val="52036385"/>
    <w:rsid w:val="52075749"/>
    <w:rsid w:val="5208399B"/>
    <w:rsid w:val="5209326F"/>
    <w:rsid w:val="5214298C"/>
    <w:rsid w:val="52171E30"/>
    <w:rsid w:val="521B6C41"/>
    <w:rsid w:val="521C11F4"/>
    <w:rsid w:val="521C7446"/>
    <w:rsid w:val="521F2A93"/>
    <w:rsid w:val="522105B9"/>
    <w:rsid w:val="52285DEB"/>
    <w:rsid w:val="52293911"/>
    <w:rsid w:val="52326C6A"/>
    <w:rsid w:val="523924E1"/>
    <w:rsid w:val="523B7711"/>
    <w:rsid w:val="523F3135"/>
    <w:rsid w:val="5242431B"/>
    <w:rsid w:val="524349D3"/>
    <w:rsid w:val="5248023B"/>
    <w:rsid w:val="52506890"/>
    <w:rsid w:val="52541382"/>
    <w:rsid w:val="5256161C"/>
    <w:rsid w:val="5257047F"/>
    <w:rsid w:val="52592449"/>
    <w:rsid w:val="525B3FFE"/>
    <w:rsid w:val="525C7843"/>
    <w:rsid w:val="525E35BB"/>
    <w:rsid w:val="525F10E1"/>
    <w:rsid w:val="525F5585"/>
    <w:rsid w:val="52650DED"/>
    <w:rsid w:val="52716224"/>
    <w:rsid w:val="527171A4"/>
    <w:rsid w:val="52725202"/>
    <w:rsid w:val="527458E8"/>
    <w:rsid w:val="527728CF"/>
    <w:rsid w:val="52777721"/>
    <w:rsid w:val="527A416D"/>
    <w:rsid w:val="527E1B72"/>
    <w:rsid w:val="528154FB"/>
    <w:rsid w:val="52825B1B"/>
    <w:rsid w:val="52862B12"/>
    <w:rsid w:val="528F19C6"/>
    <w:rsid w:val="528F408F"/>
    <w:rsid w:val="528F5E6A"/>
    <w:rsid w:val="528F7C18"/>
    <w:rsid w:val="52946FDD"/>
    <w:rsid w:val="529D3DB1"/>
    <w:rsid w:val="529E7E5B"/>
    <w:rsid w:val="529F5982"/>
    <w:rsid w:val="52A00349"/>
    <w:rsid w:val="52A26B1F"/>
    <w:rsid w:val="52A336C4"/>
    <w:rsid w:val="52B0193D"/>
    <w:rsid w:val="52B256B5"/>
    <w:rsid w:val="52B2639C"/>
    <w:rsid w:val="52B437F7"/>
    <w:rsid w:val="52B96A43"/>
    <w:rsid w:val="52BA27BB"/>
    <w:rsid w:val="52BB1129"/>
    <w:rsid w:val="52BC29D7"/>
    <w:rsid w:val="52C33D66"/>
    <w:rsid w:val="52C6187C"/>
    <w:rsid w:val="52CB6777"/>
    <w:rsid w:val="52CB6E2F"/>
    <w:rsid w:val="52D40E84"/>
    <w:rsid w:val="52D90E94"/>
    <w:rsid w:val="52DB2E5E"/>
    <w:rsid w:val="52E02222"/>
    <w:rsid w:val="52E73786"/>
    <w:rsid w:val="52E8648C"/>
    <w:rsid w:val="52E87329"/>
    <w:rsid w:val="52EB49DD"/>
    <w:rsid w:val="52EF487C"/>
    <w:rsid w:val="52F42171"/>
    <w:rsid w:val="52F60E0C"/>
    <w:rsid w:val="52F97788"/>
    <w:rsid w:val="52FB3500"/>
    <w:rsid w:val="52FC4B82"/>
    <w:rsid w:val="52FC57CF"/>
    <w:rsid w:val="53000B16"/>
    <w:rsid w:val="5302663C"/>
    <w:rsid w:val="530323D9"/>
    <w:rsid w:val="53035F10"/>
    <w:rsid w:val="53073C53"/>
    <w:rsid w:val="530879CB"/>
    <w:rsid w:val="530C74BB"/>
    <w:rsid w:val="5311092D"/>
    <w:rsid w:val="53117559"/>
    <w:rsid w:val="531E0F9C"/>
    <w:rsid w:val="5322283B"/>
    <w:rsid w:val="532F4F57"/>
    <w:rsid w:val="53315D89"/>
    <w:rsid w:val="533662E6"/>
    <w:rsid w:val="5338205E"/>
    <w:rsid w:val="53394028"/>
    <w:rsid w:val="533B7DA0"/>
    <w:rsid w:val="53430A03"/>
    <w:rsid w:val="53452EE6"/>
    <w:rsid w:val="53456529"/>
    <w:rsid w:val="5349426B"/>
    <w:rsid w:val="534B0014"/>
    <w:rsid w:val="53507E24"/>
    <w:rsid w:val="53542C10"/>
    <w:rsid w:val="535449BE"/>
    <w:rsid w:val="5356205A"/>
    <w:rsid w:val="53565F15"/>
    <w:rsid w:val="53566988"/>
    <w:rsid w:val="53591FD4"/>
    <w:rsid w:val="535E045A"/>
    <w:rsid w:val="535F3A8F"/>
    <w:rsid w:val="535F717D"/>
    <w:rsid w:val="536270DB"/>
    <w:rsid w:val="5363629A"/>
    <w:rsid w:val="53650979"/>
    <w:rsid w:val="53654B22"/>
    <w:rsid w:val="53662E9D"/>
    <w:rsid w:val="536E5A80"/>
    <w:rsid w:val="53721D2E"/>
    <w:rsid w:val="5373753A"/>
    <w:rsid w:val="53740BBC"/>
    <w:rsid w:val="53764934"/>
    <w:rsid w:val="537806AC"/>
    <w:rsid w:val="537868FE"/>
    <w:rsid w:val="537B63EF"/>
    <w:rsid w:val="538232D9"/>
    <w:rsid w:val="53837051"/>
    <w:rsid w:val="5385101B"/>
    <w:rsid w:val="538A26DB"/>
    <w:rsid w:val="538A6632"/>
    <w:rsid w:val="538D4809"/>
    <w:rsid w:val="538F6092"/>
    <w:rsid w:val="53986FA1"/>
    <w:rsid w:val="53990A5B"/>
    <w:rsid w:val="539B25ED"/>
    <w:rsid w:val="539D601D"/>
    <w:rsid w:val="53A04DAC"/>
    <w:rsid w:val="53A05E55"/>
    <w:rsid w:val="53A07C03"/>
    <w:rsid w:val="53A45945"/>
    <w:rsid w:val="53A771E4"/>
    <w:rsid w:val="53A96AB8"/>
    <w:rsid w:val="53AC0356"/>
    <w:rsid w:val="53B079A2"/>
    <w:rsid w:val="53B12890"/>
    <w:rsid w:val="53B13BBE"/>
    <w:rsid w:val="53BF0089"/>
    <w:rsid w:val="53BF452D"/>
    <w:rsid w:val="53C41B44"/>
    <w:rsid w:val="53C47D96"/>
    <w:rsid w:val="53C51418"/>
    <w:rsid w:val="53C5246A"/>
    <w:rsid w:val="53C71634"/>
    <w:rsid w:val="53C77F81"/>
    <w:rsid w:val="53CC09F8"/>
    <w:rsid w:val="53CE651E"/>
    <w:rsid w:val="53CF54F2"/>
    <w:rsid w:val="53D22156"/>
    <w:rsid w:val="53DA3115"/>
    <w:rsid w:val="53DC242E"/>
    <w:rsid w:val="53DD2C05"/>
    <w:rsid w:val="53E144A4"/>
    <w:rsid w:val="53E45D42"/>
    <w:rsid w:val="53E45EA3"/>
    <w:rsid w:val="53EB36A7"/>
    <w:rsid w:val="53EE4E13"/>
    <w:rsid w:val="53F1045F"/>
    <w:rsid w:val="53F64465"/>
    <w:rsid w:val="53F817ED"/>
    <w:rsid w:val="53FD5056"/>
    <w:rsid w:val="53FF0DCE"/>
    <w:rsid w:val="54014B46"/>
    <w:rsid w:val="540168F4"/>
    <w:rsid w:val="54040192"/>
    <w:rsid w:val="54061D8D"/>
    <w:rsid w:val="54063F0A"/>
    <w:rsid w:val="54093709"/>
    <w:rsid w:val="540939FA"/>
    <w:rsid w:val="540C7047"/>
    <w:rsid w:val="540D20E2"/>
    <w:rsid w:val="54102FDB"/>
    <w:rsid w:val="54166797"/>
    <w:rsid w:val="541D3002"/>
    <w:rsid w:val="542425E2"/>
    <w:rsid w:val="54266BF4"/>
    <w:rsid w:val="54271E31"/>
    <w:rsid w:val="542919A7"/>
    <w:rsid w:val="542B3971"/>
    <w:rsid w:val="542B571F"/>
    <w:rsid w:val="542E4991"/>
    <w:rsid w:val="54302D35"/>
    <w:rsid w:val="54305A86"/>
    <w:rsid w:val="543071D9"/>
    <w:rsid w:val="54316AAD"/>
    <w:rsid w:val="5435127D"/>
    <w:rsid w:val="543C3DD0"/>
    <w:rsid w:val="543C5B7E"/>
    <w:rsid w:val="544113E6"/>
    <w:rsid w:val="54444A33"/>
    <w:rsid w:val="54482775"/>
    <w:rsid w:val="54484523"/>
    <w:rsid w:val="544E58B1"/>
    <w:rsid w:val="54516500"/>
    <w:rsid w:val="54517DF8"/>
    <w:rsid w:val="545473CA"/>
    <w:rsid w:val="54556C40"/>
    <w:rsid w:val="545A24A8"/>
    <w:rsid w:val="545F177F"/>
    <w:rsid w:val="54624EB9"/>
    <w:rsid w:val="5463135D"/>
    <w:rsid w:val="54640C31"/>
    <w:rsid w:val="546724CF"/>
    <w:rsid w:val="54703A7A"/>
    <w:rsid w:val="54741EC7"/>
    <w:rsid w:val="54754BEC"/>
    <w:rsid w:val="5477021B"/>
    <w:rsid w:val="547C67AB"/>
    <w:rsid w:val="547E09F5"/>
    <w:rsid w:val="547F7730"/>
    <w:rsid w:val="548E5CAE"/>
    <w:rsid w:val="54917C49"/>
    <w:rsid w:val="54920562"/>
    <w:rsid w:val="54921C42"/>
    <w:rsid w:val="54931516"/>
    <w:rsid w:val="549332C4"/>
    <w:rsid w:val="54947768"/>
    <w:rsid w:val="549A036C"/>
    <w:rsid w:val="549F1A7B"/>
    <w:rsid w:val="54A454D1"/>
    <w:rsid w:val="54A6749B"/>
    <w:rsid w:val="54AA6EBE"/>
    <w:rsid w:val="54AC2F51"/>
    <w:rsid w:val="54AE00FE"/>
    <w:rsid w:val="54B13782"/>
    <w:rsid w:val="54B25E40"/>
    <w:rsid w:val="54B35714"/>
    <w:rsid w:val="54B61E08"/>
    <w:rsid w:val="54B716A8"/>
    <w:rsid w:val="54B73456"/>
    <w:rsid w:val="54BB183C"/>
    <w:rsid w:val="54C70CF8"/>
    <w:rsid w:val="54C81203"/>
    <w:rsid w:val="54C87412"/>
    <w:rsid w:val="54CB6F02"/>
    <w:rsid w:val="54CC5154"/>
    <w:rsid w:val="54CD2C7A"/>
    <w:rsid w:val="54CD4A28"/>
    <w:rsid w:val="54CE266B"/>
    <w:rsid w:val="54CF3934"/>
    <w:rsid w:val="54D2203E"/>
    <w:rsid w:val="54D23DEC"/>
    <w:rsid w:val="54D50C36"/>
    <w:rsid w:val="54D77655"/>
    <w:rsid w:val="54D93EFE"/>
    <w:rsid w:val="54D9507B"/>
    <w:rsid w:val="54DC4C6B"/>
    <w:rsid w:val="54DE4E87"/>
    <w:rsid w:val="54E22DEA"/>
    <w:rsid w:val="54EF45FD"/>
    <w:rsid w:val="54F062A2"/>
    <w:rsid w:val="55020B76"/>
    <w:rsid w:val="55023F28"/>
    <w:rsid w:val="55052414"/>
    <w:rsid w:val="55067F3A"/>
    <w:rsid w:val="55083CB2"/>
    <w:rsid w:val="550A17D8"/>
    <w:rsid w:val="550A7A2A"/>
    <w:rsid w:val="5511706B"/>
    <w:rsid w:val="551268DF"/>
    <w:rsid w:val="55175CA3"/>
    <w:rsid w:val="551E34D6"/>
    <w:rsid w:val="551E7032"/>
    <w:rsid w:val="55256612"/>
    <w:rsid w:val="5527238A"/>
    <w:rsid w:val="55275A0F"/>
    <w:rsid w:val="55295C69"/>
    <w:rsid w:val="55304C19"/>
    <w:rsid w:val="553255F1"/>
    <w:rsid w:val="553B5E36"/>
    <w:rsid w:val="553E22FA"/>
    <w:rsid w:val="553E5926"/>
    <w:rsid w:val="5542457E"/>
    <w:rsid w:val="55434CEA"/>
    <w:rsid w:val="55452810"/>
    <w:rsid w:val="55456CB4"/>
    <w:rsid w:val="554967A4"/>
    <w:rsid w:val="554A030E"/>
    <w:rsid w:val="554A7E27"/>
    <w:rsid w:val="554C3B9F"/>
    <w:rsid w:val="554C7D7D"/>
    <w:rsid w:val="554E24EC"/>
    <w:rsid w:val="555111B5"/>
    <w:rsid w:val="55560EC1"/>
    <w:rsid w:val="55572544"/>
    <w:rsid w:val="555869E7"/>
    <w:rsid w:val="555C7B5A"/>
    <w:rsid w:val="556422EE"/>
    <w:rsid w:val="55652EB2"/>
    <w:rsid w:val="556741A0"/>
    <w:rsid w:val="55684751"/>
    <w:rsid w:val="55693404"/>
    <w:rsid w:val="556C09CA"/>
    <w:rsid w:val="556C2493"/>
    <w:rsid w:val="557032EB"/>
    <w:rsid w:val="557355CF"/>
    <w:rsid w:val="55760C1C"/>
    <w:rsid w:val="55767585"/>
    <w:rsid w:val="5577646D"/>
    <w:rsid w:val="557931CB"/>
    <w:rsid w:val="55794BB0"/>
    <w:rsid w:val="5579695E"/>
    <w:rsid w:val="557B0928"/>
    <w:rsid w:val="557B33C0"/>
    <w:rsid w:val="557D644E"/>
    <w:rsid w:val="557E5D22"/>
    <w:rsid w:val="557F47C0"/>
    <w:rsid w:val="5587107B"/>
    <w:rsid w:val="558863EB"/>
    <w:rsid w:val="55911EF9"/>
    <w:rsid w:val="55915A56"/>
    <w:rsid w:val="55935C72"/>
    <w:rsid w:val="559519EA"/>
    <w:rsid w:val="559B4B26"/>
    <w:rsid w:val="559D43FA"/>
    <w:rsid w:val="559F4616"/>
    <w:rsid w:val="55A57753"/>
    <w:rsid w:val="55A90FF1"/>
    <w:rsid w:val="55AC6E9D"/>
    <w:rsid w:val="55AD05A3"/>
    <w:rsid w:val="55AF05D2"/>
    <w:rsid w:val="55B313A7"/>
    <w:rsid w:val="55B42837"/>
    <w:rsid w:val="55B47996"/>
    <w:rsid w:val="55B55F10"/>
    <w:rsid w:val="55BD1053"/>
    <w:rsid w:val="55C0458D"/>
    <w:rsid w:val="55C71477"/>
    <w:rsid w:val="55C73B6D"/>
    <w:rsid w:val="55C844F0"/>
    <w:rsid w:val="55C951EF"/>
    <w:rsid w:val="55CA0F67"/>
    <w:rsid w:val="55CC08C4"/>
    <w:rsid w:val="55CC1183"/>
    <w:rsid w:val="55CE5FAF"/>
    <w:rsid w:val="55CF47D0"/>
    <w:rsid w:val="55D05E26"/>
    <w:rsid w:val="55D1679A"/>
    <w:rsid w:val="55D63DB0"/>
    <w:rsid w:val="55D65B5E"/>
    <w:rsid w:val="55D7191A"/>
    <w:rsid w:val="55D87B28"/>
    <w:rsid w:val="55D909B9"/>
    <w:rsid w:val="55DA564E"/>
    <w:rsid w:val="55DB3175"/>
    <w:rsid w:val="55E11FCA"/>
    <w:rsid w:val="55E31575"/>
    <w:rsid w:val="55E42029"/>
    <w:rsid w:val="55E464CD"/>
    <w:rsid w:val="55E97640"/>
    <w:rsid w:val="55F04E72"/>
    <w:rsid w:val="55F06C20"/>
    <w:rsid w:val="55F10BEA"/>
    <w:rsid w:val="55F54D3B"/>
    <w:rsid w:val="55F61D5C"/>
    <w:rsid w:val="55F86516"/>
    <w:rsid w:val="55FA184D"/>
    <w:rsid w:val="560162DD"/>
    <w:rsid w:val="56051FA0"/>
    <w:rsid w:val="560A5808"/>
    <w:rsid w:val="560E3442"/>
    <w:rsid w:val="561072C2"/>
    <w:rsid w:val="561346BC"/>
    <w:rsid w:val="561C5C67"/>
    <w:rsid w:val="561D1AA7"/>
    <w:rsid w:val="56204D1B"/>
    <w:rsid w:val="56226FF5"/>
    <w:rsid w:val="56232843"/>
    <w:rsid w:val="562763BA"/>
    <w:rsid w:val="56292132"/>
    <w:rsid w:val="562A237D"/>
    <w:rsid w:val="562C598F"/>
    <w:rsid w:val="562C5B54"/>
    <w:rsid w:val="562D159C"/>
    <w:rsid w:val="562E70CC"/>
    <w:rsid w:val="56397B3F"/>
    <w:rsid w:val="563A60ED"/>
    <w:rsid w:val="563D3E2F"/>
    <w:rsid w:val="563F226F"/>
    <w:rsid w:val="5640122A"/>
    <w:rsid w:val="56407A11"/>
    <w:rsid w:val="56410EA1"/>
    <w:rsid w:val="56461469"/>
    <w:rsid w:val="56464A92"/>
    <w:rsid w:val="564B20A8"/>
    <w:rsid w:val="565166AD"/>
    <w:rsid w:val="565306E5"/>
    <w:rsid w:val="565432B3"/>
    <w:rsid w:val="565847C5"/>
    <w:rsid w:val="565A05B8"/>
    <w:rsid w:val="565F437A"/>
    <w:rsid w:val="56665134"/>
    <w:rsid w:val="56680EAC"/>
    <w:rsid w:val="566E5D97"/>
    <w:rsid w:val="56725887"/>
    <w:rsid w:val="56761C39"/>
    <w:rsid w:val="56777341"/>
    <w:rsid w:val="56796828"/>
    <w:rsid w:val="567B233F"/>
    <w:rsid w:val="567F7FA4"/>
    <w:rsid w:val="56814E3E"/>
    <w:rsid w:val="5681771D"/>
    <w:rsid w:val="56876E58"/>
    <w:rsid w:val="568F468B"/>
    <w:rsid w:val="5697353F"/>
    <w:rsid w:val="569752EE"/>
    <w:rsid w:val="56982E14"/>
    <w:rsid w:val="56993F21"/>
    <w:rsid w:val="569E667C"/>
    <w:rsid w:val="56A27718"/>
    <w:rsid w:val="56A54D17"/>
    <w:rsid w:val="56AC7030"/>
    <w:rsid w:val="56B20379"/>
    <w:rsid w:val="56B23ED5"/>
    <w:rsid w:val="56B37C4E"/>
    <w:rsid w:val="56B51C18"/>
    <w:rsid w:val="56B714EC"/>
    <w:rsid w:val="56B80FD4"/>
    <w:rsid w:val="56BC2FA6"/>
    <w:rsid w:val="56BC6214"/>
    <w:rsid w:val="56BD287A"/>
    <w:rsid w:val="56C836F9"/>
    <w:rsid w:val="56C854A7"/>
    <w:rsid w:val="56CA56C3"/>
    <w:rsid w:val="56CD0D0F"/>
    <w:rsid w:val="56CD6F61"/>
    <w:rsid w:val="56CF0F2B"/>
    <w:rsid w:val="56CF1FD9"/>
    <w:rsid w:val="56CF2CD9"/>
    <w:rsid w:val="56D20B13"/>
    <w:rsid w:val="56D54068"/>
    <w:rsid w:val="56D57BC4"/>
    <w:rsid w:val="56D95906"/>
    <w:rsid w:val="56DA342C"/>
    <w:rsid w:val="56DC53F6"/>
    <w:rsid w:val="56DE2F1C"/>
    <w:rsid w:val="56E04EE6"/>
    <w:rsid w:val="56E216D1"/>
    <w:rsid w:val="56E85B49"/>
    <w:rsid w:val="56ED13B1"/>
    <w:rsid w:val="56F16594"/>
    <w:rsid w:val="56F269C8"/>
    <w:rsid w:val="56F42740"/>
    <w:rsid w:val="56F91B04"/>
    <w:rsid w:val="56FB3ACE"/>
    <w:rsid w:val="57016C0B"/>
    <w:rsid w:val="57034731"/>
    <w:rsid w:val="570566FB"/>
    <w:rsid w:val="57087F99"/>
    <w:rsid w:val="570A5ABF"/>
    <w:rsid w:val="570B1838"/>
    <w:rsid w:val="570F757A"/>
    <w:rsid w:val="57106E4E"/>
    <w:rsid w:val="5712700E"/>
    <w:rsid w:val="57184072"/>
    <w:rsid w:val="57253D43"/>
    <w:rsid w:val="572A6725"/>
    <w:rsid w:val="572B451F"/>
    <w:rsid w:val="572F19CA"/>
    <w:rsid w:val="572F3778"/>
    <w:rsid w:val="57315742"/>
    <w:rsid w:val="573174F0"/>
    <w:rsid w:val="57364B06"/>
    <w:rsid w:val="57390153"/>
    <w:rsid w:val="57396991"/>
    <w:rsid w:val="573B036F"/>
    <w:rsid w:val="573D370B"/>
    <w:rsid w:val="57405985"/>
    <w:rsid w:val="57407733"/>
    <w:rsid w:val="574134AB"/>
    <w:rsid w:val="574216FD"/>
    <w:rsid w:val="57437223"/>
    <w:rsid w:val="574A05B2"/>
    <w:rsid w:val="574B3EF4"/>
    <w:rsid w:val="574B60D8"/>
    <w:rsid w:val="57534858"/>
    <w:rsid w:val="575371C8"/>
    <w:rsid w:val="57566F57"/>
    <w:rsid w:val="57574A7D"/>
    <w:rsid w:val="575C534A"/>
    <w:rsid w:val="57600001"/>
    <w:rsid w:val="57603931"/>
    <w:rsid w:val="57623B4D"/>
    <w:rsid w:val="57652917"/>
    <w:rsid w:val="57686C8A"/>
    <w:rsid w:val="576E2576"/>
    <w:rsid w:val="576E3115"/>
    <w:rsid w:val="576E6AFE"/>
    <w:rsid w:val="5770468E"/>
    <w:rsid w:val="57723665"/>
    <w:rsid w:val="57770C7B"/>
    <w:rsid w:val="57782CA7"/>
    <w:rsid w:val="57790E97"/>
    <w:rsid w:val="577C44E3"/>
    <w:rsid w:val="577D0987"/>
    <w:rsid w:val="577D3248"/>
    <w:rsid w:val="577D4062"/>
    <w:rsid w:val="577E64AD"/>
    <w:rsid w:val="57802226"/>
    <w:rsid w:val="5780751F"/>
    <w:rsid w:val="57835EA0"/>
    <w:rsid w:val="578515EA"/>
    <w:rsid w:val="57862E29"/>
    <w:rsid w:val="57875362"/>
    <w:rsid w:val="578A6E9D"/>
    <w:rsid w:val="578C0BCA"/>
    <w:rsid w:val="579655A5"/>
    <w:rsid w:val="579D4B86"/>
    <w:rsid w:val="579F66F9"/>
    <w:rsid w:val="57A35F14"/>
    <w:rsid w:val="57B0377C"/>
    <w:rsid w:val="57B179A7"/>
    <w:rsid w:val="57B40121"/>
    <w:rsid w:val="57B43C7D"/>
    <w:rsid w:val="57CB2D12"/>
    <w:rsid w:val="57D63BF4"/>
    <w:rsid w:val="57D8796C"/>
    <w:rsid w:val="57DD1426"/>
    <w:rsid w:val="57DE10B6"/>
    <w:rsid w:val="57E04A72"/>
    <w:rsid w:val="57E207EA"/>
    <w:rsid w:val="57E26A3C"/>
    <w:rsid w:val="57E72C95"/>
    <w:rsid w:val="57E83927"/>
    <w:rsid w:val="57E9601D"/>
    <w:rsid w:val="57FA1966"/>
    <w:rsid w:val="57FB7AFE"/>
    <w:rsid w:val="58003366"/>
    <w:rsid w:val="58006EC2"/>
    <w:rsid w:val="5804270C"/>
    <w:rsid w:val="58056B37"/>
    <w:rsid w:val="58070251"/>
    <w:rsid w:val="580B5F93"/>
    <w:rsid w:val="580F7106"/>
    <w:rsid w:val="58112E7E"/>
    <w:rsid w:val="58133665"/>
    <w:rsid w:val="58163104"/>
    <w:rsid w:val="581B1F4E"/>
    <w:rsid w:val="58226E39"/>
    <w:rsid w:val="58240E03"/>
    <w:rsid w:val="58254B7B"/>
    <w:rsid w:val="58256929"/>
    <w:rsid w:val="5829466B"/>
    <w:rsid w:val="583067EF"/>
    <w:rsid w:val="58351494"/>
    <w:rsid w:val="58366D88"/>
    <w:rsid w:val="583D1EC5"/>
    <w:rsid w:val="58443253"/>
    <w:rsid w:val="58450D79"/>
    <w:rsid w:val="58474AF1"/>
    <w:rsid w:val="5847689F"/>
    <w:rsid w:val="58482C7F"/>
    <w:rsid w:val="584C5771"/>
    <w:rsid w:val="584C64D4"/>
    <w:rsid w:val="584D3288"/>
    <w:rsid w:val="584D4CEE"/>
    <w:rsid w:val="584E40D2"/>
    <w:rsid w:val="58535244"/>
    <w:rsid w:val="5855720E"/>
    <w:rsid w:val="58565659"/>
    <w:rsid w:val="58573625"/>
    <w:rsid w:val="58586CFE"/>
    <w:rsid w:val="585B5A65"/>
    <w:rsid w:val="585D2567"/>
    <w:rsid w:val="585F3F16"/>
    <w:rsid w:val="58670CF0"/>
    <w:rsid w:val="586A6A88"/>
    <w:rsid w:val="586C27AA"/>
    <w:rsid w:val="586C6306"/>
    <w:rsid w:val="58704048"/>
    <w:rsid w:val="58710E2D"/>
    <w:rsid w:val="58782EFD"/>
    <w:rsid w:val="587A0A23"/>
    <w:rsid w:val="58842427"/>
    <w:rsid w:val="588440C7"/>
    <w:rsid w:val="588850A8"/>
    <w:rsid w:val="588C69A8"/>
    <w:rsid w:val="58920462"/>
    <w:rsid w:val="5895585D"/>
    <w:rsid w:val="589715D5"/>
    <w:rsid w:val="589A2E73"/>
    <w:rsid w:val="589C308F"/>
    <w:rsid w:val="58A77AFF"/>
    <w:rsid w:val="58A837E2"/>
    <w:rsid w:val="58A957AC"/>
    <w:rsid w:val="58AB5080"/>
    <w:rsid w:val="58AB6E2E"/>
    <w:rsid w:val="58AC2BA6"/>
    <w:rsid w:val="58AD0DF8"/>
    <w:rsid w:val="58B02697"/>
    <w:rsid w:val="58B32187"/>
    <w:rsid w:val="58B702DB"/>
    <w:rsid w:val="58BA31BA"/>
    <w:rsid w:val="58BC07AC"/>
    <w:rsid w:val="58BC728D"/>
    <w:rsid w:val="58BE6386"/>
    <w:rsid w:val="58C104BC"/>
    <w:rsid w:val="58C425E6"/>
    <w:rsid w:val="58C61EBA"/>
    <w:rsid w:val="58C77D96"/>
    <w:rsid w:val="58C919AA"/>
    <w:rsid w:val="58C93758"/>
    <w:rsid w:val="58C93772"/>
    <w:rsid w:val="58CA7BFC"/>
    <w:rsid w:val="58CE6FC1"/>
    <w:rsid w:val="58D07DF4"/>
    <w:rsid w:val="58D2260D"/>
    <w:rsid w:val="58D267BC"/>
    <w:rsid w:val="58D26AB1"/>
    <w:rsid w:val="58D97E3F"/>
    <w:rsid w:val="58DE7204"/>
    <w:rsid w:val="58E10AA2"/>
    <w:rsid w:val="58E32A6C"/>
    <w:rsid w:val="58E40592"/>
    <w:rsid w:val="58EA204C"/>
    <w:rsid w:val="58ED38EB"/>
    <w:rsid w:val="58F447DB"/>
    <w:rsid w:val="58FB7741"/>
    <w:rsid w:val="58FD5D9D"/>
    <w:rsid w:val="59034B0E"/>
    <w:rsid w:val="59060509"/>
    <w:rsid w:val="590617C1"/>
    <w:rsid w:val="590649AC"/>
    <w:rsid w:val="59066C26"/>
    <w:rsid w:val="590824D3"/>
    <w:rsid w:val="590B1FC3"/>
    <w:rsid w:val="590B22B6"/>
    <w:rsid w:val="590B3D71"/>
    <w:rsid w:val="590D7AE9"/>
    <w:rsid w:val="59102302"/>
    <w:rsid w:val="59103135"/>
    <w:rsid w:val="591075D9"/>
    <w:rsid w:val="59123351"/>
    <w:rsid w:val="59140E77"/>
    <w:rsid w:val="59162E41"/>
    <w:rsid w:val="591A7294"/>
    <w:rsid w:val="591B63F2"/>
    <w:rsid w:val="591F781C"/>
    <w:rsid w:val="59213594"/>
    <w:rsid w:val="59221701"/>
    <w:rsid w:val="592D1D9B"/>
    <w:rsid w:val="592D1F39"/>
    <w:rsid w:val="593C217C"/>
    <w:rsid w:val="593E58F0"/>
    <w:rsid w:val="593F3A1A"/>
    <w:rsid w:val="594159E5"/>
    <w:rsid w:val="59464DA9"/>
    <w:rsid w:val="5947124D"/>
    <w:rsid w:val="59484FC5"/>
    <w:rsid w:val="594D4389"/>
    <w:rsid w:val="594E3CA4"/>
    <w:rsid w:val="5955323E"/>
    <w:rsid w:val="595C45CC"/>
    <w:rsid w:val="596733BB"/>
    <w:rsid w:val="59680B5D"/>
    <w:rsid w:val="596A4F3B"/>
    <w:rsid w:val="596D67DA"/>
    <w:rsid w:val="596F26C8"/>
    <w:rsid w:val="596F4300"/>
    <w:rsid w:val="596F510D"/>
    <w:rsid w:val="5971703E"/>
    <w:rsid w:val="59723DF0"/>
    <w:rsid w:val="59725B9E"/>
    <w:rsid w:val="597436C4"/>
    <w:rsid w:val="597631FE"/>
    <w:rsid w:val="5976568E"/>
    <w:rsid w:val="59766ED3"/>
    <w:rsid w:val="59777658"/>
    <w:rsid w:val="597D18F3"/>
    <w:rsid w:val="597D4C6F"/>
    <w:rsid w:val="597E4543"/>
    <w:rsid w:val="5980475F"/>
    <w:rsid w:val="59822285"/>
    <w:rsid w:val="59843637"/>
    <w:rsid w:val="59851D75"/>
    <w:rsid w:val="59861649"/>
    <w:rsid w:val="59883613"/>
    <w:rsid w:val="598B6C60"/>
    <w:rsid w:val="5991500E"/>
    <w:rsid w:val="599B50F5"/>
    <w:rsid w:val="599C2C1B"/>
    <w:rsid w:val="599F37FD"/>
    <w:rsid w:val="59A321FB"/>
    <w:rsid w:val="59A448C6"/>
    <w:rsid w:val="59A55F73"/>
    <w:rsid w:val="59A65848"/>
    <w:rsid w:val="59A73A9A"/>
    <w:rsid w:val="59AA17DC"/>
    <w:rsid w:val="59AD307A"/>
    <w:rsid w:val="59B30690"/>
    <w:rsid w:val="59B47F65"/>
    <w:rsid w:val="59B57CBC"/>
    <w:rsid w:val="59B9557B"/>
    <w:rsid w:val="59BC4885"/>
    <w:rsid w:val="59BD660D"/>
    <w:rsid w:val="59BF67D8"/>
    <w:rsid w:val="59BF753B"/>
    <w:rsid w:val="59C14B78"/>
    <w:rsid w:val="59C21551"/>
    <w:rsid w:val="59C77C52"/>
    <w:rsid w:val="59CD0E34"/>
    <w:rsid w:val="59CF2FF0"/>
    <w:rsid w:val="59CF4D9E"/>
    <w:rsid w:val="59D2663D"/>
    <w:rsid w:val="59D93E6F"/>
    <w:rsid w:val="59DB1995"/>
    <w:rsid w:val="59DB7BE7"/>
    <w:rsid w:val="59DE1886"/>
    <w:rsid w:val="59E00D5A"/>
    <w:rsid w:val="59E06FAB"/>
    <w:rsid w:val="59E208A7"/>
    <w:rsid w:val="59E35ED0"/>
    <w:rsid w:val="59E940B2"/>
    <w:rsid w:val="59EF5395"/>
    <w:rsid w:val="59EF5441"/>
    <w:rsid w:val="59EF71EF"/>
    <w:rsid w:val="59F1740B"/>
    <w:rsid w:val="59F20A8D"/>
    <w:rsid w:val="59F3611C"/>
    <w:rsid w:val="59F36CDF"/>
    <w:rsid w:val="59F44805"/>
    <w:rsid w:val="59F51775"/>
    <w:rsid w:val="59F519C7"/>
    <w:rsid w:val="59F91E1B"/>
    <w:rsid w:val="59FA28A1"/>
    <w:rsid w:val="59FC3C55"/>
    <w:rsid w:val="5A0013FC"/>
    <w:rsid w:val="5A0031AA"/>
    <w:rsid w:val="5A04713E"/>
    <w:rsid w:val="5A0A4028"/>
    <w:rsid w:val="5A0E1D6B"/>
    <w:rsid w:val="5A0F163F"/>
    <w:rsid w:val="5A1350B0"/>
    <w:rsid w:val="5A1530F9"/>
    <w:rsid w:val="5A1D0200"/>
    <w:rsid w:val="5A1D1FAE"/>
    <w:rsid w:val="5A250854"/>
    <w:rsid w:val="5A2570B4"/>
    <w:rsid w:val="5A2A46CB"/>
    <w:rsid w:val="5A344EA3"/>
    <w:rsid w:val="5A3572F7"/>
    <w:rsid w:val="5A3617D9"/>
    <w:rsid w:val="5A3665E1"/>
    <w:rsid w:val="5A366BCB"/>
    <w:rsid w:val="5A380B96"/>
    <w:rsid w:val="5A382944"/>
    <w:rsid w:val="5A3B0686"/>
    <w:rsid w:val="5A4412E8"/>
    <w:rsid w:val="5A4532B2"/>
    <w:rsid w:val="5A461504"/>
    <w:rsid w:val="5A47527D"/>
    <w:rsid w:val="5A47702B"/>
    <w:rsid w:val="5A4B6B1B"/>
    <w:rsid w:val="5A4D76B3"/>
    <w:rsid w:val="5A4F7C8D"/>
    <w:rsid w:val="5A513A05"/>
    <w:rsid w:val="5A5359CF"/>
    <w:rsid w:val="5A5654C0"/>
    <w:rsid w:val="5A601E9A"/>
    <w:rsid w:val="5A643739"/>
    <w:rsid w:val="5A647BDD"/>
    <w:rsid w:val="5A6776CD"/>
    <w:rsid w:val="5A6B1B59"/>
    <w:rsid w:val="5A6B2D19"/>
    <w:rsid w:val="5A701946"/>
    <w:rsid w:val="5A7046F8"/>
    <w:rsid w:val="5A715E71"/>
    <w:rsid w:val="5A7B0A82"/>
    <w:rsid w:val="5A7C4F26"/>
    <w:rsid w:val="5A845CF1"/>
    <w:rsid w:val="5A864198"/>
    <w:rsid w:val="5A8913F1"/>
    <w:rsid w:val="5A89319F"/>
    <w:rsid w:val="5A8935B7"/>
    <w:rsid w:val="5A8A2017"/>
    <w:rsid w:val="5A8D7133"/>
    <w:rsid w:val="5A902780"/>
    <w:rsid w:val="5A913507"/>
    <w:rsid w:val="5A99726A"/>
    <w:rsid w:val="5A9A53AC"/>
    <w:rsid w:val="5A9D2A59"/>
    <w:rsid w:val="5A9F6E67"/>
    <w:rsid w:val="5AA1498D"/>
    <w:rsid w:val="5AA24261"/>
    <w:rsid w:val="5AAB1367"/>
    <w:rsid w:val="5AAC584A"/>
    <w:rsid w:val="5AAD1584"/>
    <w:rsid w:val="5AAF5D14"/>
    <w:rsid w:val="5ABA5A4E"/>
    <w:rsid w:val="5AC10B8B"/>
    <w:rsid w:val="5AC60A34"/>
    <w:rsid w:val="5AC62645"/>
    <w:rsid w:val="5ACB37B8"/>
    <w:rsid w:val="5ACE14FA"/>
    <w:rsid w:val="5ACF1675"/>
    <w:rsid w:val="5AD1390C"/>
    <w:rsid w:val="5AD240D0"/>
    <w:rsid w:val="5AD3266C"/>
    <w:rsid w:val="5AD54636"/>
    <w:rsid w:val="5AD73617"/>
    <w:rsid w:val="5AD92379"/>
    <w:rsid w:val="5ADB4394"/>
    <w:rsid w:val="5ADF54B5"/>
    <w:rsid w:val="5AE14981"/>
    <w:rsid w:val="5AE34FA5"/>
    <w:rsid w:val="5AE445AB"/>
    <w:rsid w:val="5AE57473"/>
    <w:rsid w:val="5AE825BC"/>
    <w:rsid w:val="5AED1980"/>
    <w:rsid w:val="5AEF41DC"/>
    <w:rsid w:val="5AF008CF"/>
    <w:rsid w:val="5AF012AB"/>
    <w:rsid w:val="5AF07244"/>
    <w:rsid w:val="5AF078D1"/>
    <w:rsid w:val="5AF251E8"/>
    <w:rsid w:val="5AF365A6"/>
    <w:rsid w:val="5AF56A87"/>
    <w:rsid w:val="5AF7469F"/>
    <w:rsid w:val="5AFB7C61"/>
    <w:rsid w:val="5AFD15E4"/>
    <w:rsid w:val="5AFF16B3"/>
    <w:rsid w:val="5AFF7905"/>
    <w:rsid w:val="5B04316E"/>
    <w:rsid w:val="5B060C94"/>
    <w:rsid w:val="5B0867BA"/>
    <w:rsid w:val="5B0D3DD0"/>
    <w:rsid w:val="5B0E4CE8"/>
    <w:rsid w:val="5B150ED7"/>
    <w:rsid w:val="5B15555B"/>
    <w:rsid w:val="5B16743A"/>
    <w:rsid w:val="5B174656"/>
    <w:rsid w:val="5B18349B"/>
    <w:rsid w:val="5B1E5FDD"/>
    <w:rsid w:val="5B1F1D55"/>
    <w:rsid w:val="5B2058CD"/>
    <w:rsid w:val="5B21215C"/>
    <w:rsid w:val="5B231356"/>
    <w:rsid w:val="5B231846"/>
    <w:rsid w:val="5B2348F0"/>
    <w:rsid w:val="5B2863F4"/>
    <w:rsid w:val="5B295620"/>
    <w:rsid w:val="5B2A3D99"/>
    <w:rsid w:val="5B2A416F"/>
    <w:rsid w:val="5B2D6220"/>
    <w:rsid w:val="5B303F63"/>
    <w:rsid w:val="5B305D11"/>
    <w:rsid w:val="5B33135D"/>
    <w:rsid w:val="5B340130"/>
    <w:rsid w:val="5B340651"/>
    <w:rsid w:val="5B3475AF"/>
    <w:rsid w:val="5B37709F"/>
    <w:rsid w:val="5B394BC5"/>
    <w:rsid w:val="5B3D3F8A"/>
    <w:rsid w:val="5B413A7A"/>
    <w:rsid w:val="5B427303"/>
    <w:rsid w:val="5B44356A"/>
    <w:rsid w:val="5B5C08B4"/>
    <w:rsid w:val="5B5C6B06"/>
    <w:rsid w:val="5B5F2152"/>
    <w:rsid w:val="5B613BBD"/>
    <w:rsid w:val="5B61411C"/>
    <w:rsid w:val="5B637E94"/>
    <w:rsid w:val="5B687259"/>
    <w:rsid w:val="5B6D0D13"/>
    <w:rsid w:val="5B6D2AC1"/>
    <w:rsid w:val="5B745BFD"/>
    <w:rsid w:val="5B761E9C"/>
    <w:rsid w:val="5B7756EE"/>
    <w:rsid w:val="5B7857A8"/>
    <w:rsid w:val="5B7B3430"/>
    <w:rsid w:val="5B7C2D04"/>
    <w:rsid w:val="5B7C71A8"/>
    <w:rsid w:val="5B8322E4"/>
    <w:rsid w:val="5B8A5421"/>
    <w:rsid w:val="5B8A78EA"/>
    <w:rsid w:val="5B8C2D50"/>
    <w:rsid w:val="5B8D4F11"/>
    <w:rsid w:val="5B8D6CBF"/>
    <w:rsid w:val="5B8E56FB"/>
    <w:rsid w:val="5B915EEE"/>
    <w:rsid w:val="5B9242D5"/>
    <w:rsid w:val="5B9444F1"/>
    <w:rsid w:val="5B962018"/>
    <w:rsid w:val="5B981FE8"/>
    <w:rsid w:val="5B9B13DC"/>
    <w:rsid w:val="5BA04C44"/>
    <w:rsid w:val="5BA364E3"/>
    <w:rsid w:val="5BAC2376"/>
    <w:rsid w:val="5BAD7361"/>
    <w:rsid w:val="5BB436C1"/>
    <w:rsid w:val="5BBD4F0B"/>
    <w:rsid w:val="5BBE331C"/>
    <w:rsid w:val="5BBF7D40"/>
    <w:rsid w:val="5BC07095"/>
    <w:rsid w:val="5BC70423"/>
    <w:rsid w:val="5BC92803"/>
    <w:rsid w:val="5BD33445"/>
    <w:rsid w:val="5BDD5DA4"/>
    <w:rsid w:val="5BDE39BF"/>
    <w:rsid w:val="5BE2525D"/>
    <w:rsid w:val="5BEA7272"/>
    <w:rsid w:val="5BEB0156"/>
    <w:rsid w:val="5BFA246A"/>
    <w:rsid w:val="5BFB1E7B"/>
    <w:rsid w:val="5C0056E3"/>
    <w:rsid w:val="5C073450"/>
    <w:rsid w:val="5C084598"/>
    <w:rsid w:val="5C0A0310"/>
    <w:rsid w:val="5C0E0CC2"/>
    <w:rsid w:val="5C0F3B78"/>
    <w:rsid w:val="5C1A24BE"/>
    <w:rsid w:val="5C1D6295"/>
    <w:rsid w:val="5C1E200D"/>
    <w:rsid w:val="5C217E2B"/>
    <w:rsid w:val="5C2238AB"/>
    <w:rsid w:val="5C292E8C"/>
    <w:rsid w:val="5C381321"/>
    <w:rsid w:val="5C384E7D"/>
    <w:rsid w:val="5C392AD6"/>
    <w:rsid w:val="5C3D6937"/>
    <w:rsid w:val="5C430981"/>
    <w:rsid w:val="5C473312"/>
    <w:rsid w:val="5C4750C0"/>
    <w:rsid w:val="5C4837B2"/>
    <w:rsid w:val="5C4A4BB0"/>
    <w:rsid w:val="5C4B6CC8"/>
    <w:rsid w:val="5C4C26D6"/>
    <w:rsid w:val="5C4E0C1B"/>
    <w:rsid w:val="5C4E28F2"/>
    <w:rsid w:val="5C58551F"/>
    <w:rsid w:val="5C5B500F"/>
    <w:rsid w:val="5C5B6DBD"/>
    <w:rsid w:val="5C5D2B35"/>
    <w:rsid w:val="5C643EC4"/>
    <w:rsid w:val="5C673B45"/>
    <w:rsid w:val="5C693288"/>
    <w:rsid w:val="5C69772C"/>
    <w:rsid w:val="5C6A5252"/>
    <w:rsid w:val="5C6B60E0"/>
    <w:rsid w:val="5C6E089F"/>
    <w:rsid w:val="5C706FAD"/>
    <w:rsid w:val="5C725121"/>
    <w:rsid w:val="5C735EB5"/>
    <w:rsid w:val="5C761E49"/>
    <w:rsid w:val="5C7A36E7"/>
    <w:rsid w:val="5C7B276E"/>
    <w:rsid w:val="5C8207EE"/>
    <w:rsid w:val="5C8C51C9"/>
    <w:rsid w:val="5C8C6F77"/>
    <w:rsid w:val="5C930305"/>
    <w:rsid w:val="5C9347A9"/>
    <w:rsid w:val="5C966047"/>
    <w:rsid w:val="5C9A1694"/>
    <w:rsid w:val="5CA02A22"/>
    <w:rsid w:val="5CA4759E"/>
    <w:rsid w:val="5CAA3CE0"/>
    <w:rsid w:val="5CAC13C7"/>
    <w:rsid w:val="5CB00D05"/>
    <w:rsid w:val="5CB00EB7"/>
    <w:rsid w:val="5CB5471F"/>
    <w:rsid w:val="5CB87D6C"/>
    <w:rsid w:val="5CBC5AAE"/>
    <w:rsid w:val="5CBD1826"/>
    <w:rsid w:val="5CC10AD7"/>
    <w:rsid w:val="5CC83DC7"/>
    <w:rsid w:val="5CC9164A"/>
    <w:rsid w:val="5CCE758F"/>
    <w:rsid w:val="5CD01559"/>
    <w:rsid w:val="5CD665A4"/>
    <w:rsid w:val="5CDC4CC6"/>
    <w:rsid w:val="5CDC6150"/>
    <w:rsid w:val="5CE04865"/>
    <w:rsid w:val="5CE605C8"/>
    <w:rsid w:val="5CE648D9"/>
    <w:rsid w:val="5CE70651"/>
    <w:rsid w:val="5CEA3F7C"/>
    <w:rsid w:val="5CEC55E4"/>
    <w:rsid w:val="5CEE19DF"/>
    <w:rsid w:val="5CF35248"/>
    <w:rsid w:val="5CF52D6E"/>
    <w:rsid w:val="5CF86C73"/>
    <w:rsid w:val="5CFA65D6"/>
    <w:rsid w:val="5CFE649F"/>
    <w:rsid w:val="5D017965"/>
    <w:rsid w:val="5D064F7B"/>
    <w:rsid w:val="5D07484F"/>
    <w:rsid w:val="5D0D455B"/>
    <w:rsid w:val="5D0E3E30"/>
    <w:rsid w:val="5D150CA6"/>
    <w:rsid w:val="5D1C3105"/>
    <w:rsid w:val="5D276544"/>
    <w:rsid w:val="5D2D2508"/>
    <w:rsid w:val="5D310D37"/>
    <w:rsid w:val="5D323FC2"/>
    <w:rsid w:val="5D385794"/>
    <w:rsid w:val="5D3B7AC8"/>
    <w:rsid w:val="5D3C4DB4"/>
    <w:rsid w:val="5D3F66DF"/>
    <w:rsid w:val="5D4930BA"/>
    <w:rsid w:val="5D4B0BE0"/>
    <w:rsid w:val="5D4D2BAA"/>
    <w:rsid w:val="5D5850AB"/>
    <w:rsid w:val="5D5E4DB7"/>
    <w:rsid w:val="5D656145"/>
    <w:rsid w:val="5D6B74D4"/>
    <w:rsid w:val="5D6F0D72"/>
    <w:rsid w:val="5D74605B"/>
    <w:rsid w:val="5D74628C"/>
    <w:rsid w:val="5D746389"/>
    <w:rsid w:val="5D7739CD"/>
    <w:rsid w:val="5D7874FB"/>
    <w:rsid w:val="5D79399F"/>
    <w:rsid w:val="5D79574D"/>
    <w:rsid w:val="5D7E2D63"/>
    <w:rsid w:val="5D810FF7"/>
    <w:rsid w:val="5D8205DF"/>
    <w:rsid w:val="5D850596"/>
    <w:rsid w:val="5D8660BC"/>
    <w:rsid w:val="5D891708"/>
    <w:rsid w:val="5D8B31E3"/>
    <w:rsid w:val="5D8F5802"/>
    <w:rsid w:val="5D8F6D1E"/>
    <w:rsid w:val="5D900CE9"/>
    <w:rsid w:val="5D915A0E"/>
    <w:rsid w:val="5D92680F"/>
    <w:rsid w:val="5D972077"/>
    <w:rsid w:val="5D9B663A"/>
    <w:rsid w:val="5DA56542"/>
    <w:rsid w:val="5DA64068"/>
    <w:rsid w:val="5DA778E4"/>
    <w:rsid w:val="5DAB78D0"/>
    <w:rsid w:val="5DAC0C7A"/>
    <w:rsid w:val="5DAF116F"/>
    <w:rsid w:val="5DB03139"/>
    <w:rsid w:val="5DB449D7"/>
    <w:rsid w:val="5DB53927"/>
    <w:rsid w:val="5DB9327E"/>
    <w:rsid w:val="5DBC388C"/>
    <w:rsid w:val="5DC310BE"/>
    <w:rsid w:val="5DC42740"/>
    <w:rsid w:val="5DC472D4"/>
    <w:rsid w:val="5DCA7D57"/>
    <w:rsid w:val="5DCB3ACF"/>
    <w:rsid w:val="5DD047C5"/>
    <w:rsid w:val="5DD04BD2"/>
    <w:rsid w:val="5DD230AF"/>
    <w:rsid w:val="5DD24E5D"/>
    <w:rsid w:val="5DD40BD5"/>
    <w:rsid w:val="5DDA5439"/>
    <w:rsid w:val="5DDE1552"/>
    <w:rsid w:val="5DE030A9"/>
    <w:rsid w:val="5DE132F2"/>
    <w:rsid w:val="5DE30E18"/>
    <w:rsid w:val="5DE43D51"/>
    <w:rsid w:val="5DED7EE9"/>
    <w:rsid w:val="5DFB2606"/>
    <w:rsid w:val="5DFD6560"/>
    <w:rsid w:val="5E007C1C"/>
    <w:rsid w:val="5E0303E5"/>
    <w:rsid w:val="5E03770C"/>
    <w:rsid w:val="5E04332E"/>
    <w:rsid w:val="5E064172"/>
    <w:rsid w:val="5E091947"/>
    <w:rsid w:val="5E127950"/>
    <w:rsid w:val="5E1611EE"/>
    <w:rsid w:val="5E176D14"/>
    <w:rsid w:val="5E192A8C"/>
    <w:rsid w:val="5E1B2CA8"/>
    <w:rsid w:val="5E1B6804"/>
    <w:rsid w:val="5E1D124D"/>
    <w:rsid w:val="5E20206C"/>
    <w:rsid w:val="5E2077EC"/>
    <w:rsid w:val="5E211941"/>
    <w:rsid w:val="5E225DE5"/>
    <w:rsid w:val="5E27164D"/>
    <w:rsid w:val="5E2A4C99"/>
    <w:rsid w:val="5E2C0A11"/>
    <w:rsid w:val="5E2E3482"/>
    <w:rsid w:val="5E2E58FB"/>
    <w:rsid w:val="5E2F3662"/>
    <w:rsid w:val="5E3133D3"/>
    <w:rsid w:val="5E315F82"/>
    <w:rsid w:val="5E316028"/>
    <w:rsid w:val="5E345B18"/>
    <w:rsid w:val="5E355D93"/>
    <w:rsid w:val="5E39312E"/>
    <w:rsid w:val="5E3C677A"/>
    <w:rsid w:val="5E413D91"/>
    <w:rsid w:val="5E4A70E9"/>
    <w:rsid w:val="5E4B23E2"/>
    <w:rsid w:val="5E4D0988"/>
    <w:rsid w:val="5E4F4700"/>
    <w:rsid w:val="5E51429A"/>
    <w:rsid w:val="5E5B4E53"/>
    <w:rsid w:val="5E5D50D2"/>
    <w:rsid w:val="5E604B5F"/>
    <w:rsid w:val="5E6463FD"/>
    <w:rsid w:val="5E692E96"/>
    <w:rsid w:val="5E6A153A"/>
    <w:rsid w:val="5E6C3504"/>
    <w:rsid w:val="5E6E2DD8"/>
    <w:rsid w:val="5E736640"/>
    <w:rsid w:val="5E744166"/>
    <w:rsid w:val="5E766130"/>
    <w:rsid w:val="5E783C56"/>
    <w:rsid w:val="5E785D0C"/>
    <w:rsid w:val="5E7B7098"/>
    <w:rsid w:val="5E7E0E34"/>
    <w:rsid w:val="5E7F3237"/>
    <w:rsid w:val="5E800D5D"/>
    <w:rsid w:val="5E802B0B"/>
    <w:rsid w:val="5E836CBA"/>
    <w:rsid w:val="5E856373"/>
    <w:rsid w:val="5E873E9A"/>
    <w:rsid w:val="5E895E64"/>
    <w:rsid w:val="5E8C7702"/>
    <w:rsid w:val="5E8E5228"/>
    <w:rsid w:val="5E8E6FD6"/>
    <w:rsid w:val="5E934044"/>
    <w:rsid w:val="5E937ADD"/>
    <w:rsid w:val="5E9D3AC8"/>
    <w:rsid w:val="5E9F11E3"/>
    <w:rsid w:val="5EA0677E"/>
    <w:rsid w:val="5EA762EA"/>
    <w:rsid w:val="5EA902B4"/>
    <w:rsid w:val="5EAB6C27"/>
    <w:rsid w:val="5EAE1426"/>
    <w:rsid w:val="5EAE58CA"/>
    <w:rsid w:val="5EAE6EA2"/>
    <w:rsid w:val="5EB047E0"/>
    <w:rsid w:val="5EB6652D"/>
    <w:rsid w:val="5EBA601D"/>
    <w:rsid w:val="5EBB1D95"/>
    <w:rsid w:val="5EBB2DEA"/>
    <w:rsid w:val="5EBB3B43"/>
    <w:rsid w:val="5EC37085"/>
    <w:rsid w:val="5EC549C2"/>
    <w:rsid w:val="5EC56770"/>
    <w:rsid w:val="5EC93EDE"/>
    <w:rsid w:val="5ECF75EF"/>
    <w:rsid w:val="5ED03A93"/>
    <w:rsid w:val="5ED05841"/>
    <w:rsid w:val="5ED13367"/>
    <w:rsid w:val="5ED15115"/>
    <w:rsid w:val="5ED510A9"/>
    <w:rsid w:val="5ED66BCF"/>
    <w:rsid w:val="5EE148FA"/>
    <w:rsid w:val="5EE17A4E"/>
    <w:rsid w:val="5EE25574"/>
    <w:rsid w:val="5EE368DD"/>
    <w:rsid w:val="5EE370C8"/>
    <w:rsid w:val="5EE44E48"/>
    <w:rsid w:val="5EE72758"/>
    <w:rsid w:val="5EEB267A"/>
    <w:rsid w:val="5EEC63F2"/>
    <w:rsid w:val="5EEE5CC7"/>
    <w:rsid w:val="5EF86B45"/>
    <w:rsid w:val="5EFA0523"/>
    <w:rsid w:val="5EFD0600"/>
    <w:rsid w:val="5F011E9E"/>
    <w:rsid w:val="5F0454EA"/>
    <w:rsid w:val="5F08322C"/>
    <w:rsid w:val="5F096FA4"/>
    <w:rsid w:val="5F100333"/>
    <w:rsid w:val="5F105C3D"/>
    <w:rsid w:val="5F196760"/>
    <w:rsid w:val="5F1C0A86"/>
    <w:rsid w:val="5F1C6CD8"/>
    <w:rsid w:val="5F1D47FE"/>
    <w:rsid w:val="5F1F2324"/>
    <w:rsid w:val="5F2008E0"/>
    <w:rsid w:val="5F230066"/>
    <w:rsid w:val="5F295B30"/>
    <w:rsid w:val="5F296CFF"/>
    <w:rsid w:val="5F2D3AFE"/>
    <w:rsid w:val="5F2E484C"/>
    <w:rsid w:val="5F304531"/>
    <w:rsid w:val="5F3131CD"/>
    <w:rsid w:val="5F3202A9"/>
    <w:rsid w:val="5F322812"/>
    <w:rsid w:val="5F335DCF"/>
    <w:rsid w:val="5F3758C0"/>
    <w:rsid w:val="5F3A53B0"/>
    <w:rsid w:val="5F3F29C6"/>
    <w:rsid w:val="5F42509B"/>
    <w:rsid w:val="5F427DC1"/>
    <w:rsid w:val="5F443B39"/>
    <w:rsid w:val="5F4C0C3F"/>
    <w:rsid w:val="5F4F0E5B"/>
    <w:rsid w:val="5F507610"/>
    <w:rsid w:val="5F5521EA"/>
    <w:rsid w:val="5F553F98"/>
    <w:rsid w:val="5F585836"/>
    <w:rsid w:val="5F5A15AE"/>
    <w:rsid w:val="5F5A6691"/>
    <w:rsid w:val="5F630463"/>
    <w:rsid w:val="5F6661A5"/>
    <w:rsid w:val="5F6830DC"/>
    <w:rsid w:val="5F6B7317"/>
    <w:rsid w:val="5F700DD2"/>
    <w:rsid w:val="5F720D05"/>
    <w:rsid w:val="5F724B4A"/>
    <w:rsid w:val="5F7E34EF"/>
    <w:rsid w:val="5F813C55"/>
    <w:rsid w:val="5F8623A3"/>
    <w:rsid w:val="5F880A83"/>
    <w:rsid w:val="5F881C77"/>
    <w:rsid w:val="5F8B6CA4"/>
    <w:rsid w:val="5F8E3006"/>
    <w:rsid w:val="5F8F52CB"/>
    <w:rsid w:val="5F944E8A"/>
    <w:rsid w:val="5F953183"/>
    <w:rsid w:val="5F9E5AEE"/>
    <w:rsid w:val="5F9E76ED"/>
    <w:rsid w:val="5FA016B7"/>
    <w:rsid w:val="5FA41DAE"/>
    <w:rsid w:val="5FA42829"/>
    <w:rsid w:val="5FA840C8"/>
    <w:rsid w:val="5FA97E40"/>
    <w:rsid w:val="5FAA1A62"/>
    <w:rsid w:val="5FAD3EA6"/>
    <w:rsid w:val="5FAE4872"/>
    <w:rsid w:val="5FAF541F"/>
    <w:rsid w:val="5FB711E9"/>
    <w:rsid w:val="5FBA3DFB"/>
    <w:rsid w:val="5FBB4DA3"/>
    <w:rsid w:val="5FC1162D"/>
    <w:rsid w:val="5FC5111D"/>
    <w:rsid w:val="5FC71BCD"/>
    <w:rsid w:val="5FC8476A"/>
    <w:rsid w:val="5FCB6008"/>
    <w:rsid w:val="5FCF5AF8"/>
    <w:rsid w:val="5FD27396"/>
    <w:rsid w:val="5FD41360"/>
    <w:rsid w:val="5FD819E0"/>
    <w:rsid w:val="5FDE21DF"/>
    <w:rsid w:val="5FDE3F8D"/>
    <w:rsid w:val="5FE231E0"/>
    <w:rsid w:val="5FE33B7B"/>
    <w:rsid w:val="5FEA46E0"/>
    <w:rsid w:val="5FEB2206"/>
    <w:rsid w:val="5FEC289C"/>
    <w:rsid w:val="5FED5F7E"/>
    <w:rsid w:val="5FF437B1"/>
    <w:rsid w:val="5FF4730D"/>
    <w:rsid w:val="5FF53085"/>
    <w:rsid w:val="5FF5332F"/>
    <w:rsid w:val="5FF94438"/>
    <w:rsid w:val="5FFC2665"/>
    <w:rsid w:val="60011A2A"/>
    <w:rsid w:val="6008663C"/>
    <w:rsid w:val="600B0A7A"/>
    <w:rsid w:val="600F05EB"/>
    <w:rsid w:val="60146320"/>
    <w:rsid w:val="60171F35"/>
    <w:rsid w:val="60182CB2"/>
    <w:rsid w:val="60194FC5"/>
    <w:rsid w:val="60196D73"/>
    <w:rsid w:val="601B0D3D"/>
    <w:rsid w:val="601B1B71"/>
    <w:rsid w:val="601C6864"/>
    <w:rsid w:val="60310561"/>
    <w:rsid w:val="603242D9"/>
    <w:rsid w:val="60343BAD"/>
    <w:rsid w:val="60396BAB"/>
    <w:rsid w:val="60397415"/>
    <w:rsid w:val="603E4A2C"/>
    <w:rsid w:val="603F2C27"/>
    <w:rsid w:val="604069F6"/>
    <w:rsid w:val="60427C5D"/>
    <w:rsid w:val="60430294"/>
    <w:rsid w:val="604527A6"/>
    <w:rsid w:val="604751DF"/>
    <w:rsid w:val="604C0EF7"/>
    <w:rsid w:val="6051475F"/>
    <w:rsid w:val="60534318"/>
    <w:rsid w:val="60542072"/>
    <w:rsid w:val="605424A1"/>
    <w:rsid w:val="60567FC7"/>
    <w:rsid w:val="605E5565"/>
    <w:rsid w:val="606049A2"/>
    <w:rsid w:val="60636240"/>
    <w:rsid w:val="6066482C"/>
    <w:rsid w:val="60712CDB"/>
    <w:rsid w:val="60771CEC"/>
    <w:rsid w:val="607829F8"/>
    <w:rsid w:val="607A0954"/>
    <w:rsid w:val="607B17DC"/>
    <w:rsid w:val="607E321C"/>
    <w:rsid w:val="60805044"/>
    <w:rsid w:val="60822B6A"/>
    <w:rsid w:val="6082700E"/>
    <w:rsid w:val="608B2917"/>
    <w:rsid w:val="608E3692"/>
    <w:rsid w:val="608E7761"/>
    <w:rsid w:val="608F34D9"/>
    <w:rsid w:val="60912DAE"/>
    <w:rsid w:val="609603C4"/>
    <w:rsid w:val="609F196E"/>
    <w:rsid w:val="60A056E7"/>
    <w:rsid w:val="60A2320D"/>
    <w:rsid w:val="60AA20C1"/>
    <w:rsid w:val="60AF592A"/>
    <w:rsid w:val="60B116A2"/>
    <w:rsid w:val="60B151FE"/>
    <w:rsid w:val="60B44CEE"/>
    <w:rsid w:val="60BD3BA3"/>
    <w:rsid w:val="60C413D5"/>
    <w:rsid w:val="60C427F5"/>
    <w:rsid w:val="60C546D6"/>
    <w:rsid w:val="60C56EFB"/>
    <w:rsid w:val="60C63929"/>
    <w:rsid w:val="60D64C64"/>
    <w:rsid w:val="60DB04CD"/>
    <w:rsid w:val="60DD4245"/>
    <w:rsid w:val="60DD5FF3"/>
    <w:rsid w:val="60E0197E"/>
    <w:rsid w:val="60E16353"/>
    <w:rsid w:val="60E43825"/>
    <w:rsid w:val="60EA6962"/>
    <w:rsid w:val="60EE0200"/>
    <w:rsid w:val="60EE6214"/>
    <w:rsid w:val="60EF6A3B"/>
    <w:rsid w:val="60F021CA"/>
    <w:rsid w:val="60F668A1"/>
    <w:rsid w:val="60FF240D"/>
    <w:rsid w:val="61001CE1"/>
    <w:rsid w:val="610213CF"/>
    <w:rsid w:val="61021EFD"/>
    <w:rsid w:val="6105554A"/>
    <w:rsid w:val="61112C38"/>
    <w:rsid w:val="611539DF"/>
    <w:rsid w:val="61167757"/>
    <w:rsid w:val="611759A9"/>
    <w:rsid w:val="611834CF"/>
    <w:rsid w:val="611A0EA3"/>
    <w:rsid w:val="611A0FF5"/>
    <w:rsid w:val="61241E74"/>
    <w:rsid w:val="61271964"/>
    <w:rsid w:val="612754C0"/>
    <w:rsid w:val="61281730"/>
    <w:rsid w:val="61300818"/>
    <w:rsid w:val="61330309"/>
    <w:rsid w:val="61355E2F"/>
    <w:rsid w:val="613D1187"/>
    <w:rsid w:val="61493688"/>
    <w:rsid w:val="614B11AE"/>
    <w:rsid w:val="614D0B2B"/>
    <w:rsid w:val="614E0C9F"/>
    <w:rsid w:val="614E6EF1"/>
    <w:rsid w:val="614F39EC"/>
    <w:rsid w:val="61536800"/>
    <w:rsid w:val="6155202D"/>
    <w:rsid w:val="61565DA5"/>
    <w:rsid w:val="615D5386"/>
    <w:rsid w:val="615E6BC8"/>
    <w:rsid w:val="616044A2"/>
    <w:rsid w:val="61671D60"/>
    <w:rsid w:val="61686BC3"/>
    <w:rsid w:val="616B7AA3"/>
    <w:rsid w:val="616C3E03"/>
    <w:rsid w:val="616D55C9"/>
    <w:rsid w:val="616E30EF"/>
    <w:rsid w:val="616F44C9"/>
    <w:rsid w:val="617050B9"/>
    <w:rsid w:val="617478C1"/>
    <w:rsid w:val="6175447D"/>
    <w:rsid w:val="617701F5"/>
    <w:rsid w:val="617866B8"/>
    <w:rsid w:val="617A1A94"/>
    <w:rsid w:val="617A7CE6"/>
    <w:rsid w:val="617E77D6"/>
    <w:rsid w:val="617F354E"/>
    <w:rsid w:val="61824E34"/>
    <w:rsid w:val="61826B9A"/>
    <w:rsid w:val="61860438"/>
    <w:rsid w:val="61882403"/>
    <w:rsid w:val="61891CD7"/>
    <w:rsid w:val="61897F29"/>
    <w:rsid w:val="6192502F"/>
    <w:rsid w:val="61932B55"/>
    <w:rsid w:val="61942BFF"/>
    <w:rsid w:val="619459BA"/>
    <w:rsid w:val="619743F4"/>
    <w:rsid w:val="619B7808"/>
    <w:rsid w:val="619C7C5C"/>
    <w:rsid w:val="619F599E"/>
    <w:rsid w:val="61A22D98"/>
    <w:rsid w:val="61A27381"/>
    <w:rsid w:val="61A30FEA"/>
    <w:rsid w:val="61A52B04"/>
    <w:rsid w:val="61A66D2D"/>
    <w:rsid w:val="61A67AA2"/>
    <w:rsid w:val="61A94127"/>
    <w:rsid w:val="61B431F8"/>
    <w:rsid w:val="61B50D1E"/>
    <w:rsid w:val="61BE5E24"/>
    <w:rsid w:val="61C022D5"/>
    <w:rsid w:val="61C24DE8"/>
    <w:rsid w:val="61C359D6"/>
    <w:rsid w:val="61C471B3"/>
    <w:rsid w:val="61C62F2B"/>
    <w:rsid w:val="61C80A51"/>
    <w:rsid w:val="61CA6B5B"/>
    <w:rsid w:val="61D373F6"/>
    <w:rsid w:val="61D54F1C"/>
    <w:rsid w:val="61D75138"/>
    <w:rsid w:val="61DC44FC"/>
    <w:rsid w:val="61DF5D9B"/>
    <w:rsid w:val="61E055B5"/>
    <w:rsid w:val="61E31E84"/>
    <w:rsid w:val="61E45946"/>
    <w:rsid w:val="61E643A1"/>
    <w:rsid w:val="61E7706B"/>
    <w:rsid w:val="61EB26C7"/>
    <w:rsid w:val="61ED6709"/>
    <w:rsid w:val="61F01D56"/>
    <w:rsid w:val="61F45CEA"/>
    <w:rsid w:val="61F555BE"/>
    <w:rsid w:val="61FC06FB"/>
    <w:rsid w:val="6200468F"/>
    <w:rsid w:val="6202723B"/>
    <w:rsid w:val="62065F65"/>
    <w:rsid w:val="6208709F"/>
    <w:rsid w:val="620B4DE2"/>
    <w:rsid w:val="620F48D2"/>
    <w:rsid w:val="62106C7C"/>
    <w:rsid w:val="62143C96"/>
    <w:rsid w:val="62175534"/>
    <w:rsid w:val="621912AD"/>
    <w:rsid w:val="62195750"/>
    <w:rsid w:val="621F43E9"/>
    <w:rsid w:val="6220088D"/>
    <w:rsid w:val="62285198"/>
    <w:rsid w:val="622A6484"/>
    <w:rsid w:val="622B0FE0"/>
    <w:rsid w:val="622B10BD"/>
    <w:rsid w:val="622E2F59"/>
    <w:rsid w:val="622F3C7D"/>
    <w:rsid w:val="62312A9A"/>
    <w:rsid w:val="62353C0D"/>
    <w:rsid w:val="62377985"/>
    <w:rsid w:val="623B56C7"/>
    <w:rsid w:val="623D4B40"/>
    <w:rsid w:val="623F0640"/>
    <w:rsid w:val="623F0BA1"/>
    <w:rsid w:val="62417EFE"/>
    <w:rsid w:val="62467BC8"/>
    <w:rsid w:val="624A069A"/>
    <w:rsid w:val="624A590A"/>
    <w:rsid w:val="624E2FF1"/>
    <w:rsid w:val="624F1172"/>
    <w:rsid w:val="625642AF"/>
    <w:rsid w:val="62590CC8"/>
    <w:rsid w:val="625B18C5"/>
    <w:rsid w:val="625C73EB"/>
    <w:rsid w:val="625E13B5"/>
    <w:rsid w:val="626003B8"/>
    <w:rsid w:val="62600C89"/>
    <w:rsid w:val="626369CC"/>
    <w:rsid w:val="626A7D5A"/>
    <w:rsid w:val="626B762E"/>
    <w:rsid w:val="626D15F8"/>
    <w:rsid w:val="626E3B17"/>
    <w:rsid w:val="626F35C2"/>
    <w:rsid w:val="626F5370"/>
    <w:rsid w:val="62791D4B"/>
    <w:rsid w:val="628030DA"/>
    <w:rsid w:val="62843025"/>
    <w:rsid w:val="62853336"/>
    <w:rsid w:val="62867EBF"/>
    <w:rsid w:val="628726BA"/>
    <w:rsid w:val="628870E6"/>
    <w:rsid w:val="628A5D32"/>
    <w:rsid w:val="628C1A7E"/>
    <w:rsid w:val="628D57F7"/>
    <w:rsid w:val="629341F9"/>
    <w:rsid w:val="62966DA1"/>
    <w:rsid w:val="629B43B7"/>
    <w:rsid w:val="62A3326C"/>
    <w:rsid w:val="62A55DE6"/>
    <w:rsid w:val="62A72D5C"/>
    <w:rsid w:val="62AC3ECF"/>
    <w:rsid w:val="62AF1C11"/>
    <w:rsid w:val="62AF39BF"/>
    <w:rsid w:val="62B31701"/>
    <w:rsid w:val="62B463B4"/>
    <w:rsid w:val="62B62F9F"/>
    <w:rsid w:val="62BB2364"/>
    <w:rsid w:val="62BB6808"/>
    <w:rsid w:val="62C423F5"/>
    <w:rsid w:val="62C51434"/>
    <w:rsid w:val="62CA25A7"/>
    <w:rsid w:val="62D81168"/>
    <w:rsid w:val="62D82F16"/>
    <w:rsid w:val="62DF24F6"/>
    <w:rsid w:val="62E278F0"/>
    <w:rsid w:val="62E80C7F"/>
    <w:rsid w:val="62EA49F7"/>
    <w:rsid w:val="62ED7408"/>
    <w:rsid w:val="62EF200D"/>
    <w:rsid w:val="62EF64B1"/>
    <w:rsid w:val="62F15D85"/>
    <w:rsid w:val="62F37D50"/>
    <w:rsid w:val="62FA10DE"/>
    <w:rsid w:val="62FC3808"/>
    <w:rsid w:val="63015C1A"/>
    <w:rsid w:val="63021D41"/>
    <w:rsid w:val="63036478"/>
    <w:rsid w:val="63043F0F"/>
    <w:rsid w:val="630C0E11"/>
    <w:rsid w:val="631101D6"/>
    <w:rsid w:val="63123525"/>
    <w:rsid w:val="631877B6"/>
    <w:rsid w:val="631A52DC"/>
    <w:rsid w:val="631B72A6"/>
    <w:rsid w:val="631F6D97"/>
    <w:rsid w:val="63224191"/>
    <w:rsid w:val="632443AD"/>
    <w:rsid w:val="63253C81"/>
    <w:rsid w:val="632717A7"/>
    <w:rsid w:val="632B0CD5"/>
    <w:rsid w:val="632E6FDA"/>
    <w:rsid w:val="63304B00"/>
    <w:rsid w:val="63316ACA"/>
    <w:rsid w:val="63352116"/>
    <w:rsid w:val="633635FA"/>
    <w:rsid w:val="633B5253"/>
    <w:rsid w:val="633D721D"/>
    <w:rsid w:val="633E4CE0"/>
    <w:rsid w:val="633F11E7"/>
    <w:rsid w:val="63402869"/>
    <w:rsid w:val="63424833"/>
    <w:rsid w:val="6349032F"/>
    <w:rsid w:val="634C7460"/>
    <w:rsid w:val="63500C1D"/>
    <w:rsid w:val="635527B8"/>
    <w:rsid w:val="635C4675"/>
    <w:rsid w:val="63626C83"/>
    <w:rsid w:val="63660521"/>
    <w:rsid w:val="63696264"/>
    <w:rsid w:val="636B5B38"/>
    <w:rsid w:val="636E387A"/>
    <w:rsid w:val="637013A0"/>
    <w:rsid w:val="637075F2"/>
    <w:rsid w:val="63736E25"/>
    <w:rsid w:val="637473B8"/>
    <w:rsid w:val="63750765"/>
    <w:rsid w:val="637B1AF3"/>
    <w:rsid w:val="637B3E8F"/>
    <w:rsid w:val="637F3391"/>
    <w:rsid w:val="638B442C"/>
    <w:rsid w:val="638C3D00"/>
    <w:rsid w:val="638D1F52"/>
    <w:rsid w:val="63901A42"/>
    <w:rsid w:val="639037F0"/>
    <w:rsid w:val="6390559E"/>
    <w:rsid w:val="6392476A"/>
    <w:rsid w:val="63927568"/>
    <w:rsid w:val="63936E3D"/>
    <w:rsid w:val="639826A5"/>
    <w:rsid w:val="639C2195"/>
    <w:rsid w:val="639F3A33"/>
    <w:rsid w:val="63A1155A"/>
    <w:rsid w:val="63A454EE"/>
    <w:rsid w:val="63A57A90"/>
    <w:rsid w:val="63A948B2"/>
    <w:rsid w:val="63AA3442"/>
    <w:rsid w:val="63B32720"/>
    <w:rsid w:val="63B43683"/>
    <w:rsid w:val="63BE65AF"/>
    <w:rsid w:val="63C17E4E"/>
    <w:rsid w:val="63C80FC1"/>
    <w:rsid w:val="63C90AB0"/>
    <w:rsid w:val="63C96D02"/>
    <w:rsid w:val="63CB65D6"/>
    <w:rsid w:val="63CC234F"/>
    <w:rsid w:val="63CE4319"/>
    <w:rsid w:val="63D23E09"/>
    <w:rsid w:val="63D53465"/>
    <w:rsid w:val="63D7141F"/>
    <w:rsid w:val="63D731CD"/>
    <w:rsid w:val="63DA2CBD"/>
    <w:rsid w:val="63DD455C"/>
    <w:rsid w:val="63E1229E"/>
    <w:rsid w:val="63E37DC4"/>
    <w:rsid w:val="63E43B3C"/>
    <w:rsid w:val="63E56E61"/>
    <w:rsid w:val="63E63410"/>
    <w:rsid w:val="63E678B4"/>
    <w:rsid w:val="63E91153"/>
    <w:rsid w:val="63EB0A27"/>
    <w:rsid w:val="63ED07DB"/>
    <w:rsid w:val="63ED479F"/>
    <w:rsid w:val="63F10007"/>
    <w:rsid w:val="63F26395"/>
    <w:rsid w:val="63F27C99"/>
    <w:rsid w:val="63FC0E86"/>
    <w:rsid w:val="63FF0976"/>
    <w:rsid w:val="6401649C"/>
    <w:rsid w:val="6408782B"/>
    <w:rsid w:val="64122457"/>
    <w:rsid w:val="64137F7D"/>
    <w:rsid w:val="6415549C"/>
    <w:rsid w:val="64191A38"/>
    <w:rsid w:val="641A755E"/>
    <w:rsid w:val="641C32D6"/>
    <w:rsid w:val="641E0DFC"/>
    <w:rsid w:val="64243F39"/>
    <w:rsid w:val="642503DD"/>
    <w:rsid w:val="642A1C4A"/>
    <w:rsid w:val="642D7291"/>
    <w:rsid w:val="642F3009"/>
    <w:rsid w:val="642F4DB7"/>
    <w:rsid w:val="643E4FFA"/>
    <w:rsid w:val="64414AEB"/>
    <w:rsid w:val="64422EE1"/>
    <w:rsid w:val="64440394"/>
    <w:rsid w:val="64446389"/>
    <w:rsid w:val="644665A5"/>
    <w:rsid w:val="64470E7C"/>
    <w:rsid w:val="6448464F"/>
    <w:rsid w:val="64487C27"/>
    <w:rsid w:val="644A1BF1"/>
    <w:rsid w:val="644B15DB"/>
    <w:rsid w:val="644C3BBB"/>
    <w:rsid w:val="644D5289"/>
    <w:rsid w:val="6454481E"/>
    <w:rsid w:val="64552344"/>
    <w:rsid w:val="64590086"/>
    <w:rsid w:val="64591E34"/>
    <w:rsid w:val="645A5BAC"/>
    <w:rsid w:val="645B0956"/>
    <w:rsid w:val="64602371"/>
    <w:rsid w:val="646031C3"/>
    <w:rsid w:val="64622E98"/>
    <w:rsid w:val="64664551"/>
    <w:rsid w:val="646709F5"/>
    <w:rsid w:val="646C4FF0"/>
    <w:rsid w:val="646D34E5"/>
    <w:rsid w:val="646F5DDE"/>
    <w:rsid w:val="64721148"/>
    <w:rsid w:val="64722EF6"/>
    <w:rsid w:val="64754794"/>
    <w:rsid w:val="6476379D"/>
    <w:rsid w:val="647C3D75"/>
    <w:rsid w:val="64813139"/>
    <w:rsid w:val="648D5F82"/>
    <w:rsid w:val="64970BAF"/>
    <w:rsid w:val="649A32C7"/>
    <w:rsid w:val="649C5F21"/>
    <w:rsid w:val="649D4417"/>
    <w:rsid w:val="64A31301"/>
    <w:rsid w:val="64AA6B34"/>
    <w:rsid w:val="64AC465A"/>
    <w:rsid w:val="64AC6408"/>
    <w:rsid w:val="64AE0E8C"/>
    <w:rsid w:val="64AF414A"/>
    <w:rsid w:val="64B4350F"/>
    <w:rsid w:val="64B74DAD"/>
    <w:rsid w:val="64C00108"/>
    <w:rsid w:val="64C42DBE"/>
    <w:rsid w:val="64C5571C"/>
    <w:rsid w:val="64C86FBA"/>
    <w:rsid w:val="64D12312"/>
    <w:rsid w:val="64D265D3"/>
    <w:rsid w:val="64D70FAB"/>
    <w:rsid w:val="64D75934"/>
    <w:rsid w:val="64D911C7"/>
    <w:rsid w:val="64DB4F3F"/>
    <w:rsid w:val="64DE616D"/>
    <w:rsid w:val="64E02555"/>
    <w:rsid w:val="64E10284"/>
    <w:rsid w:val="64E21E2A"/>
    <w:rsid w:val="64E53367"/>
    <w:rsid w:val="64E536C8"/>
    <w:rsid w:val="64E97686"/>
    <w:rsid w:val="64EC0EFA"/>
    <w:rsid w:val="64EE4C72"/>
    <w:rsid w:val="64EF2799"/>
    <w:rsid w:val="64F031D4"/>
    <w:rsid w:val="64F25DE5"/>
    <w:rsid w:val="64F32289"/>
    <w:rsid w:val="64F47DAF"/>
    <w:rsid w:val="64F56864"/>
    <w:rsid w:val="64F56A29"/>
    <w:rsid w:val="64F8164D"/>
    <w:rsid w:val="64FB113D"/>
    <w:rsid w:val="6501769D"/>
    <w:rsid w:val="6502427A"/>
    <w:rsid w:val="65046244"/>
    <w:rsid w:val="65053D6A"/>
    <w:rsid w:val="650A312E"/>
    <w:rsid w:val="650D2C1F"/>
    <w:rsid w:val="650E0E71"/>
    <w:rsid w:val="650E70C3"/>
    <w:rsid w:val="651D5558"/>
    <w:rsid w:val="651E4C38"/>
    <w:rsid w:val="6522491C"/>
    <w:rsid w:val="652266CA"/>
    <w:rsid w:val="652341F0"/>
    <w:rsid w:val="65285B05"/>
    <w:rsid w:val="652C5AFB"/>
    <w:rsid w:val="652C7549"/>
    <w:rsid w:val="652D1B5C"/>
    <w:rsid w:val="652E506F"/>
    <w:rsid w:val="653308D7"/>
    <w:rsid w:val="65363F24"/>
    <w:rsid w:val="65377536"/>
    <w:rsid w:val="653A1C66"/>
    <w:rsid w:val="65406257"/>
    <w:rsid w:val="65426D6C"/>
    <w:rsid w:val="65450A41"/>
    <w:rsid w:val="6546685C"/>
    <w:rsid w:val="65472B37"/>
    <w:rsid w:val="65493C57"/>
    <w:rsid w:val="6549634D"/>
    <w:rsid w:val="654C1999"/>
    <w:rsid w:val="65515201"/>
    <w:rsid w:val="65534AD5"/>
    <w:rsid w:val="65566374"/>
    <w:rsid w:val="6558033E"/>
    <w:rsid w:val="655D5954"/>
    <w:rsid w:val="655F16CC"/>
    <w:rsid w:val="65622F6B"/>
    <w:rsid w:val="65626E56"/>
    <w:rsid w:val="65646CE3"/>
    <w:rsid w:val="656661C8"/>
    <w:rsid w:val="656960A7"/>
    <w:rsid w:val="65736F26"/>
    <w:rsid w:val="657C227E"/>
    <w:rsid w:val="657D6AE4"/>
    <w:rsid w:val="657F1BFC"/>
    <w:rsid w:val="6582360D"/>
    <w:rsid w:val="658630FD"/>
    <w:rsid w:val="658D65D9"/>
    <w:rsid w:val="658F0577"/>
    <w:rsid w:val="658F5EAE"/>
    <w:rsid w:val="65907AD8"/>
    <w:rsid w:val="65931376"/>
    <w:rsid w:val="659A0956"/>
    <w:rsid w:val="659B0B9A"/>
    <w:rsid w:val="659B647C"/>
    <w:rsid w:val="659F09EE"/>
    <w:rsid w:val="65A2780B"/>
    <w:rsid w:val="65AD2209"/>
    <w:rsid w:val="65AE7F5E"/>
    <w:rsid w:val="65B15345"/>
    <w:rsid w:val="65B433A9"/>
    <w:rsid w:val="65B6730B"/>
    <w:rsid w:val="65BB267B"/>
    <w:rsid w:val="65BC0577"/>
    <w:rsid w:val="65BD4645"/>
    <w:rsid w:val="65BE41D5"/>
    <w:rsid w:val="65BF03BD"/>
    <w:rsid w:val="65BF660F"/>
    <w:rsid w:val="65C07D27"/>
    <w:rsid w:val="65C14135"/>
    <w:rsid w:val="65C459D3"/>
    <w:rsid w:val="65CB0B10"/>
    <w:rsid w:val="65D35C16"/>
    <w:rsid w:val="65D3619D"/>
    <w:rsid w:val="65D80B7F"/>
    <w:rsid w:val="65D86017"/>
    <w:rsid w:val="65E11CB1"/>
    <w:rsid w:val="65E16585"/>
    <w:rsid w:val="65E362B1"/>
    <w:rsid w:val="65E9368C"/>
    <w:rsid w:val="65EC4433"/>
    <w:rsid w:val="65EF46DD"/>
    <w:rsid w:val="65F90E7C"/>
    <w:rsid w:val="65FC6F1B"/>
    <w:rsid w:val="65FD355F"/>
    <w:rsid w:val="66062D44"/>
    <w:rsid w:val="66065FEC"/>
    <w:rsid w:val="66081D64"/>
    <w:rsid w:val="66091638"/>
    <w:rsid w:val="660979AD"/>
    <w:rsid w:val="660C1A49"/>
    <w:rsid w:val="661108C1"/>
    <w:rsid w:val="661632D0"/>
    <w:rsid w:val="661A0911"/>
    <w:rsid w:val="66236B9E"/>
    <w:rsid w:val="6626043C"/>
    <w:rsid w:val="662D3578"/>
    <w:rsid w:val="662E109F"/>
    <w:rsid w:val="662F5543"/>
    <w:rsid w:val="66303069"/>
    <w:rsid w:val="66326DE1"/>
    <w:rsid w:val="66377785"/>
    <w:rsid w:val="66395563"/>
    <w:rsid w:val="663A30CA"/>
    <w:rsid w:val="663A5C95"/>
    <w:rsid w:val="663C1A0D"/>
    <w:rsid w:val="663F32AC"/>
    <w:rsid w:val="663F505A"/>
    <w:rsid w:val="66432D9C"/>
    <w:rsid w:val="664408C2"/>
    <w:rsid w:val="6646463A"/>
    <w:rsid w:val="664856F2"/>
    <w:rsid w:val="664B39FF"/>
    <w:rsid w:val="664B7EA3"/>
    <w:rsid w:val="664C2FA5"/>
    <w:rsid w:val="664D3C1B"/>
    <w:rsid w:val="664D7777"/>
    <w:rsid w:val="6650370B"/>
    <w:rsid w:val="66551CC6"/>
    <w:rsid w:val="665925BF"/>
    <w:rsid w:val="665C20B0"/>
    <w:rsid w:val="665C5C0C"/>
    <w:rsid w:val="665D44C4"/>
    <w:rsid w:val="66615387"/>
    <w:rsid w:val="66664368"/>
    <w:rsid w:val="66680A54"/>
    <w:rsid w:val="666B22F3"/>
    <w:rsid w:val="66707FEA"/>
    <w:rsid w:val="667271DD"/>
    <w:rsid w:val="6679056C"/>
    <w:rsid w:val="667967BE"/>
    <w:rsid w:val="667A42E4"/>
    <w:rsid w:val="667C1E0A"/>
    <w:rsid w:val="667C4500"/>
    <w:rsid w:val="667F5A9A"/>
    <w:rsid w:val="6683763C"/>
    <w:rsid w:val="668533B4"/>
    <w:rsid w:val="6685680F"/>
    <w:rsid w:val="66884C53"/>
    <w:rsid w:val="66886A01"/>
    <w:rsid w:val="66897775"/>
    <w:rsid w:val="66901E43"/>
    <w:rsid w:val="66903B07"/>
    <w:rsid w:val="6692787F"/>
    <w:rsid w:val="669435F8"/>
    <w:rsid w:val="6694497A"/>
    <w:rsid w:val="669811DF"/>
    <w:rsid w:val="669E0B12"/>
    <w:rsid w:val="669F2EC7"/>
    <w:rsid w:val="66A00B1A"/>
    <w:rsid w:val="66A82BFF"/>
    <w:rsid w:val="66A84C39"/>
    <w:rsid w:val="66AB0941"/>
    <w:rsid w:val="66AB26EF"/>
    <w:rsid w:val="66AC6B93"/>
    <w:rsid w:val="66B141AA"/>
    <w:rsid w:val="66B47C99"/>
    <w:rsid w:val="66B90C2B"/>
    <w:rsid w:val="66BA2932"/>
    <w:rsid w:val="66C37A39"/>
    <w:rsid w:val="66C537B1"/>
    <w:rsid w:val="66C814F3"/>
    <w:rsid w:val="66C8643E"/>
    <w:rsid w:val="66CC6405"/>
    <w:rsid w:val="66CE1496"/>
    <w:rsid w:val="66D24120"/>
    <w:rsid w:val="66D32372"/>
    <w:rsid w:val="66D439F4"/>
    <w:rsid w:val="66DE0D17"/>
    <w:rsid w:val="66E005EB"/>
    <w:rsid w:val="66E107AF"/>
    <w:rsid w:val="66E57795"/>
    <w:rsid w:val="66EA76BB"/>
    <w:rsid w:val="66EC2DE8"/>
    <w:rsid w:val="66EC2F44"/>
    <w:rsid w:val="66ED0F5A"/>
    <w:rsid w:val="66EF6A80"/>
    <w:rsid w:val="66F2031E"/>
    <w:rsid w:val="66F45E44"/>
    <w:rsid w:val="66FB71D3"/>
    <w:rsid w:val="66FE4F15"/>
    <w:rsid w:val="67000C8D"/>
    <w:rsid w:val="67006EDF"/>
    <w:rsid w:val="6700790A"/>
    <w:rsid w:val="670215DF"/>
    <w:rsid w:val="670A5668"/>
    <w:rsid w:val="670B6618"/>
    <w:rsid w:val="670D6F06"/>
    <w:rsid w:val="670F2C7E"/>
    <w:rsid w:val="67114C48"/>
    <w:rsid w:val="6712451C"/>
    <w:rsid w:val="671309C0"/>
    <w:rsid w:val="671367B5"/>
    <w:rsid w:val="67140294"/>
    <w:rsid w:val="671D35ED"/>
    <w:rsid w:val="671E1113"/>
    <w:rsid w:val="671E7365"/>
    <w:rsid w:val="67222094"/>
    <w:rsid w:val="6723175B"/>
    <w:rsid w:val="6723497B"/>
    <w:rsid w:val="67237D4A"/>
    <w:rsid w:val="67242BCD"/>
    <w:rsid w:val="6727621A"/>
    <w:rsid w:val="67280181"/>
    <w:rsid w:val="67283D40"/>
    <w:rsid w:val="672A7AB8"/>
    <w:rsid w:val="67310E46"/>
    <w:rsid w:val="673426E5"/>
    <w:rsid w:val="673821D5"/>
    <w:rsid w:val="67395F4D"/>
    <w:rsid w:val="673B3A73"/>
    <w:rsid w:val="673F4CC4"/>
    <w:rsid w:val="6740552D"/>
    <w:rsid w:val="674072DB"/>
    <w:rsid w:val="67430B7A"/>
    <w:rsid w:val="67446DCC"/>
    <w:rsid w:val="67542D87"/>
    <w:rsid w:val="67550FD9"/>
    <w:rsid w:val="67564D51"/>
    <w:rsid w:val="675B2367"/>
    <w:rsid w:val="676A6106"/>
    <w:rsid w:val="676B07FC"/>
    <w:rsid w:val="676D025A"/>
    <w:rsid w:val="676E209B"/>
    <w:rsid w:val="676E5BF7"/>
    <w:rsid w:val="67762CFD"/>
    <w:rsid w:val="6777664F"/>
    <w:rsid w:val="67825B46"/>
    <w:rsid w:val="6782764B"/>
    <w:rsid w:val="678418BE"/>
    <w:rsid w:val="67852F40"/>
    <w:rsid w:val="67874F0A"/>
    <w:rsid w:val="67890C82"/>
    <w:rsid w:val="678B616D"/>
    <w:rsid w:val="678C2521"/>
    <w:rsid w:val="678E0047"/>
    <w:rsid w:val="678E0566"/>
    <w:rsid w:val="6790177A"/>
    <w:rsid w:val="67937902"/>
    <w:rsid w:val="679413D5"/>
    <w:rsid w:val="67966EFB"/>
    <w:rsid w:val="67980EC5"/>
    <w:rsid w:val="679F6EB4"/>
    <w:rsid w:val="67A1421E"/>
    <w:rsid w:val="67A63A9A"/>
    <w:rsid w:val="67AE06E9"/>
    <w:rsid w:val="67B0620F"/>
    <w:rsid w:val="67B83316"/>
    <w:rsid w:val="67BA0E3C"/>
    <w:rsid w:val="67BC1058"/>
    <w:rsid w:val="67C036F4"/>
    <w:rsid w:val="67CC6DC1"/>
    <w:rsid w:val="67CE0D8B"/>
    <w:rsid w:val="67D068B1"/>
    <w:rsid w:val="67D16185"/>
    <w:rsid w:val="67D31EFE"/>
    <w:rsid w:val="67D53EC8"/>
    <w:rsid w:val="67D75E41"/>
    <w:rsid w:val="67DA7730"/>
    <w:rsid w:val="67DD4B2A"/>
    <w:rsid w:val="67DF4D46"/>
    <w:rsid w:val="67E97973"/>
    <w:rsid w:val="67EC1211"/>
    <w:rsid w:val="67ED1A09"/>
    <w:rsid w:val="67F027BB"/>
    <w:rsid w:val="67F307F2"/>
    <w:rsid w:val="67F323F9"/>
    <w:rsid w:val="67F500C6"/>
    <w:rsid w:val="67FA7D4C"/>
    <w:rsid w:val="67FC1454"/>
    <w:rsid w:val="67FC6A66"/>
    <w:rsid w:val="67FD51CC"/>
    <w:rsid w:val="67FD6528"/>
    <w:rsid w:val="67FE01D8"/>
    <w:rsid w:val="680622D3"/>
    <w:rsid w:val="68077DF9"/>
    <w:rsid w:val="680848B9"/>
    <w:rsid w:val="68097770"/>
    <w:rsid w:val="680C5BF3"/>
    <w:rsid w:val="680E73DA"/>
    <w:rsid w:val="68104F00"/>
    <w:rsid w:val="681432BF"/>
    <w:rsid w:val="68180E35"/>
    <w:rsid w:val="681E586F"/>
    <w:rsid w:val="681F15E7"/>
    <w:rsid w:val="681F5BC7"/>
    <w:rsid w:val="68260162"/>
    <w:rsid w:val="68264723"/>
    <w:rsid w:val="68277C2A"/>
    <w:rsid w:val="6828049B"/>
    <w:rsid w:val="682D3D04"/>
    <w:rsid w:val="6832131A"/>
    <w:rsid w:val="68336E40"/>
    <w:rsid w:val="68376930"/>
    <w:rsid w:val="684626D0"/>
    <w:rsid w:val="684B47A9"/>
    <w:rsid w:val="684D3A5E"/>
    <w:rsid w:val="685017A0"/>
    <w:rsid w:val="68511B1C"/>
    <w:rsid w:val="68520577"/>
    <w:rsid w:val="68523A33"/>
    <w:rsid w:val="68553916"/>
    <w:rsid w:val="68572B2F"/>
    <w:rsid w:val="68585D79"/>
    <w:rsid w:val="685C1EF3"/>
    <w:rsid w:val="685E5C6B"/>
    <w:rsid w:val="686007CB"/>
    <w:rsid w:val="68625CD8"/>
    <w:rsid w:val="68692862"/>
    <w:rsid w:val="686A0AB4"/>
    <w:rsid w:val="686B0388"/>
    <w:rsid w:val="68725BBA"/>
    <w:rsid w:val="68785E71"/>
    <w:rsid w:val="687C07E7"/>
    <w:rsid w:val="687F0310"/>
    <w:rsid w:val="687F107F"/>
    <w:rsid w:val="68863414"/>
    <w:rsid w:val="688A4CB2"/>
    <w:rsid w:val="68923B67"/>
    <w:rsid w:val="68975621"/>
    <w:rsid w:val="689E706D"/>
    <w:rsid w:val="68AD09A1"/>
    <w:rsid w:val="68AD1056"/>
    <w:rsid w:val="68AD6BF3"/>
    <w:rsid w:val="68AF16DD"/>
    <w:rsid w:val="68AF4719"/>
    <w:rsid w:val="68B202C6"/>
    <w:rsid w:val="68B57855"/>
    <w:rsid w:val="68B910F3"/>
    <w:rsid w:val="68B9168D"/>
    <w:rsid w:val="68BC6E36"/>
    <w:rsid w:val="68C06926"/>
    <w:rsid w:val="68C21D29"/>
    <w:rsid w:val="68C33D20"/>
    <w:rsid w:val="68D26659"/>
    <w:rsid w:val="68D423D1"/>
    <w:rsid w:val="68D51CA5"/>
    <w:rsid w:val="68DB550E"/>
    <w:rsid w:val="68DD74D8"/>
    <w:rsid w:val="68DE6DAC"/>
    <w:rsid w:val="68E36170"/>
    <w:rsid w:val="68E36491"/>
    <w:rsid w:val="68E550C3"/>
    <w:rsid w:val="68E5638C"/>
    <w:rsid w:val="68E63EB3"/>
    <w:rsid w:val="68E72104"/>
    <w:rsid w:val="68EA5751"/>
    <w:rsid w:val="68ED6FEF"/>
    <w:rsid w:val="68EF720B"/>
    <w:rsid w:val="68F00A95"/>
    <w:rsid w:val="69020CEC"/>
    <w:rsid w:val="69021082"/>
    <w:rsid w:val="69036813"/>
    <w:rsid w:val="69076303"/>
    <w:rsid w:val="690F0C92"/>
    <w:rsid w:val="69132EFA"/>
    <w:rsid w:val="69146C72"/>
    <w:rsid w:val="691722BE"/>
    <w:rsid w:val="69196EEA"/>
    <w:rsid w:val="691C6F33"/>
    <w:rsid w:val="6920000C"/>
    <w:rsid w:val="69201173"/>
    <w:rsid w:val="69232A11"/>
    <w:rsid w:val="69236EB5"/>
    <w:rsid w:val="69274C15"/>
    <w:rsid w:val="69280027"/>
    <w:rsid w:val="692844CB"/>
    <w:rsid w:val="692C5D69"/>
    <w:rsid w:val="692C7B17"/>
    <w:rsid w:val="692D0C83"/>
    <w:rsid w:val="692F13B6"/>
    <w:rsid w:val="692F61D9"/>
    <w:rsid w:val="693764BC"/>
    <w:rsid w:val="69380883"/>
    <w:rsid w:val="69390486"/>
    <w:rsid w:val="693B3BE9"/>
    <w:rsid w:val="693B7D5A"/>
    <w:rsid w:val="693C3AD3"/>
    <w:rsid w:val="693D709C"/>
    <w:rsid w:val="693E5A9D"/>
    <w:rsid w:val="69401815"/>
    <w:rsid w:val="69470DF5"/>
    <w:rsid w:val="69490DE0"/>
    <w:rsid w:val="694C640B"/>
    <w:rsid w:val="69513A22"/>
    <w:rsid w:val="6953779A"/>
    <w:rsid w:val="695452C0"/>
    <w:rsid w:val="69603C65"/>
    <w:rsid w:val="69633987"/>
    <w:rsid w:val="6965127B"/>
    <w:rsid w:val="69692B1A"/>
    <w:rsid w:val="696C43B8"/>
    <w:rsid w:val="696E6382"/>
    <w:rsid w:val="69733998"/>
    <w:rsid w:val="69780837"/>
    <w:rsid w:val="697C309E"/>
    <w:rsid w:val="698060B5"/>
    <w:rsid w:val="69823BDB"/>
    <w:rsid w:val="69882D82"/>
    <w:rsid w:val="69886D18"/>
    <w:rsid w:val="698B7FC2"/>
    <w:rsid w:val="698F62F8"/>
    <w:rsid w:val="6993437B"/>
    <w:rsid w:val="699833FF"/>
    <w:rsid w:val="699B0FC8"/>
    <w:rsid w:val="699B2EEF"/>
    <w:rsid w:val="699B4C9D"/>
    <w:rsid w:val="699D6C67"/>
    <w:rsid w:val="69A00A1D"/>
    <w:rsid w:val="69A2602B"/>
    <w:rsid w:val="69A41DA4"/>
    <w:rsid w:val="69A91168"/>
    <w:rsid w:val="69AB1384"/>
    <w:rsid w:val="69AC2A06"/>
    <w:rsid w:val="69B0699A"/>
    <w:rsid w:val="69B144C0"/>
    <w:rsid w:val="69B31FE7"/>
    <w:rsid w:val="69B33D95"/>
    <w:rsid w:val="69B55D5F"/>
    <w:rsid w:val="69B8584F"/>
    <w:rsid w:val="69BA15C7"/>
    <w:rsid w:val="69BF098B"/>
    <w:rsid w:val="69C2222A"/>
    <w:rsid w:val="69C35833"/>
    <w:rsid w:val="69C441F4"/>
    <w:rsid w:val="69C53AC8"/>
    <w:rsid w:val="69C935B8"/>
    <w:rsid w:val="69D02B99"/>
    <w:rsid w:val="69D1246D"/>
    <w:rsid w:val="69D25B4D"/>
    <w:rsid w:val="69D72179"/>
    <w:rsid w:val="69DD3414"/>
    <w:rsid w:val="69E421A0"/>
    <w:rsid w:val="69EA09DE"/>
    <w:rsid w:val="69EA352F"/>
    <w:rsid w:val="69EE4313"/>
    <w:rsid w:val="69F4587B"/>
    <w:rsid w:val="69F53287"/>
    <w:rsid w:val="69F54D2E"/>
    <w:rsid w:val="69F66377"/>
    <w:rsid w:val="69FA0715"/>
    <w:rsid w:val="69FA7C16"/>
    <w:rsid w:val="69FB017C"/>
    <w:rsid w:val="69FB573C"/>
    <w:rsid w:val="69FF18D3"/>
    <w:rsid w:val="69FF347E"/>
    <w:rsid w:val="6A0171F6"/>
    <w:rsid w:val="6A070584"/>
    <w:rsid w:val="6A0A597F"/>
    <w:rsid w:val="6A0D4150"/>
    <w:rsid w:val="6A10568B"/>
    <w:rsid w:val="6A124842"/>
    <w:rsid w:val="6A1A02B8"/>
    <w:rsid w:val="6A1B047E"/>
    <w:rsid w:val="6A1D1C45"/>
    <w:rsid w:val="6A1D56B2"/>
    <w:rsid w:val="6A222CC8"/>
    <w:rsid w:val="6A22716C"/>
    <w:rsid w:val="6A227D0E"/>
    <w:rsid w:val="6A2D7FEB"/>
    <w:rsid w:val="6A303637"/>
    <w:rsid w:val="6A350C4E"/>
    <w:rsid w:val="6A3B3D8A"/>
    <w:rsid w:val="6A3C022E"/>
    <w:rsid w:val="6A3C1FDC"/>
    <w:rsid w:val="6A3F1ACC"/>
    <w:rsid w:val="6A426CC9"/>
    <w:rsid w:val="6A460CA7"/>
    <w:rsid w:val="6A4610AD"/>
    <w:rsid w:val="6A484E25"/>
    <w:rsid w:val="6A486BD3"/>
    <w:rsid w:val="6A4D41E9"/>
    <w:rsid w:val="6A4E61B3"/>
    <w:rsid w:val="6A4E7F61"/>
    <w:rsid w:val="6A5135AE"/>
    <w:rsid w:val="6A54261C"/>
    <w:rsid w:val="6A585D0E"/>
    <w:rsid w:val="6A5A06B4"/>
    <w:rsid w:val="6A5D1B9C"/>
    <w:rsid w:val="6A5F5CCB"/>
    <w:rsid w:val="6A635FA8"/>
    <w:rsid w:val="6A6E23B2"/>
    <w:rsid w:val="6A707ED8"/>
    <w:rsid w:val="6A7115D6"/>
    <w:rsid w:val="6A745C1A"/>
    <w:rsid w:val="6A767F57"/>
    <w:rsid w:val="6A793230"/>
    <w:rsid w:val="6A7B27A9"/>
    <w:rsid w:val="6A7D43A3"/>
    <w:rsid w:val="6A8120E5"/>
    <w:rsid w:val="6A845731"/>
    <w:rsid w:val="6A876FCF"/>
    <w:rsid w:val="6A894958"/>
    <w:rsid w:val="6A8B4D12"/>
    <w:rsid w:val="6A902328"/>
    <w:rsid w:val="6A9040D6"/>
    <w:rsid w:val="6A941E18"/>
    <w:rsid w:val="6A9811DC"/>
    <w:rsid w:val="6A99742E"/>
    <w:rsid w:val="6A9A4F55"/>
    <w:rsid w:val="6A9A6D03"/>
    <w:rsid w:val="6A9C0CCD"/>
    <w:rsid w:val="6A9E3B91"/>
    <w:rsid w:val="6AA45DD3"/>
    <w:rsid w:val="6AA638F9"/>
    <w:rsid w:val="6AA87672"/>
    <w:rsid w:val="6AA95BC6"/>
    <w:rsid w:val="6AAA163C"/>
    <w:rsid w:val="6AAB1A19"/>
    <w:rsid w:val="6AAF0A00"/>
    <w:rsid w:val="6AB204F0"/>
    <w:rsid w:val="6AB26742"/>
    <w:rsid w:val="6AB35899"/>
    <w:rsid w:val="6AB778B5"/>
    <w:rsid w:val="6AB9187F"/>
    <w:rsid w:val="6AB9362D"/>
    <w:rsid w:val="6ABA55F7"/>
    <w:rsid w:val="6AC26F41"/>
    <w:rsid w:val="6AC33DB7"/>
    <w:rsid w:val="6AC56475"/>
    <w:rsid w:val="6AC63F9C"/>
    <w:rsid w:val="6ACA583A"/>
    <w:rsid w:val="6ACC2C9C"/>
    <w:rsid w:val="6AD05313"/>
    <w:rsid w:val="6AD466B8"/>
    <w:rsid w:val="6AD77F57"/>
    <w:rsid w:val="6AD8071A"/>
    <w:rsid w:val="6AE023C2"/>
    <w:rsid w:val="6AE306AA"/>
    <w:rsid w:val="6AE52674"/>
    <w:rsid w:val="6AE61F48"/>
    <w:rsid w:val="6AEA5EDC"/>
    <w:rsid w:val="6AEB57B0"/>
    <w:rsid w:val="6AED1528"/>
    <w:rsid w:val="6AED777A"/>
    <w:rsid w:val="6AEF52A0"/>
    <w:rsid w:val="6AEF704E"/>
    <w:rsid w:val="6AF136B5"/>
    <w:rsid w:val="6AF9611F"/>
    <w:rsid w:val="6AFB1E97"/>
    <w:rsid w:val="6AFF300A"/>
    <w:rsid w:val="6B014FD4"/>
    <w:rsid w:val="6B016D82"/>
    <w:rsid w:val="6B030D4C"/>
    <w:rsid w:val="6B040620"/>
    <w:rsid w:val="6B080110"/>
    <w:rsid w:val="6B0C26B5"/>
    <w:rsid w:val="6B1116BB"/>
    <w:rsid w:val="6B1271E1"/>
    <w:rsid w:val="6B1765A5"/>
    <w:rsid w:val="6B1860D6"/>
    <w:rsid w:val="6B19056F"/>
    <w:rsid w:val="6B19231D"/>
    <w:rsid w:val="6B1B42E7"/>
    <w:rsid w:val="6B1C1E0E"/>
    <w:rsid w:val="6B1E157D"/>
    <w:rsid w:val="6B1E2C4D"/>
    <w:rsid w:val="6B2034A7"/>
    <w:rsid w:val="6B2313EE"/>
    <w:rsid w:val="6B264A3A"/>
    <w:rsid w:val="6B272FFA"/>
    <w:rsid w:val="6B2A0087"/>
    <w:rsid w:val="6B301415"/>
    <w:rsid w:val="6B340F05"/>
    <w:rsid w:val="6B39200D"/>
    <w:rsid w:val="6B39476E"/>
    <w:rsid w:val="6B3C600C"/>
    <w:rsid w:val="6B3D24B0"/>
    <w:rsid w:val="6B3E3B32"/>
    <w:rsid w:val="6B457CC4"/>
    <w:rsid w:val="6B476E8A"/>
    <w:rsid w:val="6B4A0729"/>
    <w:rsid w:val="6B4A697B"/>
    <w:rsid w:val="6B511AB7"/>
    <w:rsid w:val="6B563571"/>
    <w:rsid w:val="6B592977"/>
    <w:rsid w:val="6B5947EC"/>
    <w:rsid w:val="6B594E10"/>
    <w:rsid w:val="6B5A2FD8"/>
    <w:rsid w:val="6B5E2426"/>
    <w:rsid w:val="6B623CC4"/>
    <w:rsid w:val="6B630500"/>
    <w:rsid w:val="6B685053"/>
    <w:rsid w:val="6B686E01"/>
    <w:rsid w:val="6B6C4B43"/>
    <w:rsid w:val="6B712159"/>
    <w:rsid w:val="6B761553"/>
    <w:rsid w:val="6B7632CC"/>
    <w:rsid w:val="6B7C2964"/>
    <w:rsid w:val="6B7C51E5"/>
    <w:rsid w:val="6B7D13F5"/>
    <w:rsid w:val="6B7D28AC"/>
    <w:rsid w:val="6B8005EE"/>
    <w:rsid w:val="6B836E07"/>
    <w:rsid w:val="6B841E74"/>
    <w:rsid w:val="6B842A13"/>
    <w:rsid w:val="6B854729"/>
    <w:rsid w:val="6B863F8C"/>
    <w:rsid w:val="6B8C2426"/>
    <w:rsid w:val="6B8E7776"/>
    <w:rsid w:val="6B8F25DF"/>
    <w:rsid w:val="6B947BF6"/>
    <w:rsid w:val="6B99520C"/>
    <w:rsid w:val="6B9B0F84"/>
    <w:rsid w:val="6B9F6960"/>
    <w:rsid w:val="6BA234A1"/>
    <w:rsid w:val="6BA350A4"/>
    <w:rsid w:val="6BA46CEF"/>
    <w:rsid w:val="6BA53BB1"/>
    <w:rsid w:val="6BA8544F"/>
    <w:rsid w:val="6BAA7419"/>
    <w:rsid w:val="6BAC4F3F"/>
    <w:rsid w:val="6BAE0CB8"/>
    <w:rsid w:val="6BAF2C82"/>
    <w:rsid w:val="6BB107A8"/>
    <w:rsid w:val="6BB35604"/>
    <w:rsid w:val="6BB661EC"/>
    <w:rsid w:val="6BB70F10"/>
    <w:rsid w:val="6BBB1626"/>
    <w:rsid w:val="6BBB33D4"/>
    <w:rsid w:val="6BBD539F"/>
    <w:rsid w:val="6BBE4C73"/>
    <w:rsid w:val="6BC06C3D"/>
    <w:rsid w:val="6BC57F00"/>
    <w:rsid w:val="6BC73B27"/>
    <w:rsid w:val="6BCF6E80"/>
    <w:rsid w:val="6BD050D2"/>
    <w:rsid w:val="6BD3071E"/>
    <w:rsid w:val="6BD821D8"/>
    <w:rsid w:val="6BDB5825"/>
    <w:rsid w:val="6BDF5315"/>
    <w:rsid w:val="6BE4292B"/>
    <w:rsid w:val="6BE467D1"/>
    <w:rsid w:val="6BE65489"/>
    <w:rsid w:val="6BE73BFE"/>
    <w:rsid w:val="6BE741CA"/>
    <w:rsid w:val="6BE96194"/>
    <w:rsid w:val="6BEC17E0"/>
    <w:rsid w:val="6BEC7A32"/>
    <w:rsid w:val="6BF07522"/>
    <w:rsid w:val="6BF25356"/>
    <w:rsid w:val="6BF44EAF"/>
    <w:rsid w:val="6BF6265F"/>
    <w:rsid w:val="6BF66731"/>
    <w:rsid w:val="6BFF3C0B"/>
    <w:rsid w:val="6C083EDD"/>
    <w:rsid w:val="6C0B610A"/>
    <w:rsid w:val="6C0C1250"/>
    <w:rsid w:val="6C0E5BFA"/>
    <w:rsid w:val="6C0F0DFC"/>
    <w:rsid w:val="6C136D6D"/>
    <w:rsid w:val="6C141D47"/>
    <w:rsid w:val="6C150D37"/>
    <w:rsid w:val="6C164AAF"/>
    <w:rsid w:val="6C1672C1"/>
    <w:rsid w:val="6C17459F"/>
    <w:rsid w:val="6C180827"/>
    <w:rsid w:val="6C1F3963"/>
    <w:rsid w:val="6C2076DB"/>
    <w:rsid w:val="6C264CF2"/>
    <w:rsid w:val="6C270246"/>
    <w:rsid w:val="6C2B1DC9"/>
    <w:rsid w:val="6C2C7E2E"/>
    <w:rsid w:val="6C2E004A"/>
    <w:rsid w:val="6C327B3B"/>
    <w:rsid w:val="6C3513D9"/>
    <w:rsid w:val="6C375151"/>
    <w:rsid w:val="6C3C4515"/>
    <w:rsid w:val="6C3D46FC"/>
    <w:rsid w:val="6C3D64DF"/>
    <w:rsid w:val="6C417D7E"/>
    <w:rsid w:val="6C423CA9"/>
    <w:rsid w:val="6C4537CF"/>
    <w:rsid w:val="6C457946"/>
    <w:rsid w:val="6C4B4A70"/>
    <w:rsid w:val="6C4C04D0"/>
    <w:rsid w:val="6C4D3E71"/>
    <w:rsid w:val="6C515AE7"/>
    <w:rsid w:val="6C5706BC"/>
    <w:rsid w:val="6C5775A1"/>
    <w:rsid w:val="6C580C23"/>
    <w:rsid w:val="6C586E75"/>
    <w:rsid w:val="6C5B4ADD"/>
    <w:rsid w:val="6C5B7766"/>
    <w:rsid w:val="6C5C11C9"/>
    <w:rsid w:val="6C5D26DE"/>
    <w:rsid w:val="6C5D448C"/>
    <w:rsid w:val="6C6972D4"/>
    <w:rsid w:val="6C6A16B7"/>
    <w:rsid w:val="6C6B6BA9"/>
    <w:rsid w:val="6C6B6C2A"/>
    <w:rsid w:val="6C6E6699"/>
    <w:rsid w:val="6C6F0C50"/>
    <w:rsid w:val="6C702411"/>
    <w:rsid w:val="6C72227A"/>
    <w:rsid w:val="6C757A27"/>
    <w:rsid w:val="6C7672FB"/>
    <w:rsid w:val="6C7A3290"/>
    <w:rsid w:val="6C81017A"/>
    <w:rsid w:val="6C815AC2"/>
    <w:rsid w:val="6C823EF2"/>
    <w:rsid w:val="6C845EBC"/>
    <w:rsid w:val="6C885039"/>
    <w:rsid w:val="6C8859AD"/>
    <w:rsid w:val="6C895281"/>
    <w:rsid w:val="6C8A6B02"/>
    <w:rsid w:val="6C8C6B1F"/>
    <w:rsid w:val="6C90660F"/>
    <w:rsid w:val="6C9205D9"/>
    <w:rsid w:val="6C97174C"/>
    <w:rsid w:val="6C9A123C"/>
    <w:rsid w:val="6C9A56E0"/>
    <w:rsid w:val="6C9F4AA4"/>
    <w:rsid w:val="6CA4030D"/>
    <w:rsid w:val="6CAB7E55"/>
    <w:rsid w:val="6CB5251A"/>
    <w:rsid w:val="6CB56076"/>
    <w:rsid w:val="6CB87914"/>
    <w:rsid w:val="6CBA0FE1"/>
    <w:rsid w:val="6CBE317C"/>
    <w:rsid w:val="6CC14A1B"/>
    <w:rsid w:val="6CC22541"/>
    <w:rsid w:val="6CC27C76"/>
    <w:rsid w:val="6CC30793"/>
    <w:rsid w:val="6CC354FC"/>
    <w:rsid w:val="6CC462B9"/>
    <w:rsid w:val="6CC938CF"/>
    <w:rsid w:val="6CD209D6"/>
    <w:rsid w:val="6CD306F8"/>
    <w:rsid w:val="6CD81D64"/>
    <w:rsid w:val="6CD97FB6"/>
    <w:rsid w:val="6CDC3602"/>
    <w:rsid w:val="6CDD60A6"/>
    <w:rsid w:val="6CDE737B"/>
    <w:rsid w:val="6CE30E35"/>
    <w:rsid w:val="6CE4695B"/>
    <w:rsid w:val="6CE81FA7"/>
    <w:rsid w:val="6CE8644B"/>
    <w:rsid w:val="6CE93F71"/>
    <w:rsid w:val="6CEB1A97"/>
    <w:rsid w:val="6CED3A62"/>
    <w:rsid w:val="6CF04751"/>
    <w:rsid w:val="6CF22E26"/>
    <w:rsid w:val="6CF52916"/>
    <w:rsid w:val="6CFA617E"/>
    <w:rsid w:val="6CFC5A53"/>
    <w:rsid w:val="6CFE7A1D"/>
    <w:rsid w:val="6D0019E7"/>
    <w:rsid w:val="6D035033"/>
    <w:rsid w:val="6D0509B6"/>
    <w:rsid w:val="6D090170"/>
    <w:rsid w:val="6D0A4613"/>
    <w:rsid w:val="6D0B3EE8"/>
    <w:rsid w:val="6D107750"/>
    <w:rsid w:val="6D1234C8"/>
    <w:rsid w:val="6D1E3C1B"/>
    <w:rsid w:val="6D1F412E"/>
    <w:rsid w:val="6D266F73"/>
    <w:rsid w:val="6D2B458A"/>
    <w:rsid w:val="6D2B6338"/>
    <w:rsid w:val="6D34343E"/>
    <w:rsid w:val="6D3451EC"/>
    <w:rsid w:val="6D350F65"/>
    <w:rsid w:val="6D3978A6"/>
    <w:rsid w:val="6D3A5127"/>
    <w:rsid w:val="6D3E02D9"/>
    <w:rsid w:val="6D3E06C9"/>
    <w:rsid w:val="6D3E250F"/>
    <w:rsid w:val="6D3F7117"/>
    <w:rsid w:val="6D4213AC"/>
    <w:rsid w:val="6D467052"/>
    <w:rsid w:val="6D4E3543"/>
    <w:rsid w:val="6D4F0278"/>
    <w:rsid w:val="6D4F2026"/>
    <w:rsid w:val="6D505D9E"/>
    <w:rsid w:val="6D512242"/>
    <w:rsid w:val="6D513FF0"/>
    <w:rsid w:val="6D521B17"/>
    <w:rsid w:val="6D5238C5"/>
    <w:rsid w:val="6D561607"/>
    <w:rsid w:val="6D570025"/>
    <w:rsid w:val="6D5B4E6F"/>
    <w:rsid w:val="6D5B6C1D"/>
    <w:rsid w:val="6D611D5A"/>
    <w:rsid w:val="6D616AB2"/>
    <w:rsid w:val="6D617FAC"/>
    <w:rsid w:val="6D642862"/>
    <w:rsid w:val="6D657A9C"/>
    <w:rsid w:val="6D667370"/>
    <w:rsid w:val="6D6B5FE5"/>
    <w:rsid w:val="6D6D6950"/>
    <w:rsid w:val="6D745F31"/>
    <w:rsid w:val="6D747729"/>
    <w:rsid w:val="6D747CDF"/>
    <w:rsid w:val="6D7952F5"/>
    <w:rsid w:val="6D7A61C9"/>
    <w:rsid w:val="6D832679"/>
    <w:rsid w:val="6D855A48"/>
    <w:rsid w:val="6D8617C0"/>
    <w:rsid w:val="6D8F4B19"/>
    <w:rsid w:val="6D91263F"/>
    <w:rsid w:val="6D942381"/>
    <w:rsid w:val="6D9817F8"/>
    <w:rsid w:val="6D9D7236"/>
    <w:rsid w:val="6D9E4D5C"/>
    <w:rsid w:val="6DA51372"/>
    <w:rsid w:val="6DA700B4"/>
    <w:rsid w:val="6DAC1227"/>
    <w:rsid w:val="6DAC2834"/>
    <w:rsid w:val="6DAD4F9F"/>
    <w:rsid w:val="6DB1683D"/>
    <w:rsid w:val="6DB225B5"/>
    <w:rsid w:val="6DB35745"/>
    <w:rsid w:val="6DBA39B1"/>
    <w:rsid w:val="6DBC2D09"/>
    <w:rsid w:val="6DBC51E2"/>
    <w:rsid w:val="6DBE53FE"/>
    <w:rsid w:val="6DC21DEE"/>
    <w:rsid w:val="6DC81DD9"/>
    <w:rsid w:val="6DC9002B"/>
    <w:rsid w:val="6DC9627D"/>
    <w:rsid w:val="6DD135E5"/>
    <w:rsid w:val="6DD32C57"/>
    <w:rsid w:val="6DD442E6"/>
    <w:rsid w:val="6DD864C0"/>
    <w:rsid w:val="6DD93FE6"/>
    <w:rsid w:val="6DD95C8D"/>
    <w:rsid w:val="6DDD3AD6"/>
    <w:rsid w:val="6DE05CD4"/>
    <w:rsid w:val="6DE24C48"/>
    <w:rsid w:val="6DE309C1"/>
    <w:rsid w:val="6DE5298B"/>
    <w:rsid w:val="6DE85FD7"/>
    <w:rsid w:val="6DE9247B"/>
    <w:rsid w:val="6DEC3D19"/>
    <w:rsid w:val="6DED3309"/>
    <w:rsid w:val="6DEE7A91"/>
    <w:rsid w:val="6DEF3809"/>
    <w:rsid w:val="6DF36E56"/>
    <w:rsid w:val="6DF42BCE"/>
    <w:rsid w:val="6DF606F4"/>
    <w:rsid w:val="6DF64282"/>
    <w:rsid w:val="6DF80910"/>
    <w:rsid w:val="6DF901E4"/>
    <w:rsid w:val="6DFA4688"/>
    <w:rsid w:val="6DFB3F5C"/>
    <w:rsid w:val="6DFF4B3E"/>
    <w:rsid w:val="6DFF5B12"/>
    <w:rsid w:val="6E02353D"/>
    <w:rsid w:val="6E0659AC"/>
    <w:rsid w:val="6E096679"/>
    <w:rsid w:val="6E0C6169"/>
    <w:rsid w:val="6E105EB1"/>
    <w:rsid w:val="6E1312A6"/>
    <w:rsid w:val="6E176DA8"/>
    <w:rsid w:val="6E184B0E"/>
    <w:rsid w:val="6E1D0376"/>
    <w:rsid w:val="6E1F7C4B"/>
    <w:rsid w:val="6E201C15"/>
    <w:rsid w:val="6E223498"/>
    <w:rsid w:val="6E22773B"/>
    <w:rsid w:val="6E263B15"/>
    <w:rsid w:val="6E2A4841"/>
    <w:rsid w:val="6E2E4332"/>
    <w:rsid w:val="6E3000AA"/>
    <w:rsid w:val="6E3D4575"/>
    <w:rsid w:val="6E4B6C92"/>
    <w:rsid w:val="6E4C0396"/>
    <w:rsid w:val="6E522CAD"/>
    <w:rsid w:val="6E5377EC"/>
    <w:rsid w:val="6E565636"/>
    <w:rsid w:val="6E5A5127"/>
    <w:rsid w:val="6E5C19CE"/>
    <w:rsid w:val="6E5F273D"/>
    <w:rsid w:val="6E62342C"/>
    <w:rsid w:val="6E6733A0"/>
    <w:rsid w:val="6E6B10E2"/>
    <w:rsid w:val="6E6D676C"/>
    <w:rsid w:val="6E6E472E"/>
    <w:rsid w:val="6E7A0843"/>
    <w:rsid w:val="6E7B6E4B"/>
    <w:rsid w:val="6E7D0E15"/>
    <w:rsid w:val="6E804461"/>
    <w:rsid w:val="6E810905"/>
    <w:rsid w:val="6E8126B3"/>
    <w:rsid w:val="6E82642B"/>
    <w:rsid w:val="6E89335C"/>
    <w:rsid w:val="6E895A0C"/>
    <w:rsid w:val="6E8A03A5"/>
    <w:rsid w:val="6E8C40E8"/>
    <w:rsid w:val="6E91041D"/>
    <w:rsid w:val="6E91558C"/>
    <w:rsid w:val="6E922B12"/>
    <w:rsid w:val="6E941653"/>
    <w:rsid w:val="6E9879FD"/>
    <w:rsid w:val="6E9E14B7"/>
    <w:rsid w:val="6EA25D30"/>
    <w:rsid w:val="6EAD16FA"/>
    <w:rsid w:val="6EB10C80"/>
    <w:rsid w:val="6EB365E5"/>
    <w:rsid w:val="6EB60DF0"/>
    <w:rsid w:val="6EB8009F"/>
    <w:rsid w:val="6EB84305"/>
    <w:rsid w:val="6EB93430"/>
    <w:rsid w:val="6EC24A7A"/>
    <w:rsid w:val="6EC32CCC"/>
    <w:rsid w:val="6EC4452A"/>
    <w:rsid w:val="6EC67DFF"/>
    <w:rsid w:val="6EC9405A"/>
    <w:rsid w:val="6ECA36D3"/>
    <w:rsid w:val="6ECC76A7"/>
    <w:rsid w:val="6ECD2716"/>
    <w:rsid w:val="6ECE55DC"/>
    <w:rsid w:val="6ED053E9"/>
    <w:rsid w:val="6ED44ED9"/>
    <w:rsid w:val="6EE51CFE"/>
    <w:rsid w:val="6EE64C0C"/>
    <w:rsid w:val="6EE82E45"/>
    <w:rsid w:val="6EEB2223"/>
    <w:rsid w:val="6EEE586F"/>
    <w:rsid w:val="6EF00DC8"/>
    <w:rsid w:val="6EF56BFD"/>
    <w:rsid w:val="6EF8049C"/>
    <w:rsid w:val="6EFA4214"/>
    <w:rsid w:val="6EFD09F1"/>
    <w:rsid w:val="6EFE3D04"/>
    <w:rsid w:val="6EFF7A7C"/>
    <w:rsid w:val="6F0230C8"/>
    <w:rsid w:val="6F0357BE"/>
    <w:rsid w:val="6F0440B7"/>
    <w:rsid w:val="6F084B83"/>
    <w:rsid w:val="6F0A08FB"/>
    <w:rsid w:val="6F143527"/>
    <w:rsid w:val="6F16554D"/>
    <w:rsid w:val="6F190B3E"/>
    <w:rsid w:val="6F1928EC"/>
    <w:rsid w:val="6F1E43A6"/>
    <w:rsid w:val="6F213E96"/>
    <w:rsid w:val="6F215C44"/>
    <w:rsid w:val="6F255735"/>
    <w:rsid w:val="6F26325B"/>
    <w:rsid w:val="6F2861E7"/>
    <w:rsid w:val="6F2B261F"/>
    <w:rsid w:val="6F2B3057"/>
    <w:rsid w:val="6F2C5FF8"/>
    <w:rsid w:val="6F2D283B"/>
    <w:rsid w:val="6F2F210F"/>
    <w:rsid w:val="6F340B5E"/>
    <w:rsid w:val="6F345978"/>
    <w:rsid w:val="6F3C5AED"/>
    <w:rsid w:val="6F40431D"/>
    <w:rsid w:val="6F437969"/>
    <w:rsid w:val="6F441EB0"/>
    <w:rsid w:val="6F466764"/>
    <w:rsid w:val="6F481423"/>
    <w:rsid w:val="6F4B4A6F"/>
    <w:rsid w:val="6F4B7F29"/>
    <w:rsid w:val="6F51652A"/>
    <w:rsid w:val="6F547DC8"/>
    <w:rsid w:val="6F563B40"/>
    <w:rsid w:val="6F571666"/>
    <w:rsid w:val="6F5778B8"/>
    <w:rsid w:val="6F5C6C7D"/>
    <w:rsid w:val="6F5D12B3"/>
    <w:rsid w:val="6F5D1A70"/>
    <w:rsid w:val="6F6049BF"/>
    <w:rsid w:val="6F60676D"/>
    <w:rsid w:val="6F62223F"/>
    <w:rsid w:val="6F6618A9"/>
    <w:rsid w:val="6F683873"/>
    <w:rsid w:val="6F6840AB"/>
    <w:rsid w:val="6F6A1399"/>
    <w:rsid w:val="6F6A5F99"/>
    <w:rsid w:val="6F6D49E6"/>
    <w:rsid w:val="6F6E3364"/>
    <w:rsid w:val="6F6F075E"/>
    <w:rsid w:val="6F710E60"/>
    <w:rsid w:val="6F7264A0"/>
    <w:rsid w:val="6F742218"/>
    <w:rsid w:val="6F773AB6"/>
    <w:rsid w:val="6F7E3097"/>
    <w:rsid w:val="6F83245B"/>
    <w:rsid w:val="6F8C7562"/>
    <w:rsid w:val="6F8D27C3"/>
    <w:rsid w:val="6F8D3F04"/>
    <w:rsid w:val="6F8D6E36"/>
    <w:rsid w:val="6F9401C4"/>
    <w:rsid w:val="6F9603E0"/>
    <w:rsid w:val="6F966EFB"/>
    <w:rsid w:val="6F9C6257"/>
    <w:rsid w:val="6F9E54E7"/>
    <w:rsid w:val="6FA06B69"/>
    <w:rsid w:val="6FA128E1"/>
    <w:rsid w:val="6FA523D2"/>
    <w:rsid w:val="6FA7614A"/>
    <w:rsid w:val="6FA81A3C"/>
    <w:rsid w:val="6FAF14A2"/>
    <w:rsid w:val="6FB10D76"/>
    <w:rsid w:val="6FB16FC8"/>
    <w:rsid w:val="6FB22D40"/>
    <w:rsid w:val="6FB2689C"/>
    <w:rsid w:val="6FB35C1F"/>
    <w:rsid w:val="6FB67229"/>
    <w:rsid w:val="6FC14D32"/>
    <w:rsid w:val="6FC33560"/>
    <w:rsid w:val="6FC447D3"/>
    <w:rsid w:val="6FC84312"/>
    <w:rsid w:val="6FC9117A"/>
    <w:rsid w:val="6FCA008A"/>
    <w:rsid w:val="6FCD1928"/>
    <w:rsid w:val="6FCE7B7A"/>
    <w:rsid w:val="6FCF38F2"/>
    <w:rsid w:val="6FD40F09"/>
    <w:rsid w:val="6FD44A65"/>
    <w:rsid w:val="6FD736E6"/>
    <w:rsid w:val="6FDC1B6B"/>
    <w:rsid w:val="6FDD1EA3"/>
    <w:rsid w:val="6FE0165C"/>
    <w:rsid w:val="6FE4739E"/>
    <w:rsid w:val="6FE50A20"/>
    <w:rsid w:val="6FE54EC4"/>
    <w:rsid w:val="6FE74798"/>
    <w:rsid w:val="6FE80510"/>
    <w:rsid w:val="6FEA3A6A"/>
    <w:rsid w:val="6FEB7D36"/>
    <w:rsid w:val="6FED5B27"/>
    <w:rsid w:val="6FEF189F"/>
    <w:rsid w:val="6FF003F1"/>
    <w:rsid w:val="6FF173C5"/>
    <w:rsid w:val="6FF17956"/>
    <w:rsid w:val="6FF3138F"/>
    <w:rsid w:val="6FF40B9F"/>
    <w:rsid w:val="6FF46EB5"/>
    <w:rsid w:val="6FF70753"/>
    <w:rsid w:val="6FFA2E4B"/>
    <w:rsid w:val="6FFB46E7"/>
    <w:rsid w:val="7003534A"/>
    <w:rsid w:val="70061528"/>
    <w:rsid w:val="700C2451"/>
    <w:rsid w:val="700D682A"/>
    <w:rsid w:val="700E441B"/>
    <w:rsid w:val="70115CB9"/>
    <w:rsid w:val="70117A67"/>
    <w:rsid w:val="701337DF"/>
    <w:rsid w:val="701557A9"/>
    <w:rsid w:val="70230A50"/>
    <w:rsid w:val="702A6D7B"/>
    <w:rsid w:val="702C48A1"/>
    <w:rsid w:val="702F613F"/>
    <w:rsid w:val="70310109"/>
    <w:rsid w:val="70313C65"/>
    <w:rsid w:val="70390D6C"/>
    <w:rsid w:val="70390E66"/>
    <w:rsid w:val="70393D95"/>
    <w:rsid w:val="703C3572"/>
    <w:rsid w:val="703D6AAE"/>
    <w:rsid w:val="7040659E"/>
    <w:rsid w:val="704716DB"/>
    <w:rsid w:val="7047792D"/>
    <w:rsid w:val="70485CE6"/>
    <w:rsid w:val="704C0A9F"/>
    <w:rsid w:val="704C6CF1"/>
    <w:rsid w:val="704D78C3"/>
    <w:rsid w:val="7053007F"/>
    <w:rsid w:val="70562E59"/>
    <w:rsid w:val="705838E8"/>
    <w:rsid w:val="705878A5"/>
    <w:rsid w:val="705C54C7"/>
    <w:rsid w:val="705D0EFE"/>
    <w:rsid w:val="705D2CAC"/>
    <w:rsid w:val="70624A53"/>
    <w:rsid w:val="70657DB3"/>
    <w:rsid w:val="70695446"/>
    <w:rsid w:val="706F1805"/>
    <w:rsid w:val="70741DA4"/>
    <w:rsid w:val="70765B1C"/>
    <w:rsid w:val="707A560C"/>
    <w:rsid w:val="707D50FC"/>
    <w:rsid w:val="7080244B"/>
    <w:rsid w:val="7080699B"/>
    <w:rsid w:val="70814BED"/>
    <w:rsid w:val="708C533F"/>
    <w:rsid w:val="708D657F"/>
    <w:rsid w:val="70916390"/>
    <w:rsid w:val="70983692"/>
    <w:rsid w:val="70A07186"/>
    <w:rsid w:val="70A628A5"/>
    <w:rsid w:val="70A94143"/>
    <w:rsid w:val="70AF6D48"/>
    <w:rsid w:val="70B054D2"/>
    <w:rsid w:val="70BA01A5"/>
    <w:rsid w:val="70BB79D3"/>
    <w:rsid w:val="70BC134B"/>
    <w:rsid w:val="70C04FE9"/>
    <w:rsid w:val="70C1148D"/>
    <w:rsid w:val="70C152B0"/>
    <w:rsid w:val="70C42D2B"/>
    <w:rsid w:val="70C60851"/>
    <w:rsid w:val="70C64CF5"/>
    <w:rsid w:val="70C745CA"/>
    <w:rsid w:val="70C8271B"/>
    <w:rsid w:val="70C920F0"/>
    <w:rsid w:val="70D016D0"/>
    <w:rsid w:val="70D23AA8"/>
    <w:rsid w:val="70D25448"/>
    <w:rsid w:val="70D31FDB"/>
    <w:rsid w:val="70DC7DEA"/>
    <w:rsid w:val="70DE203F"/>
    <w:rsid w:val="70DF7B65"/>
    <w:rsid w:val="70E138DD"/>
    <w:rsid w:val="70E64CAA"/>
    <w:rsid w:val="70E87D2E"/>
    <w:rsid w:val="70E92792"/>
    <w:rsid w:val="70EB650A"/>
    <w:rsid w:val="70ED2282"/>
    <w:rsid w:val="70EE0E01"/>
    <w:rsid w:val="70EF6AC6"/>
    <w:rsid w:val="70F25AEA"/>
    <w:rsid w:val="70F31F92"/>
    <w:rsid w:val="70F33611"/>
    <w:rsid w:val="70F520ED"/>
    <w:rsid w:val="70F52EE5"/>
    <w:rsid w:val="70F65EBA"/>
    <w:rsid w:val="70F73101"/>
    <w:rsid w:val="70F7672F"/>
    <w:rsid w:val="70FA674D"/>
    <w:rsid w:val="70FC0717"/>
    <w:rsid w:val="7101667B"/>
    <w:rsid w:val="71035221"/>
    <w:rsid w:val="710B2708"/>
    <w:rsid w:val="710D6480"/>
    <w:rsid w:val="711041C2"/>
    <w:rsid w:val="711200BC"/>
    <w:rsid w:val="7113780F"/>
    <w:rsid w:val="71152AE8"/>
    <w:rsid w:val="71153587"/>
    <w:rsid w:val="711D243B"/>
    <w:rsid w:val="7121200D"/>
    <w:rsid w:val="71213827"/>
    <w:rsid w:val="71245578"/>
    <w:rsid w:val="712573E8"/>
    <w:rsid w:val="712612F0"/>
    <w:rsid w:val="712832BA"/>
    <w:rsid w:val="712864D5"/>
    <w:rsid w:val="712A5284"/>
    <w:rsid w:val="71332BBF"/>
    <w:rsid w:val="713734FD"/>
    <w:rsid w:val="713752AB"/>
    <w:rsid w:val="713C0B14"/>
    <w:rsid w:val="713C53B2"/>
    <w:rsid w:val="71436346"/>
    <w:rsid w:val="71494FDF"/>
    <w:rsid w:val="714B51FB"/>
    <w:rsid w:val="714F0C57"/>
    <w:rsid w:val="714F6A99"/>
    <w:rsid w:val="71566079"/>
    <w:rsid w:val="715A543E"/>
    <w:rsid w:val="715E1BEB"/>
    <w:rsid w:val="7166007F"/>
    <w:rsid w:val="716770E4"/>
    <w:rsid w:val="716A5681"/>
    <w:rsid w:val="716D33C3"/>
    <w:rsid w:val="716E686F"/>
    <w:rsid w:val="716F0EE9"/>
    <w:rsid w:val="716F2C97"/>
    <w:rsid w:val="717007BD"/>
    <w:rsid w:val="71706A0F"/>
    <w:rsid w:val="71725BB0"/>
    <w:rsid w:val="71731C06"/>
    <w:rsid w:val="71771B4C"/>
    <w:rsid w:val="717804FA"/>
    <w:rsid w:val="717B788E"/>
    <w:rsid w:val="717C7162"/>
    <w:rsid w:val="718A5D23"/>
    <w:rsid w:val="71900E5F"/>
    <w:rsid w:val="71922E29"/>
    <w:rsid w:val="71940950"/>
    <w:rsid w:val="719646C8"/>
    <w:rsid w:val="71995F66"/>
    <w:rsid w:val="719C7804"/>
    <w:rsid w:val="71A072F4"/>
    <w:rsid w:val="71A2244A"/>
    <w:rsid w:val="71A41A51"/>
    <w:rsid w:val="71A42811"/>
    <w:rsid w:val="71A861A9"/>
    <w:rsid w:val="71AA0173"/>
    <w:rsid w:val="71AB5C99"/>
    <w:rsid w:val="71B047FB"/>
    <w:rsid w:val="71B15784"/>
    <w:rsid w:val="71B20DD6"/>
    <w:rsid w:val="71B21F4E"/>
    <w:rsid w:val="71B2527A"/>
    <w:rsid w:val="71B44B4E"/>
    <w:rsid w:val="71B72890"/>
    <w:rsid w:val="71BC7EA6"/>
    <w:rsid w:val="71C01745"/>
    <w:rsid w:val="71C07997"/>
    <w:rsid w:val="71C31235"/>
    <w:rsid w:val="71C72AD3"/>
    <w:rsid w:val="71C867F5"/>
    <w:rsid w:val="71C9673F"/>
    <w:rsid w:val="71CA376C"/>
    <w:rsid w:val="71CD3E62"/>
    <w:rsid w:val="71D13952"/>
    <w:rsid w:val="71D1444C"/>
    <w:rsid w:val="71D64AC4"/>
    <w:rsid w:val="71DC5E53"/>
    <w:rsid w:val="71DE0782"/>
    <w:rsid w:val="71DE1BCB"/>
    <w:rsid w:val="71E03B95"/>
    <w:rsid w:val="71E847F7"/>
    <w:rsid w:val="71EC253A"/>
    <w:rsid w:val="71F238C8"/>
    <w:rsid w:val="71F4319C"/>
    <w:rsid w:val="71F633B8"/>
    <w:rsid w:val="71F9130C"/>
    <w:rsid w:val="71FE226D"/>
    <w:rsid w:val="72007D93"/>
    <w:rsid w:val="720553A9"/>
    <w:rsid w:val="720C6738"/>
    <w:rsid w:val="7215759C"/>
    <w:rsid w:val="721B697B"/>
    <w:rsid w:val="7220374A"/>
    <w:rsid w:val="722241AD"/>
    <w:rsid w:val="72256230"/>
    <w:rsid w:val="72273572"/>
    <w:rsid w:val="722C0B88"/>
    <w:rsid w:val="722C6DDA"/>
    <w:rsid w:val="722E4900"/>
    <w:rsid w:val="722F2426"/>
    <w:rsid w:val="722F68CA"/>
    <w:rsid w:val="72304797"/>
    <w:rsid w:val="7231619E"/>
    <w:rsid w:val="72395053"/>
    <w:rsid w:val="723D0FE7"/>
    <w:rsid w:val="723F6274"/>
    <w:rsid w:val="72442376"/>
    <w:rsid w:val="7245773D"/>
    <w:rsid w:val="724834E8"/>
    <w:rsid w:val="7249040E"/>
    <w:rsid w:val="724C4D86"/>
    <w:rsid w:val="724E4FA2"/>
    <w:rsid w:val="72536115"/>
    <w:rsid w:val="72555F92"/>
    <w:rsid w:val="72565C05"/>
    <w:rsid w:val="72604CD6"/>
    <w:rsid w:val="726522EC"/>
    <w:rsid w:val="7265409A"/>
    <w:rsid w:val="726739D4"/>
    <w:rsid w:val="726E11A1"/>
    <w:rsid w:val="7270316B"/>
    <w:rsid w:val="727047CE"/>
    <w:rsid w:val="72712A3F"/>
    <w:rsid w:val="727367B7"/>
    <w:rsid w:val="72750781"/>
    <w:rsid w:val="7275252F"/>
    <w:rsid w:val="727A5D97"/>
    <w:rsid w:val="727B1B10"/>
    <w:rsid w:val="72824C4C"/>
    <w:rsid w:val="728409C4"/>
    <w:rsid w:val="7284346E"/>
    <w:rsid w:val="72850298"/>
    <w:rsid w:val="728564EA"/>
    <w:rsid w:val="728C6806"/>
    <w:rsid w:val="728C7879"/>
    <w:rsid w:val="728D72D4"/>
    <w:rsid w:val="728F1117"/>
    <w:rsid w:val="72936E59"/>
    <w:rsid w:val="7295118A"/>
    <w:rsid w:val="72955A66"/>
    <w:rsid w:val="7298446F"/>
    <w:rsid w:val="729B5D0E"/>
    <w:rsid w:val="729D1A86"/>
    <w:rsid w:val="729D3834"/>
    <w:rsid w:val="72A252EE"/>
    <w:rsid w:val="72A5093A"/>
    <w:rsid w:val="72A63904"/>
    <w:rsid w:val="72A66B8C"/>
    <w:rsid w:val="72A9042B"/>
    <w:rsid w:val="72AC1CC9"/>
    <w:rsid w:val="72AE2AAD"/>
    <w:rsid w:val="72B017B9"/>
    <w:rsid w:val="72B90194"/>
    <w:rsid w:val="72BA43E6"/>
    <w:rsid w:val="72BD7A32"/>
    <w:rsid w:val="72BF19FC"/>
    <w:rsid w:val="72C2329A"/>
    <w:rsid w:val="72CC4119"/>
    <w:rsid w:val="72CE5BB2"/>
    <w:rsid w:val="72CE60E3"/>
    <w:rsid w:val="72D6565A"/>
    <w:rsid w:val="72DB610A"/>
    <w:rsid w:val="72DC25AE"/>
    <w:rsid w:val="72DE2C3D"/>
    <w:rsid w:val="72DF5BFA"/>
    <w:rsid w:val="72E27499"/>
    <w:rsid w:val="72E70F53"/>
    <w:rsid w:val="72E927FF"/>
    <w:rsid w:val="72EB27F1"/>
    <w:rsid w:val="72EC0317"/>
    <w:rsid w:val="72EC65AF"/>
    <w:rsid w:val="72ED217D"/>
    <w:rsid w:val="72EE22E1"/>
    <w:rsid w:val="72F80E64"/>
    <w:rsid w:val="72F912A8"/>
    <w:rsid w:val="73012015"/>
    <w:rsid w:val="73043513"/>
    <w:rsid w:val="730613D9"/>
    <w:rsid w:val="7306587D"/>
    <w:rsid w:val="730B2E93"/>
    <w:rsid w:val="730B69EF"/>
    <w:rsid w:val="730C2768"/>
    <w:rsid w:val="730D09BA"/>
    <w:rsid w:val="730F1287"/>
    <w:rsid w:val="730F44AC"/>
    <w:rsid w:val="731358A4"/>
    <w:rsid w:val="73171838"/>
    <w:rsid w:val="731F249B"/>
    <w:rsid w:val="731F2D71"/>
    <w:rsid w:val="73201B9F"/>
    <w:rsid w:val="73217FC1"/>
    <w:rsid w:val="73231CF3"/>
    <w:rsid w:val="732D105C"/>
    <w:rsid w:val="733034AE"/>
    <w:rsid w:val="73306456"/>
    <w:rsid w:val="73335F46"/>
    <w:rsid w:val="7334649C"/>
    <w:rsid w:val="73351CBE"/>
    <w:rsid w:val="73396415"/>
    <w:rsid w:val="733C304D"/>
    <w:rsid w:val="733E17AF"/>
    <w:rsid w:val="733F48EB"/>
    <w:rsid w:val="734819F2"/>
    <w:rsid w:val="734939BC"/>
    <w:rsid w:val="734D525A"/>
    <w:rsid w:val="73506AF8"/>
    <w:rsid w:val="73530396"/>
    <w:rsid w:val="73566CAF"/>
    <w:rsid w:val="73571880"/>
    <w:rsid w:val="735760D9"/>
    <w:rsid w:val="735859AD"/>
    <w:rsid w:val="735C36EF"/>
    <w:rsid w:val="735C724B"/>
    <w:rsid w:val="735E1215"/>
    <w:rsid w:val="736425A4"/>
    <w:rsid w:val="73644352"/>
    <w:rsid w:val="736507F6"/>
    <w:rsid w:val="73661E78"/>
    <w:rsid w:val="736B3932"/>
    <w:rsid w:val="736B748E"/>
    <w:rsid w:val="736D3206"/>
    <w:rsid w:val="736E51D0"/>
    <w:rsid w:val="737067CE"/>
    <w:rsid w:val="7370719A"/>
    <w:rsid w:val="7375655F"/>
    <w:rsid w:val="73766299"/>
    <w:rsid w:val="73770529"/>
    <w:rsid w:val="737722D7"/>
    <w:rsid w:val="7379604F"/>
    <w:rsid w:val="73797DFD"/>
    <w:rsid w:val="737A3B75"/>
    <w:rsid w:val="737C1488"/>
    <w:rsid w:val="737C169B"/>
    <w:rsid w:val="737E6763"/>
    <w:rsid w:val="73842D8A"/>
    <w:rsid w:val="73856327"/>
    <w:rsid w:val="738644F9"/>
    <w:rsid w:val="73893DB8"/>
    <w:rsid w:val="738B18DE"/>
    <w:rsid w:val="738B7B30"/>
    <w:rsid w:val="7390583C"/>
    <w:rsid w:val="73944C37"/>
    <w:rsid w:val="73A00CA7"/>
    <w:rsid w:val="73A3131E"/>
    <w:rsid w:val="73AB01D2"/>
    <w:rsid w:val="73AB1B34"/>
    <w:rsid w:val="73AC6367"/>
    <w:rsid w:val="73AF1A71"/>
    <w:rsid w:val="73AF515A"/>
    <w:rsid w:val="73B057E9"/>
    <w:rsid w:val="73B1065D"/>
    <w:rsid w:val="73B13A3B"/>
    <w:rsid w:val="73B250BD"/>
    <w:rsid w:val="73B452D9"/>
    <w:rsid w:val="73B47087"/>
    <w:rsid w:val="73BC418E"/>
    <w:rsid w:val="73BE1CB4"/>
    <w:rsid w:val="73C27AB3"/>
    <w:rsid w:val="73C33969"/>
    <w:rsid w:val="73C372CA"/>
    <w:rsid w:val="73C66DBA"/>
    <w:rsid w:val="73C84DFA"/>
    <w:rsid w:val="73CA0659"/>
    <w:rsid w:val="73CC5F32"/>
    <w:rsid w:val="73CD1EF7"/>
    <w:rsid w:val="73D03795"/>
    <w:rsid w:val="73D9089C"/>
    <w:rsid w:val="73D96AEE"/>
    <w:rsid w:val="73DA4614"/>
    <w:rsid w:val="73E00E2F"/>
    <w:rsid w:val="73E04BA1"/>
    <w:rsid w:val="73E6120B"/>
    <w:rsid w:val="73EF4563"/>
    <w:rsid w:val="73EF6311"/>
    <w:rsid w:val="73F6144E"/>
    <w:rsid w:val="73F90F3E"/>
    <w:rsid w:val="740050F0"/>
    <w:rsid w:val="74014E45"/>
    <w:rsid w:val="74026044"/>
    <w:rsid w:val="74065409"/>
    <w:rsid w:val="7407365B"/>
    <w:rsid w:val="74081181"/>
    <w:rsid w:val="740873D3"/>
    <w:rsid w:val="740A4EF9"/>
    <w:rsid w:val="740D49E9"/>
    <w:rsid w:val="740D6797"/>
    <w:rsid w:val="74143FCA"/>
    <w:rsid w:val="74147B26"/>
    <w:rsid w:val="7416564C"/>
    <w:rsid w:val="74192A9B"/>
    <w:rsid w:val="74205599"/>
    <w:rsid w:val="74277859"/>
    <w:rsid w:val="742D385E"/>
    <w:rsid w:val="742F2BB2"/>
    <w:rsid w:val="74367A9C"/>
    <w:rsid w:val="743774E1"/>
    <w:rsid w:val="743A4358"/>
    <w:rsid w:val="743C5BB1"/>
    <w:rsid w:val="7442098B"/>
    <w:rsid w:val="74435A84"/>
    <w:rsid w:val="74471CA9"/>
    <w:rsid w:val="74477EFB"/>
    <w:rsid w:val="74485A21"/>
    <w:rsid w:val="744A1799"/>
    <w:rsid w:val="744C3764"/>
    <w:rsid w:val="744F5002"/>
    <w:rsid w:val="74534AF2"/>
    <w:rsid w:val="74546174"/>
    <w:rsid w:val="745C0AF6"/>
    <w:rsid w:val="745C662B"/>
    <w:rsid w:val="74654825"/>
    <w:rsid w:val="7467439D"/>
    <w:rsid w:val="74674561"/>
    <w:rsid w:val="746A1E3C"/>
    <w:rsid w:val="746C5BB4"/>
    <w:rsid w:val="746D0255"/>
    <w:rsid w:val="746F26E3"/>
    <w:rsid w:val="74704AA1"/>
    <w:rsid w:val="747131CA"/>
    <w:rsid w:val="7480205F"/>
    <w:rsid w:val="7487654A"/>
    <w:rsid w:val="748A428C"/>
    <w:rsid w:val="748A7DE8"/>
    <w:rsid w:val="748C1DB2"/>
    <w:rsid w:val="748D0ADA"/>
    <w:rsid w:val="748F3650"/>
    <w:rsid w:val="7491561A"/>
    <w:rsid w:val="74934EEE"/>
    <w:rsid w:val="74943E9C"/>
    <w:rsid w:val="749D5D6D"/>
    <w:rsid w:val="749D7B1B"/>
    <w:rsid w:val="74A0585D"/>
    <w:rsid w:val="74A62C0B"/>
    <w:rsid w:val="74AC4D85"/>
    <w:rsid w:val="74AF784E"/>
    <w:rsid w:val="74B11819"/>
    <w:rsid w:val="74B35591"/>
    <w:rsid w:val="74B3733F"/>
    <w:rsid w:val="74B51309"/>
    <w:rsid w:val="74C14349"/>
    <w:rsid w:val="74C27582"/>
    <w:rsid w:val="74C3319E"/>
    <w:rsid w:val="74C4154C"/>
    <w:rsid w:val="74C5589B"/>
    <w:rsid w:val="74C72DEA"/>
    <w:rsid w:val="74CA4688"/>
    <w:rsid w:val="74CC5BBB"/>
    <w:rsid w:val="74D20D69"/>
    <w:rsid w:val="74D6127F"/>
    <w:rsid w:val="74D97F76"/>
    <w:rsid w:val="74DA0950"/>
    <w:rsid w:val="74DC4AE7"/>
    <w:rsid w:val="74DD0860"/>
    <w:rsid w:val="74E05C5A"/>
    <w:rsid w:val="74E219D2"/>
    <w:rsid w:val="74E25198"/>
    <w:rsid w:val="74E403D4"/>
    <w:rsid w:val="74E63744"/>
    <w:rsid w:val="74E92D60"/>
    <w:rsid w:val="74E97204"/>
    <w:rsid w:val="74F00593"/>
    <w:rsid w:val="74F23177"/>
    <w:rsid w:val="74F31E31"/>
    <w:rsid w:val="74F51B52"/>
    <w:rsid w:val="74F55BA9"/>
    <w:rsid w:val="74F6722B"/>
    <w:rsid w:val="74FA4F6E"/>
    <w:rsid w:val="74FD05BA"/>
    <w:rsid w:val="74FF2584"/>
    <w:rsid w:val="74FF4B63"/>
    <w:rsid w:val="75047B9A"/>
    <w:rsid w:val="750758DC"/>
    <w:rsid w:val="75091655"/>
    <w:rsid w:val="750D7D7F"/>
    <w:rsid w:val="751029E3"/>
    <w:rsid w:val="75127B90"/>
    <w:rsid w:val="7513273D"/>
    <w:rsid w:val="7513602F"/>
    <w:rsid w:val="75153B55"/>
    <w:rsid w:val="7519760D"/>
    <w:rsid w:val="751D21C1"/>
    <w:rsid w:val="75241FEA"/>
    <w:rsid w:val="752913AF"/>
    <w:rsid w:val="752D5343"/>
    <w:rsid w:val="753007A1"/>
    <w:rsid w:val="75327179"/>
    <w:rsid w:val="75373201"/>
    <w:rsid w:val="753871DF"/>
    <w:rsid w:val="753B196C"/>
    <w:rsid w:val="753C37D8"/>
    <w:rsid w:val="753F36F1"/>
    <w:rsid w:val="753F6E24"/>
    <w:rsid w:val="75502DDF"/>
    <w:rsid w:val="75510906"/>
    <w:rsid w:val="75530B22"/>
    <w:rsid w:val="75556648"/>
    <w:rsid w:val="755B49B2"/>
    <w:rsid w:val="755E5AEA"/>
    <w:rsid w:val="756313BD"/>
    <w:rsid w:val="756578D8"/>
    <w:rsid w:val="75671015"/>
    <w:rsid w:val="75671ED7"/>
    <w:rsid w:val="7568637B"/>
    <w:rsid w:val="75695C4F"/>
    <w:rsid w:val="756B19C7"/>
    <w:rsid w:val="757132D1"/>
    <w:rsid w:val="75720FA8"/>
    <w:rsid w:val="7577036C"/>
    <w:rsid w:val="757765BE"/>
    <w:rsid w:val="75790588"/>
    <w:rsid w:val="757A0445"/>
    <w:rsid w:val="757C1E26"/>
    <w:rsid w:val="758331B5"/>
    <w:rsid w:val="75856EB5"/>
    <w:rsid w:val="758B206A"/>
    <w:rsid w:val="758D193E"/>
    <w:rsid w:val="758D4498"/>
    <w:rsid w:val="758E3908"/>
    <w:rsid w:val="759206C7"/>
    <w:rsid w:val="75931266"/>
    <w:rsid w:val="75954C96"/>
    <w:rsid w:val="75956A44"/>
    <w:rsid w:val="759B5BFF"/>
    <w:rsid w:val="759F5B15"/>
    <w:rsid w:val="75A44ED9"/>
    <w:rsid w:val="75A66E6C"/>
    <w:rsid w:val="75AB44BA"/>
    <w:rsid w:val="75B07D22"/>
    <w:rsid w:val="75B46F90"/>
    <w:rsid w:val="75B65E96"/>
    <w:rsid w:val="75B73ED4"/>
    <w:rsid w:val="75BC4A71"/>
    <w:rsid w:val="75BC5722"/>
    <w:rsid w:val="75C12BF5"/>
    <w:rsid w:val="75C17839"/>
    <w:rsid w:val="75C72748"/>
    <w:rsid w:val="75CE0FA0"/>
    <w:rsid w:val="75D21A46"/>
    <w:rsid w:val="75D752AF"/>
    <w:rsid w:val="75DE488F"/>
    <w:rsid w:val="75E4177A"/>
    <w:rsid w:val="75E672A0"/>
    <w:rsid w:val="75E86FC4"/>
    <w:rsid w:val="75E91A34"/>
    <w:rsid w:val="75EB48B6"/>
    <w:rsid w:val="75F06371"/>
    <w:rsid w:val="75F32F93"/>
    <w:rsid w:val="75F73F89"/>
    <w:rsid w:val="75F75951"/>
    <w:rsid w:val="75F776FF"/>
    <w:rsid w:val="75FC2F67"/>
    <w:rsid w:val="75FE5C0C"/>
    <w:rsid w:val="76004806"/>
    <w:rsid w:val="76011BC9"/>
    <w:rsid w:val="760140DA"/>
    <w:rsid w:val="76052D17"/>
    <w:rsid w:val="76091264"/>
    <w:rsid w:val="760F0C13"/>
    <w:rsid w:val="7610256F"/>
    <w:rsid w:val="761262E7"/>
    <w:rsid w:val="7614205F"/>
    <w:rsid w:val="76157B85"/>
    <w:rsid w:val="76173158"/>
    <w:rsid w:val="761B163F"/>
    <w:rsid w:val="761D53B8"/>
    <w:rsid w:val="761E4C8C"/>
    <w:rsid w:val="76235D60"/>
    <w:rsid w:val="762A53DF"/>
    <w:rsid w:val="762A7AD4"/>
    <w:rsid w:val="762B1157"/>
    <w:rsid w:val="76326989"/>
    <w:rsid w:val="76366479"/>
    <w:rsid w:val="763B75EC"/>
    <w:rsid w:val="763E70DC"/>
    <w:rsid w:val="76404C02"/>
    <w:rsid w:val="76432944"/>
    <w:rsid w:val="764811BC"/>
    <w:rsid w:val="764A782F"/>
    <w:rsid w:val="76504CBE"/>
    <w:rsid w:val="76515061"/>
    <w:rsid w:val="765320E5"/>
    <w:rsid w:val="76544B51"/>
    <w:rsid w:val="765468FF"/>
    <w:rsid w:val="765661D4"/>
    <w:rsid w:val="76592168"/>
    <w:rsid w:val="765A3553"/>
    <w:rsid w:val="765B5EE0"/>
    <w:rsid w:val="765C5EF1"/>
    <w:rsid w:val="765D7381"/>
    <w:rsid w:val="76607052"/>
    <w:rsid w:val="7662101C"/>
    <w:rsid w:val="76654669"/>
    <w:rsid w:val="766667E0"/>
    <w:rsid w:val="76676633"/>
    <w:rsid w:val="766823AB"/>
    <w:rsid w:val="766A6E7D"/>
    <w:rsid w:val="76740D50"/>
    <w:rsid w:val="76746FA2"/>
    <w:rsid w:val="7677439C"/>
    <w:rsid w:val="76790114"/>
    <w:rsid w:val="7681460D"/>
    <w:rsid w:val="768371E5"/>
    <w:rsid w:val="7688173A"/>
    <w:rsid w:val="7689645A"/>
    <w:rsid w:val="768F7938"/>
    <w:rsid w:val="76960CC6"/>
    <w:rsid w:val="76962A74"/>
    <w:rsid w:val="769709D0"/>
    <w:rsid w:val="76982C90"/>
    <w:rsid w:val="76992564"/>
    <w:rsid w:val="769942BD"/>
    <w:rsid w:val="76A333E3"/>
    <w:rsid w:val="76A72ED3"/>
    <w:rsid w:val="76AC04E9"/>
    <w:rsid w:val="76AF17F9"/>
    <w:rsid w:val="76AF3B36"/>
    <w:rsid w:val="76B13D52"/>
    <w:rsid w:val="76B15B00"/>
    <w:rsid w:val="76B178AE"/>
    <w:rsid w:val="76B26CEA"/>
    <w:rsid w:val="76B35133"/>
    <w:rsid w:val="76B4114C"/>
    <w:rsid w:val="76B850E0"/>
    <w:rsid w:val="76B86E8E"/>
    <w:rsid w:val="76B92C06"/>
    <w:rsid w:val="76B949B4"/>
    <w:rsid w:val="76BD26F7"/>
    <w:rsid w:val="76C42ACB"/>
    <w:rsid w:val="76C53359"/>
    <w:rsid w:val="76C577FD"/>
    <w:rsid w:val="76C70E7F"/>
    <w:rsid w:val="76C75323"/>
    <w:rsid w:val="76C9109B"/>
    <w:rsid w:val="76C96E16"/>
    <w:rsid w:val="76CC0B8C"/>
    <w:rsid w:val="76CC0D21"/>
    <w:rsid w:val="76CD220E"/>
    <w:rsid w:val="76D10663"/>
    <w:rsid w:val="76D55C89"/>
    <w:rsid w:val="76D66663"/>
    <w:rsid w:val="76DC0816"/>
    <w:rsid w:val="76DD5309"/>
    <w:rsid w:val="76DF3B1A"/>
    <w:rsid w:val="76E21799"/>
    <w:rsid w:val="76E40A74"/>
    <w:rsid w:val="76E62CF0"/>
    <w:rsid w:val="76ED481A"/>
    <w:rsid w:val="76EE5C21"/>
    <w:rsid w:val="76F22A3C"/>
    <w:rsid w:val="76F31C74"/>
    <w:rsid w:val="76F61765"/>
    <w:rsid w:val="76F8372F"/>
    <w:rsid w:val="76FC05B4"/>
    <w:rsid w:val="770164D0"/>
    <w:rsid w:val="77057BFA"/>
    <w:rsid w:val="77071BC4"/>
    <w:rsid w:val="77075720"/>
    <w:rsid w:val="770D60E9"/>
    <w:rsid w:val="770E2F52"/>
    <w:rsid w:val="77101B8D"/>
    <w:rsid w:val="771340C5"/>
    <w:rsid w:val="771542E1"/>
    <w:rsid w:val="7715608F"/>
    <w:rsid w:val="77170059"/>
    <w:rsid w:val="771A36A5"/>
    <w:rsid w:val="771C566F"/>
    <w:rsid w:val="771F673E"/>
    <w:rsid w:val="771F6F0D"/>
    <w:rsid w:val="7722255A"/>
    <w:rsid w:val="77297D8C"/>
    <w:rsid w:val="772A140E"/>
    <w:rsid w:val="772C64B4"/>
    <w:rsid w:val="7730111A"/>
    <w:rsid w:val="77356731"/>
    <w:rsid w:val="7737771B"/>
    <w:rsid w:val="77383B2B"/>
    <w:rsid w:val="773D3837"/>
    <w:rsid w:val="77420E4E"/>
    <w:rsid w:val="77422BFC"/>
    <w:rsid w:val="77433F56"/>
    <w:rsid w:val="77440722"/>
    <w:rsid w:val="7746169E"/>
    <w:rsid w:val="77476464"/>
    <w:rsid w:val="774A4354"/>
    <w:rsid w:val="774B1AB0"/>
    <w:rsid w:val="774C5829"/>
    <w:rsid w:val="77505319"/>
    <w:rsid w:val="77513458"/>
    <w:rsid w:val="775C313C"/>
    <w:rsid w:val="775D3592"/>
    <w:rsid w:val="776143DD"/>
    <w:rsid w:val="7762504C"/>
    <w:rsid w:val="77626DFA"/>
    <w:rsid w:val="7767181A"/>
    <w:rsid w:val="77672662"/>
    <w:rsid w:val="77691D85"/>
    <w:rsid w:val="776963DA"/>
    <w:rsid w:val="776B5CAF"/>
    <w:rsid w:val="776E49BD"/>
    <w:rsid w:val="77701517"/>
    <w:rsid w:val="77754D7F"/>
    <w:rsid w:val="777A05E8"/>
    <w:rsid w:val="777C4360"/>
    <w:rsid w:val="777F364F"/>
    <w:rsid w:val="777F5BFE"/>
    <w:rsid w:val="777F79AC"/>
    <w:rsid w:val="7783749C"/>
    <w:rsid w:val="77843214"/>
    <w:rsid w:val="77876861"/>
    <w:rsid w:val="778C10EB"/>
    <w:rsid w:val="778D20C9"/>
    <w:rsid w:val="77925931"/>
    <w:rsid w:val="7794726C"/>
    <w:rsid w:val="7795357A"/>
    <w:rsid w:val="77955421"/>
    <w:rsid w:val="7798554B"/>
    <w:rsid w:val="779A30DE"/>
    <w:rsid w:val="779A44A7"/>
    <w:rsid w:val="779A47E6"/>
    <w:rsid w:val="779D6084"/>
    <w:rsid w:val="779D7E32"/>
    <w:rsid w:val="779F1DFC"/>
    <w:rsid w:val="779F6E07"/>
    <w:rsid w:val="77A15B74"/>
    <w:rsid w:val="77A45665"/>
    <w:rsid w:val="77A6318B"/>
    <w:rsid w:val="77A86F03"/>
    <w:rsid w:val="77A93E46"/>
    <w:rsid w:val="77A967D7"/>
    <w:rsid w:val="77AF64E3"/>
    <w:rsid w:val="77B070F5"/>
    <w:rsid w:val="77B227F5"/>
    <w:rsid w:val="77B27D81"/>
    <w:rsid w:val="77B37656"/>
    <w:rsid w:val="77B5517C"/>
    <w:rsid w:val="77B74817"/>
    <w:rsid w:val="77B84C6C"/>
    <w:rsid w:val="77BA09E4"/>
    <w:rsid w:val="77BD2282"/>
    <w:rsid w:val="77C35AEB"/>
    <w:rsid w:val="77C45C0E"/>
    <w:rsid w:val="77C6655A"/>
    <w:rsid w:val="77C70EBD"/>
    <w:rsid w:val="77CB0E43"/>
    <w:rsid w:val="77D01FB6"/>
    <w:rsid w:val="77D1684F"/>
    <w:rsid w:val="77D575CC"/>
    <w:rsid w:val="77D71596"/>
    <w:rsid w:val="77DA1086"/>
    <w:rsid w:val="77DE1622"/>
    <w:rsid w:val="77E441F4"/>
    <w:rsid w:val="77E73A77"/>
    <w:rsid w:val="77EA683A"/>
    <w:rsid w:val="77EB0615"/>
    <w:rsid w:val="77EB7A4D"/>
    <w:rsid w:val="77ED2B68"/>
    <w:rsid w:val="77F162D0"/>
    <w:rsid w:val="77F17064"/>
    <w:rsid w:val="77F42148"/>
    <w:rsid w:val="77F51A1C"/>
    <w:rsid w:val="77F9775E"/>
    <w:rsid w:val="780350F4"/>
    <w:rsid w:val="7805128C"/>
    <w:rsid w:val="78061E7B"/>
    <w:rsid w:val="780649BD"/>
    <w:rsid w:val="780835EF"/>
    <w:rsid w:val="78085BF3"/>
    <w:rsid w:val="780F06C0"/>
    <w:rsid w:val="780F6F82"/>
    <w:rsid w:val="781379F5"/>
    <w:rsid w:val="781400F4"/>
    <w:rsid w:val="78174088"/>
    <w:rsid w:val="781B6A0A"/>
    <w:rsid w:val="781E371F"/>
    <w:rsid w:val="781F63BA"/>
    <w:rsid w:val="7820118F"/>
    <w:rsid w:val="7820259C"/>
    <w:rsid w:val="78212811"/>
    <w:rsid w:val="78216CB5"/>
    <w:rsid w:val="78224195"/>
    <w:rsid w:val="782642CC"/>
    <w:rsid w:val="78270007"/>
    <w:rsid w:val="782765AD"/>
    <w:rsid w:val="782A0E50"/>
    <w:rsid w:val="782A2DB5"/>
    <w:rsid w:val="7836450F"/>
    <w:rsid w:val="78372035"/>
    <w:rsid w:val="783764D9"/>
    <w:rsid w:val="78393FFF"/>
    <w:rsid w:val="783B7D77"/>
    <w:rsid w:val="783E33C3"/>
    <w:rsid w:val="78454752"/>
    <w:rsid w:val="78465777"/>
    <w:rsid w:val="78482494"/>
    <w:rsid w:val="78490394"/>
    <w:rsid w:val="784A5D07"/>
    <w:rsid w:val="784F55D0"/>
    <w:rsid w:val="78511348"/>
    <w:rsid w:val="78535B94"/>
    <w:rsid w:val="78536178"/>
    <w:rsid w:val="785726D7"/>
    <w:rsid w:val="78572CA3"/>
    <w:rsid w:val="785B5D23"/>
    <w:rsid w:val="785D5F3F"/>
    <w:rsid w:val="785E4C0A"/>
    <w:rsid w:val="786064CE"/>
    <w:rsid w:val="78615304"/>
    <w:rsid w:val="78632E2A"/>
    <w:rsid w:val="78650950"/>
    <w:rsid w:val="78670B6C"/>
    <w:rsid w:val="7868692A"/>
    <w:rsid w:val="78727511"/>
    <w:rsid w:val="787B63C5"/>
    <w:rsid w:val="787D5FEB"/>
    <w:rsid w:val="78801C2E"/>
    <w:rsid w:val="78845416"/>
    <w:rsid w:val="788648E1"/>
    <w:rsid w:val="788650FD"/>
    <w:rsid w:val="78874D6A"/>
    <w:rsid w:val="788A6608"/>
    <w:rsid w:val="78967146"/>
    <w:rsid w:val="78986F77"/>
    <w:rsid w:val="789B6A68"/>
    <w:rsid w:val="78A05E2C"/>
    <w:rsid w:val="78B35B5F"/>
    <w:rsid w:val="78B673FD"/>
    <w:rsid w:val="78B83176"/>
    <w:rsid w:val="78BC253A"/>
    <w:rsid w:val="78BD69DE"/>
    <w:rsid w:val="78C22246"/>
    <w:rsid w:val="78C65643"/>
    <w:rsid w:val="78CF6711"/>
    <w:rsid w:val="78D12489"/>
    <w:rsid w:val="78D43D28"/>
    <w:rsid w:val="78D45DD0"/>
    <w:rsid w:val="78DB58DC"/>
    <w:rsid w:val="78DC699B"/>
    <w:rsid w:val="78DE0702"/>
    <w:rsid w:val="78E421BD"/>
    <w:rsid w:val="78EC1071"/>
    <w:rsid w:val="78F477F3"/>
    <w:rsid w:val="78F47F26"/>
    <w:rsid w:val="78FA1EA3"/>
    <w:rsid w:val="78FB7506"/>
    <w:rsid w:val="78FD2652"/>
    <w:rsid w:val="78FD327E"/>
    <w:rsid w:val="79002D6F"/>
    <w:rsid w:val="79022643"/>
    <w:rsid w:val="790463BB"/>
    <w:rsid w:val="790740FD"/>
    <w:rsid w:val="790E2D96"/>
    <w:rsid w:val="790E7239"/>
    <w:rsid w:val="790F4D60"/>
    <w:rsid w:val="79110AD8"/>
    <w:rsid w:val="79134850"/>
    <w:rsid w:val="79181E66"/>
    <w:rsid w:val="79183C14"/>
    <w:rsid w:val="791D3F2D"/>
    <w:rsid w:val="79200D1B"/>
    <w:rsid w:val="79202AC9"/>
    <w:rsid w:val="79231957"/>
    <w:rsid w:val="7923254F"/>
    <w:rsid w:val="79240BAB"/>
    <w:rsid w:val="79273E57"/>
    <w:rsid w:val="792A1003"/>
    <w:rsid w:val="792C76C0"/>
    <w:rsid w:val="792D7857"/>
    <w:rsid w:val="79330A4E"/>
    <w:rsid w:val="79334EF2"/>
    <w:rsid w:val="79346574"/>
    <w:rsid w:val="793A002E"/>
    <w:rsid w:val="793E2FB5"/>
    <w:rsid w:val="79462067"/>
    <w:rsid w:val="7947274B"/>
    <w:rsid w:val="794830FC"/>
    <w:rsid w:val="794E14FB"/>
    <w:rsid w:val="794E5888"/>
    <w:rsid w:val="794F33AE"/>
    <w:rsid w:val="7950014D"/>
    <w:rsid w:val="795135CA"/>
    <w:rsid w:val="7956298E"/>
    <w:rsid w:val="79570BE0"/>
    <w:rsid w:val="795804B5"/>
    <w:rsid w:val="79592461"/>
    <w:rsid w:val="795B1D53"/>
    <w:rsid w:val="795B7FA5"/>
    <w:rsid w:val="795E27B4"/>
    <w:rsid w:val="795F38C7"/>
    <w:rsid w:val="796055BB"/>
    <w:rsid w:val="79610FB7"/>
    <w:rsid w:val="796432FD"/>
    <w:rsid w:val="796450AB"/>
    <w:rsid w:val="79646E59"/>
    <w:rsid w:val="796926C2"/>
    <w:rsid w:val="796C5D0E"/>
    <w:rsid w:val="796E1A86"/>
    <w:rsid w:val="79701CA2"/>
    <w:rsid w:val="797057FE"/>
    <w:rsid w:val="79773031"/>
    <w:rsid w:val="797846B3"/>
    <w:rsid w:val="797A48CF"/>
    <w:rsid w:val="797A667D"/>
    <w:rsid w:val="797D43BF"/>
    <w:rsid w:val="79807AE3"/>
    <w:rsid w:val="798205F9"/>
    <w:rsid w:val="79865022"/>
    <w:rsid w:val="79870D9A"/>
    <w:rsid w:val="798A5143"/>
    <w:rsid w:val="798F5890"/>
    <w:rsid w:val="799040F2"/>
    <w:rsid w:val="79954710"/>
    <w:rsid w:val="799F60E4"/>
    <w:rsid w:val="79A656C4"/>
    <w:rsid w:val="79A66F05"/>
    <w:rsid w:val="79AC0800"/>
    <w:rsid w:val="79AD6A52"/>
    <w:rsid w:val="79B274E9"/>
    <w:rsid w:val="79B3354A"/>
    <w:rsid w:val="79B3393D"/>
    <w:rsid w:val="79B50A3B"/>
    <w:rsid w:val="79BF6786"/>
    <w:rsid w:val="79C36276"/>
    <w:rsid w:val="79C478F8"/>
    <w:rsid w:val="79C6083B"/>
    <w:rsid w:val="79C618C2"/>
    <w:rsid w:val="79C773E8"/>
    <w:rsid w:val="79C85CD9"/>
    <w:rsid w:val="79C913B2"/>
    <w:rsid w:val="79CA0341"/>
    <w:rsid w:val="79D42567"/>
    <w:rsid w:val="79D54FEF"/>
    <w:rsid w:val="79D833A4"/>
    <w:rsid w:val="79DA536E"/>
    <w:rsid w:val="79E166FC"/>
    <w:rsid w:val="79E306C6"/>
    <w:rsid w:val="79E3753B"/>
    <w:rsid w:val="79E47F9A"/>
    <w:rsid w:val="79E81839"/>
    <w:rsid w:val="79EB108E"/>
    <w:rsid w:val="79EB1329"/>
    <w:rsid w:val="79EE3136"/>
    <w:rsid w:val="79F20909"/>
    <w:rsid w:val="79F503F9"/>
    <w:rsid w:val="79F75F20"/>
    <w:rsid w:val="79F91C98"/>
    <w:rsid w:val="79FC7092"/>
    <w:rsid w:val="79FE105C"/>
    <w:rsid w:val="79FF4DD4"/>
    <w:rsid w:val="7A025901"/>
    <w:rsid w:val="7A04063C"/>
    <w:rsid w:val="7A0423EA"/>
    <w:rsid w:val="7A067F11"/>
    <w:rsid w:val="7A070125"/>
    <w:rsid w:val="7A080AFF"/>
    <w:rsid w:val="7A083C89"/>
    <w:rsid w:val="7A0A5C53"/>
    <w:rsid w:val="7A0C6902"/>
    <w:rsid w:val="7A0E5017"/>
    <w:rsid w:val="7A1B7E60"/>
    <w:rsid w:val="7A2025CB"/>
    <w:rsid w:val="7A230AC3"/>
    <w:rsid w:val="7A2455EA"/>
    <w:rsid w:val="7A2465E9"/>
    <w:rsid w:val="7A2921ED"/>
    <w:rsid w:val="7A293BFF"/>
    <w:rsid w:val="7A3525A4"/>
    <w:rsid w:val="7A3A5E0C"/>
    <w:rsid w:val="7A3D7DFA"/>
    <w:rsid w:val="7A3E3B4E"/>
    <w:rsid w:val="7A41363F"/>
    <w:rsid w:val="7A432F13"/>
    <w:rsid w:val="7A456C8B"/>
    <w:rsid w:val="7A4A24F3"/>
    <w:rsid w:val="7A4A42A1"/>
    <w:rsid w:val="7A4F70AE"/>
    <w:rsid w:val="7A505630"/>
    <w:rsid w:val="7A5213A8"/>
    <w:rsid w:val="7A523156"/>
    <w:rsid w:val="7A546ECE"/>
    <w:rsid w:val="7A5549F4"/>
    <w:rsid w:val="7A601D17"/>
    <w:rsid w:val="7A611EC9"/>
    <w:rsid w:val="7A6443AD"/>
    <w:rsid w:val="7A652E89"/>
    <w:rsid w:val="7A6B15C4"/>
    <w:rsid w:val="7A6B4218"/>
    <w:rsid w:val="7A74131E"/>
    <w:rsid w:val="7A772BBC"/>
    <w:rsid w:val="7A772DBA"/>
    <w:rsid w:val="7A7C6425"/>
    <w:rsid w:val="7A7F2DCF"/>
    <w:rsid w:val="7A810FFC"/>
    <w:rsid w:val="7A8552D9"/>
    <w:rsid w:val="7A8772A3"/>
    <w:rsid w:val="7A8A0B42"/>
    <w:rsid w:val="7A8A28F0"/>
    <w:rsid w:val="7A9674E6"/>
    <w:rsid w:val="7A9719D9"/>
    <w:rsid w:val="7A980FBD"/>
    <w:rsid w:val="7A993CB5"/>
    <w:rsid w:val="7A9B2D4F"/>
    <w:rsid w:val="7A9B68AB"/>
    <w:rsid w:val="7AA339B1"/>
    <w:rsid w:val="7AA36941"/>
    <w:rsid w:val="7AA80FC8"/>
    <w:rsid w:val="7AA8546C"/>
    <w:rsid w:val="7AAD4830"/>
    <w:rsid w:val="7AB12572"/>
    <w:rsid w:val="7ABB6F4D"/>
    <w:rsid w:val="7AC04563"/>
    <w:rsid w:val="7AC06311"/>
    <w:rsid w:val="7AC3005A"/>
    <w:rsid w:val="7ACF29F8"/>
    <w:rsid w:val="7AD07CBE"/>
    <w:rsid w:val="7AD1051F"/>
    <w:rsid w:val="7AD3663F"/>
    <w:rsid w:val="7AD36F66"/>
    <w:rsid w:val="7AD5178A"/>
    <w:rsid w:val="7AD5360C"/>
    <w:rsid w:val="7ADD5115"/>
    <w:rsid w:val="7ADF4BE2"/>
    <w:rsid w:val="7AE21CA9"/>
    <w:rsid w:val="7AEC5D56"/>
    <w:rsid w:val="7AEC7106"/>
    <w:rsid w:val="7AEE2205"/>
    <w:rsid w:val="7AF4420D"/>
    <w:rsid w:val="7AF81F4F"/>
    <w:rsid w:val="7AFD57B8"/>
    <w:rsid w:val="7B000E04"/>
    <w:rsid w:val="7B024B7C"/>
    <w:rsid w:val="7B043FDD"/>
    <w:rsid w:val="7B05641A"/>
    <w:rsid w:val="7B0C1557"/>
    <w:rsid w:val="7B160627"/>
    <w:rsid w:val="7B1623D5"/>
    <w:rsid w:val="7B174702"/>
    <w:rsid w:val="7B1E74DC"/>
    <w:rsid w:val="7B1F572E"/>
    <w:rsid w:val="7B1F767D"/>
    <w:rsid w:val="7B252618"/>
    <w:rsid w:val="7B256ABC"/>
    <w:rsid w:val="7B265853"/>
    <w:rsid w:val="7B2C1BF9"/>
    <w:rsid w:val="7B312C81"/>
    <w:rsid w:val="7B326164"/>
    <w:rsid w:val="7B3459C8"/>
    <w:rsid w:val="7B38059E"/>
    <w:rsid w:val="7B395539"/>
    <w:rsid w:val="7B396001"/>
    <w:rsid w:val="7B4038F6"/>
    <w:rsid w:val="7B424F78"/>
    <w:rsid w:val="7B430CF1"/>
    <w:rsid w:val="7B4E7DC1"/>
    <w:rsid w:val="7B4F58E7"/>
    <w:rsid w:val="7B51340D"/>
    <w:rsid w:val="7B564EC8"/>
    <w:rsid w:val="7B5A2BED"/>
    <w:rsid w:val="7B5B428C"/>
    <w:rsid w:val="7B6018A2"/>
    <w:rsid w:val="7B656EB9"/>
    <w:rsid w:val="7B6969A9"/>
    <w:rsid w:val="7B6E3FBF"/>
    <w:rsid w:val="7B6F1AE6"/>
    <w:rsid w:val="7B6F4892"/>
    <w:rsid w:val="7B71246B"/>
    <w:rsid w:val="7B7F481D"/>
    <w:rsid w:val="7B7F61CD"/>
    <w:rsid w:val="7B826C46"/>
    <w:rsid w:val="7B861AB8"/>
    <w:rsid w:val="7B871525"/>
    <w:rsid w:val="7B8749B6"/>
    <w:rsid w:val="7B893F18"/>
    <w:rsid w:val="7B8B2DC3"/>
    <w:rsid w:val="7B8B4B71"/>
    <w:rsid w:val="7B8F3F36"/>
    <w:rsid w:val="7B9003DA"/>
    <w:rsid w:val="7B900EAA"/>
    <w:rsid w:val="7B902188"/>
    <w:rsid w:val="7B95779E"/>
    <w:rsid w:val="7B98728E"/>
    <w:rsid w:val="7B9A21F0"/>
    <w:rsid w:val="7B9F061D"/>
    <w:rsid w:val="7B9F23CB"/>
    <w:rsid w:val="7BA2010D"/>
    <w:rsid w:val="7BA7127F"/>
    <w:rsid w:val="7BAB6FC2"/>
    <w:rsid w:val="7BAE55A6"/>
    <w:rsid w:val="7BAE67AF"/>
    <w:rsid w:val="7BB10350"/>
    <w:rsid w:val="7BB309E9"/>
    <w:rsid w:val="7BB31FE0"/>
    <w:rsid w:val="7BB514DD"/>
    <w:rsid w:val="7BBA3565"/>
    <w:rsid w:val="7BBC11CF"/>
    <w:rsid w:val="7BC260B9"/>
    <w:rsid w:val="7BC27D34"/>
    <w:rsid w:val="7BC50C8F"/>
    <w:rsid w:val="7BCB31C0"/>
    <w:rsid w:val="7BCC6F38"/>
    <w:rsid w:val="7BCD518A"/>
    <w:rsid w:val="7BCF5287"/>
    <w:rsid w:val="7BD1454E"/>
    <w:rsid w:val="7BD16399"/>
    <w:rsid w:val="7BD227A0"/>
    <w:rsid w:val="7BD323FA"/>
    <w:rsid w:val="7BD4388A"/>
    <w:rsid w:val="7BD57E03"/>
    <w:rsid w:val="7BD61B65"/>
    <w:rsid w:val="7BDC361F"/>
    <w:rsid w:val="7BDC53CD"/>
    <w:rsid w:val="7BDD1145"/>
    <w:rsid w:val="7BDF338E"/>
    <w:rsid w:val="7BE20509"/>
    <w:rsid w:val="7BE527D1"/>
    <w:rsid w:val="7BE91898"/>
    <w:rsid w:val="7BE92EDF"/>
    <w:rsid w:val="7BE94A5A"/>
    <w:rsid w:val="7BEB5B24"/>
    <w:rsid w:val="7BEC3136"/>
    <w:rsid w:val="7BF2699E"/>
    <w:rsid w:val="7BF53F87"/>
    <w:rsid w:val="7BF86B05"/>
    <w:rsid w:val="7BFC3D4D"/>
    <w:rsid w:val="7BFD3595"/>
    <w:rsid w:val="7C02295A"/>
    <w:rsid w:val="7C084414"/>
    <w:rsid w:val="7C0C570E"/>
    <w:rsid w:val="7C0E12FE"/>
    <w:rsid w:val="7C1032C9"/>
    <w:rsid w:val="7C134B67"/>
    <w:rsid w:val="7C183F2B"/>
    <w:rsid w:val="7C1C7EBF"/>
    <w:rsid w:val="7C262AEC"/>
    <w:rsid w:val="7C26489A"/>
    <w:rsid w:val="7C2B0102"/>
    <w:rsid w:val="7C2B1EB0"/>
    <w:rsid w:val="7C2E5873"/>
    <w:rsid w:val="7C321491"/>
    <w:rsid w:val="7C336FB7"/>
    <w:rsid w:val="7C352C27"/>
    <w:rsid w:val="7C3859AC"/>
    <w:rsid w:val="7C3C5E6C"/>
    <w:rsid w:val="7C4116D4"/>
    <w:rsid w:val="7C414BA4"/>
    <w:rsid w:val="7C43369E"/>
    <w:rsid w:val="7C466CEA"/>
    <w:rsid w:val="7C484810"/>
    <w:rsid w:val="7C4D62CB"/>
    <w:rsid w:val="7C532BE5"/>
    <w:rsid w:val="7C5331B5"/>
    <w:rsid w:val="7C5533D1"/>
    <w:rsid w:val="7C55517F"/>
    <w:rsid w:val="7C5D4691"/>
    <w:rsid w:val="7C5E077A"/>
    <w:rsid w:val="7C5E4034"/>
    <w:rsid w:val="7C5F566E"/>
    <w:rsid w:val="7C624DBC"/>
    <w:rsid w:val="7C63789C"/>
    <w:rsid w:val="7C655D5E"/>
    <w:rsid w:val="7C6B04FF"/>
    <w:rsid w:val="7C6F7FEF"/>
    <w:rsid w:val="7C716A88"/>
    <w:rsid w:val="7C7216E7"/>
    <w:rsid w:val="7C745605"/>
    <w:rsid w:val="7C75137E"/>
    <w:rsid w:val="7C7575D0"/>
    <w:rsid w:val="7C7E6484"/>
    <w:rsid w:val="7C80044E"/>
    <w:rsid w:val="7C86358B"/>
    <w:rsid w:val="7C887303"/>
    <w:rsid w:val="7C8B7BB3"/>
    <w:rsid w:val="7C9020F0"/>
    <w:rsid w:val="7C943EFA"/>
    <w:rsid w:val="7C9B7036"/>
    <w:rsid w:val="7C9B7203"/>
    <w:rsid w:val="7C9C3264"/>
    <w:rsid w:val="7CA0289E"/>
    <w:rsid w:val="7CA22801"/>
    <w:rsid w:val="7CA3339F"/>
    <w:rsid w:val="7CAE47CA"/>
    <w:rsid w:val="7CB50753"/>
    <w:rsid w:val="7CBE2D25"/>
    <w:rsid w:val="7CBE4AD3"/>
    <w:rsid w:val="7CBF48B5"/>
    <w:rsid w:val="7CC4295A"/>
    <w:rsid w:val="7CC84A54"/>
    <w:rsid w:val="7CCA791B"/>
    <w:rsid w:val="7CCC5441"/>
    <w:rsid w:val="7CCD4D16"/>
    <w:rsid w:val="7CCD740C"/>
    <w:rsid w:val="7CD12A58"/>
    <w:rsid w:val="7CD47820"/>
    <w:rsid w:val="7CD561F5"/>
    <w:rsid w:val="7CD67752"/>
    <w:rsid w:val="7CD67C72"/>
    <w:rsid w:val="7CD824D6"/>
    <w:rsid w:val="7CDB7433"/>
    <w:rsid w:val="7CE22E28"/>
    <w:rsid w:val="7CE24C65"/>
    <w:rsid w:val="7CE315D5"/>
    <w:rsid w:val="7CE46E89"/>
    <w:rsid w:val="7CEA5F6E"/>
    <w:rsid w:val="7CEC1640"/>
    <w:rsid w:val="7CED360A"/>
    <w:rsid w:val="7CEF2EDE"/>
    <w:rsid w:val="7CF7272E"/>
    <w:rsid w:val="7CF77FE5"/>
    <w:rsid w:val="7D050953"/>
    <w:rsid w:val="7D0C7F34"/>
    <w:rsid w:val="7D0D7525"/>
    <w:rsid w:val="7D11554A"/>
    <w:rsid w:val="7D1172F8"/>
    <w:rsid w:val="7D142945"/>
    <w:rsid w:val="7D197F5B"/>
    <w:rsid w:val="7D1A586A"/>
    <w:rsid w:val="7D23702C"/>
    <w:rsid w:val="7D252DA4"/>
    <w:rsid w:val="7D2A2168"/>
    <w:rsid w:val="7D2C4132"/>
    <w:rsid w:val="7D341239"/>
    <w:rsid w:val="7D366C7B"/>
    <w:rsid w:val="7D3923AB"/>
    <w:rsid w:val="7D39684F"/>
    <w:rsid w:val="7D3E3E65"/>
    <w:rsid w:val="7D484972"/>
    <w:rsid w:val="7D4D20CE"/>
    <w:rsid w:val="7D4D5E56"/>
    <w:rsid w:val="7D5471E5"/>
    <w:rsid w:val="7D567401"/>
    <w:rsid w:val="7D625F21"/>
    <w:rsid w:val="7D63567A"/>
    <w:rsid w:val="7D675200"/>
    <w:rsid w:val="7D676FBC"/>
    <w:rsid w:val="7D6A07B6"/>
    <w:rsid w:val="7D717D97"/>
    <w:rsid w:val="7D7243AD"/>
    <w:rsid w:val="7D733B0F"/>
    <w:rsid w:val="7D7653AD"/>
    <w:rsid w:val="7D777879"/>
    <w:rsid w:val="7D7F0706"/>
    <w:rsid w:val="7D821FA4"/>
    <w:rsid w:val="7D822167"/>
    <w:rsid w:val="7D8C4BD1"/>
    <w:rsid w:val="7D8E0949"/>
    <w:rsid w:val="7D9121E7"/>
    <w:rsid w:val="7D9237C6"/>
    <w:rsid w:val="7D9615AC"/>
    <w:rsid w:val="7D985324"/>
    <w:rsid w:val="7D9A5540"/>
    <w:rsid w:val="7D9D0B8C"/>
    <w:rsid w:val="7D9D293A"/>
    <w:rsid w:val="7D9F168F"/>
    <w:rsid w:val="7D9F2B56"/>
    <w:rsid w:val="7DA16BFB"/>
    <w:rsid w:val="7DA43CC8"/>
    <w:rsid w:val="7DA57A41"/>
    <w:rsid w:val="7DA912DF"/>
    <w:rsid w:val="7DA95783"/>
    <w:rsid w:val="7DAD1B95"/>
    <w:rsid w:val="7DAE0FEB"/>
    <w:rsid w:val="7DAF3A78"/>
    <w:rsid w:val="7DB14637"/>
    <w:rsid w:val="7DB303AF"/>
    <w:rsid w:val="7DB97A1F"/>
    <w:rsid w:val="7DC1794C"/>
    <w:rsid w:val="7DC26844"/>
    <w:rsid w:val="7DC336BA"/>
    <w:rsid w:val="7DC4436B"/>
    <w:rsid w:val="7DC477E3"/>
    <w:rsid w:val="7DC538DA"/>
    <w:rsid w:val="7DD33150"/>
    <w:rsid w:val="7DDA1DE0"/>
    <w:rsid w:val="7DDB020A"/>
    <w:rsid w:val="7DDC1631"/>
    <w:rsid w:val="7DE1316F"/>
    <w:rsid w:val="7DE44A0D"/>
    <w:rsid w:val="7DE74A45"/>
    <w:rsid w:val="7DE84635"/>
    <w:rsid w:val="7DEA4547"/>
    <w:rsid w:val="7DEE6EE1"/>
    <w:rsid w:val="7DF52776"/>
    <w:rsid w:val="7DF804B8"/>
    <w:rsid w:val="7DF82266"/>
    <w:rsid w:val="7DF84EB1"/>
    <w:rsid w:val="7DFA4230"/>
    <w:rsid w:val="7DFB58B2"/>
    <w:rsid w:val="7E00216C"/>
    <w:rsid w:val="7E01736D"/>
    <w:rsid w:val="7E096221"/>
    <w:rsid w:val="7E0B01EB"/>
    <w:rsid w:val="7E0D3F64"/>
    <w:rsid w:val="7E124581"/>
    <w:rsid w:val="7E1621A7"/>
    <w:rsid w:val="7E1C7D03"/>
    <w:rsid w:val="7E266DD3"/>
    <w:rsid w:val="7E287508"/>
    <w:rsid w:val="7E292420"/>
    <w:rsid w:val="7E2A06FB"/>
    <w:rsid w:val="7E2D0162"/>
    <w:rsid w:val="7E2D1F10"/>
    <w:rsid w:val="7E327526"/>
    <w:rsid w:val="7E357016"/>
    <w:rsid w:val="7E3F2791"/>
    <w:rsid w:val="7E3F60E7"/>
    <w:rsid w:val="7E4B05E8"/>
    <w:rsid w:val="7E4B4A8C"/>
    <w:rsid w:val="7E4B683A"/>
    <w:rsid w:val="7E4C610E"/>
    <w:rsid w:val="7E4D4360"/>
    <w:rsid w:val="7E4F49A7"/>
    <w:rsid w:val="7E527BC8"/>
    <w:rsid w:val="7E532EA4"/>
    <w:rsid w:val="7E535DCD"/>
    <w:rsid w:val="7E5576B9"/>
    <w:rsid w:val="7E5C0A47"/>
    <w:rsid w:val="7E633B84"/>
    <w:rsid w:val="7E6478FC"/>
    <w:rsid w:val="7E6A7C63"/>
    <w:rsid w:val="7E6B23A3"/>
    <w:rsid w:val="7E6B47E6"/>
    <w:rsid w:val="7E6D4A02"/>
    <w:rsid w:val="7E725B75"/>
    <w:rsid w:val="7E7318ED"/>
    <w:rsid w:val="7E77762F"/>
    <w:rsid w:val="7E81400A"/>
    <w:rsid w:val="7E891110"/>
    <w:rsid w:val="7E8B30DA"/>
    <w:rsid w:val="7E8D29AE"/>
    <w:rsid w:val="7E9006F1"/>
    <w:rsid w:val="7E90249F"/>
    <w:rsid w:val="7E927FC5"/>
    <w:rsid w:val="7E941F8F"/>
    <w:rsid w:val="7E991353"/>
    <w:rsid w:val="7E9C0E44"/>
    <w:rsid w:val="7E9C2A65"/>
    <w:rsid w:val="7E9F624D"/>
    <w:rsid w:val="7EA146AC"/>
    <w:rsid w:val="7EA62CDF"/>
    <w:rsid w:val="7EA67F14"/>
    <w:rsid w:val="7EA72608"/>
    <w:rsid w:val="7EA83C8C"/>
    <w:rsid w:val="7EAA3560"/>
    <w:rsid w:val="7EAD3051"/>
    <w:rsid w:val="7EB10D93"/>
    <w:rsid w:val="7EB22415"/>
    <w:rsid w:val="7EB42631"/>
    <w:rsid w:val="7EB517AA"/>
    <w:rsid w:val="7EB64B61"/>
    <w:rsid w:val="7EB81876"/>
    <w:rsid w:val="7EBA751C"/>
    <w:rsid w:val="7EBC7738"/>
    <w:rsid w:val="7EC34622"/>
    <w:rsid w:val="7EC35CD5"/>
    <w:rsid w:val="7EC42148"/>
    <w:rsid w:val="7EC55299"/>
    <w:rsid w:val="7ECA3C03"/>
    <w:rsid w:val="7ECB1729"/>
    <w:rsid w:val="7ECF0F9A"/>
    <w:rsid w:val="7ECF7888"/>
    <w:rsid w:val="7ED625A7"/>
    <w:rsid w:val="7ED92098"/>
    <w:rsid w:val="7EDA196C"/>
    <w:rsid w:val="7EE30820"/>
    <w:rsid w:val="7EF24F07"/>
    <w:rsid w:val="7EF742CC"/>
    <w:rsid w:val="7EF96296"/>
    <w:rsid w:val="7EFB3DBC"/>
    <w:rsid w:val="7EFC5948"/>
    <w:rsid w:val="7EFC5D86"/>
    <w:rsid w:val="7EFE1AFE"/>
    <w:rsid w:val="7F0013D2"/>
    <w:rsid w:val="7F037115"/>
    <w:rsid w:val="7F0B394B"/>
    <w:rsid w:val="7F0E027B"/>
    <w:rsid w:val="7F0F5AB9"/>
    <w:rsid w:val="7F0F7867"/>
    <w:rsid w:val="7F1135E0"/>
    <w:rsid w:val="7F141322"/>
    <w:rsid w:val="7F1906E6"/>
    <w:rsid w:val="7F192494"/>
    <w:rsid w:val="7F207CC7"/>
    <w:rsid w:val="7F233313"/>
    <w:rsid w:val="7F2D4191"/>
    <w:rsid w:val="7F30482A"/>
    <w:rsid w:val="7F3177DE"/>
    <w:rsid w:val="7F343772"/>
    <w:rsid w:val="7F361298"/>
    <w:rsid w:val="7F385010"/>
    <w:rsid w:val="7F3B240A"/>
    <w:rsid w:val="7F3D15CE"/>
    <w:rsid w:val="7F402117"/>
    <w:rsid w:val="7F460DAF"/>
    <w:rsid w:val="7F482D79"/>
    <w:rsid w:val="7F4D0390"/>
    <w:rsid w:val="7F4F4108"/>
    <w:rsid w:val="7F596D35"/>
    <w:rsid w:val="7F5B3A4C"/>
    <w:rsid w:val="7F5B485B"/>
    <w:rsid w:val="7F5E259D"/>
    <w:rsid w:val="7F604567"/>
    <w:rsid w:val="7F6573DA"/>
    <w:rsid w:val="7F6A37A6"/>
    <w:rsid w:val="7F6B7807"/>
    <w:rsid w:val="7F6C7FA9"/>
    <w:rsid w:val="7F7160D4"/>
    <w:rsid w:val="7F765B38"/>
    <w:rsid w:val="7F840255"/>
    <w:rsid w:val="7F8B5460"/>
    <w:rsid w:val="7F8C7F60"/>
    <w:rsid w:val="7F8D69DE"/>
    <w:rsid w:val="7F8E0DA1"/>
    <w:rsid w:val="7F8E2E82"/>
    <w:rsid w:val="7F911521"/>
    <w:rsid w:val="7F923FF5"/>
    <w:rsid w:val="7F930498"/>
    <w:rsid w:val="7F932E5A"/>
    <w:rsid w:val="7F9562A7"/>
    <w:rsid w:val="7F956761"/>
    <w:rsid w:val="7F9A2B41"/>
    <w:rsid w:val="7F9B10FB"/>
    <w:rsid w:val="7F9B559F"/>
    <w:rsid w:val="7F9B734D"/>
    <w:rsid w:val="7F9F5B66"/>
    <w:rsid w:val="7FA2248A"/>
    <w:rsid w:val="7FA93818"/>
    <w:rsid w:val="7FAA7590"/>
    <w:rsid w:val="7FAB3A34"/>
    <w:rsid w:val="7FB1091F"/>
    <w:rsid w:val="7FBA072D"/>
    <w:rsid w:val="7FBA3C77"/>
    <w:rsid w:val="7FBC2E67"/>
    <w:rsid w:val="7FC40652"/>
    <w:rsid w:val="7FC543CA"/>
    <w:rsid w:val="7FC56178"/>
    <w:rsid w:val="7FC76394"/>
    <w:rsid w:val="7FCA0AE5"/>
    <w:rsid w:val="7FD13DE3"/>
    <w:rsid w:val="7FD178C3"/>
    <w:rsid w:val="7FD55335"/>
    <w:rsid w:val="7FDA65D6"/>
    <w:rsid w:val="7FDC7EA8"/>
    <w:rsid w:val="7FDD5BB8"/>
    <w:rsid w:val="7FE231CE"/>
    <w:rsid w:val="7FE505C8"/>
    <w:rsid w:val="7FE83B07"/>
    <w:rsid w:val="7FEC6AD2"/>
    <w:rsid w:val="7FF151BF"/>
    <w:rsid w:val="7FF30F37"/>
    <w:rsid w:val="7FF35CED"/>
    <w:rsid w:val="7FF56A5D"/>
    <w:rsid w:val="7FFE4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iPriority="99"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3"/>
    <w:autoRedefine/>
    <w:qFormat/>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2"/>
    <w:basedOn w:val="1"/>
    <w:next w:val="1"/>
    <w:unhideWhenUsed/>
    <w:qFormat/>
    <w:uiPriority w:val="0"/>
    <w:pPr>
      <w:keepNext/>
      <w:keepLines/>
      <w:spacing w:before="260" w:after="260" w:line="416" w:lineRule="auto"/>
      <w:outlineLvl w:val="1"/>
    </w:pPr>
    <w:rPr>
      <w:rFonts w:ascii="Cambria" w:hAnsi="Cambria" w:eastAsia="宋体" w:cs="Times New Roman"/>
      <w:b/>
      <w:bCs/>
      <w:sz w:val="32"/>
      <w:szCs w:val="32"/>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5">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6">
    <w:name w:val="Normal Indent"/>
    <w:basedOn w:val="1"/>
    <w:autoRedefine/>
    <w:unhideWhenUsed/>
    <w:qFormat/>
    <w:uiPriority w:val="0"/>
    <w:pPr>
      <w:ind w:firstLine="420"/>
    </w:pPr>
    <w:rPr>
      <w:szCs w:val="20"/>
    </w:rPr>
  </w:style>
  <w:style w:type="paragraph" w:styleId="7">
    <w:name w:val="annotation text"/>
    <w:basedOn w:val="1"/>
    <w:link w:val="55"/>
    <w:qFormat/>
    <w:uiPriority w:val="0"/>
    <w:pPr>
      <w:jc w:val="left"/>
    </w:pPr>
  </w:style>
  <w:style w:type="paragraph" w:styleId="8">
    <w:name w:val="Body Text"/>
    <w:basedOn w:val="1"/>
    <w:next w:val="9"/>
    <w:autoRedefine/>
    <w:qFormat/>
    <w:uiPriority w:val="0"/>
    <w:pPr>
      <w:widowControl/>
      <w:snapToGrid w:val="0"/>
      <w:spacing w:before="60" w:after="160" w:line="259" w:lineRule="auto"/>
      <w:ind w:right="113"/>
    </w:pPr>
    <w:rPr>
      <w:kern w:val="0"/>
      <w:sz w:val="18"/>
      <w:szCs w:val="20"/>
    </w:rPr>
  </w:style>
  <w:style w:type="paragraph" w:styleId="9">
    <w:name w:val="Date"/>
    <w:basedOn w:val="1"/>
    <w:next w:val="1"/>
    <w:qFormat/>
    <w:uiPriority w:val="0"/>
    <w:rPr>
      <w:sz w:val="28"/>
    </w:rPr>
  </w:style>
  <w:style w:type="paragraph" w:styleId="10">
    <w:name w:val="Body Text Indent"/>
    <w:basedOn w:val="1"/>
    <w:next w:val="11"/>
    <w:autoRedefine/>
    <w:qFormat/>
    <w:uiPriority w:val="0"/>
    <w:pPr>
      <w:spacing w:after="120"/>
      <w:ind w:left="420" w:leftChars="200"/>
    </w:pPr>
    <w:rPr>
      <w:kern w:val="0"/>
      <w:sz w:val="24"/>
      <w:szCs w:val="20"/>
    </w:rPr>
  </w:style>
  <w:style w:type="paragraph" w:styleId="11">
    <w:name w:val="envelope return"/>
    <w:basedOn w:val="1"/>
    <w:qFormat/>
    <w:uiPriority w:val="0"/>
    <w:pPr>
      <w:snapToGrid w:val="0"/>
      <w:spacing w:line="480" w:lineRule="exact"/>
    </w:pPr>
    <w:rPr>
      <w:rFonts w:ascii="Arial" w:hAnsi="Arial" w:cs="Arial"/>
    </w:rPr>
  </w:style>
  <w:style w:type="paragraph" w:styleId="12">
    <w:name w:val="toc 3"/>
    <w:basedOn w:val="1"/>
    <w:next w:val="1"/>
    <w:qFormat/>
    <w:uiPriority w:val="39"/>
    <w:pPr>
      <w:ind w:left="840" w:leftChars="400"/>
    </w:pPr>
  </w:style>
  <w:style w:type="paragraph" w:styleId="13">
    <w:name w:val="Plain Text"/>
    <w:basedOn w:val="1"/>
    <w:autoRedefine/>
    <w:unhideWhenUsed/>
    <w:qFormat/>
    <w:uiPriority w:val="0"/>
    <w:pPr>
      <w:widowControl/>
      <w:spacing w:before="100" w:beforeAutospacing="1" w:after="100" w:afterAutospacing="1"/>
      <w:jc w:val="left"/>
    </w:pPr>
    <w:rPr>
      <w:rFonts w:ascii="Arial Unicode MS" w:hAnsi="Arial Unicode MS" w:eastAsia="Arial Unicode MS" w:cs="Arial Unicode MS"/>
      <w:kern w:val="0"/>
      <w:sz w:val="24"/>
    </w:rPr>
  </w:style>
  <w:style w:type="paragraph" w:styleId="14">
    <w:name w:val="footer"/>
    <w:basedOn w:val="1"/>
    <w:autoRedefine/>
    <w:qFormat/>
    <w:uiPriority w:val="99"/>
    <w:pPr>
      <w:tabs>
        <w:tab w:val="center" w:pos="4153"/>
        <w:tab w:val="right" w:pos="8306"/>
      </w:tabs>
      <w:snapToGrid w:val="0"/>
      <w:jc w:val="left"/>
    </w:pPr>
    <w:rPr>
      <w:kern w:val="0"/>
      <w:sz w:val="18"/>
      <w:szCs w:val="20"/>
    </w:rPr>
  </w:style>
  <w:style w:type="paragraph" w:styleId="1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6">
    <w:name w:val="toc 1"/>
    <w:basedOn w:val="1"/>
    <w:next w:val="1"/>
    <w:qFormat/>
    <w:uiPriority w:val="39"/>
  </w:style>
  <w:style w:type="paragraph" w:styleId="17">
    <w:name w:val="List"/>
    <w:basedOn w:val="1"/>
    <w:unhideWhenUsed/>
    <w:qFormat/>
    <w:uiPriority w:val="99"/>
    <w:pPr>
      <w:ind w:left="200" w:hanging="200" w:hangingChars="200"/>
      <w:contextualSpacing/>
    </w:pPr>
  </w:style>
  <w:style w:type="paragraph" w:styleId="18">
    <w:name w:val="toc 2"/>
    <w:basedOn w:val="1"/>
    <w:next w:val="1"/>
    <w:qFormat/>
    <w:uiPriority w:val="39"/>
    <w:pPr>
      <w:ind w:left="420" w:leftChars="200"/>
    </w:pPr>
  </w:style>
  <w:style w:type="paragraph" w:styleId="19">
    <w:name w:val="HTML Preformatted"/>
    <w:basedOn w:val="1"/>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20">
    <w:name w:val="Normal (Web)"/>
    <w:basedOn w:val="1"/>
    <w:autoRedefine/>
    <w:qFormat/>
    <w:uiPriority w:val="0"/>
    <w:pPr>
      <w:widowControl/>
      <w:spacing w:before="100" w:beforeAutospacing="1" w:after="100" w:afterAutospacing="1"/>
      <w:jc w:val="left"/>
    </w:pPr>
    <w:rPr>
      <w:rFonts w:ascii="宋体" w:hAnsi="宋体"/>
      <w:kern w:val="0"/>
      <w:sz w:val="24"/>
      <w:szCs w:val="20"/>
    </w:rPr>
  </w:style>
  <w:style w:type="paragraph" w:styleId="21">
    <w:name w:val="annotation subject"/>
    <w:basedOn w:val="7"/>
    <w:next w:val="7"/>
    <w:link w:val="56"/>
    <w:qFormat/>
    <w:uiPriority w:val="0"/>
    <w:rPr>
      <w:b/>
      <w:bCs/>
    </w:rPr>
  </w:style>
  <w:style w:type="paragraph" w:styleId="22">
    <w:name w:val="Body Text First Indent 2"/>
    <w:basedOn w:val="10"/>
    <w:next w:val="1"/>
    <w:autoRedefine/>
    <w:unhideWhenUsed/>
    <w:qFormat/>
    <w:uiPriority w:val="0"/>
    <w:pPr>
      <w:ind w:firstLine="420" w:firstLineChars="200"/>
    </w:pPr>
    <w:rPr>
      <w:kern w:val="2"/>
      <w:sz w:val="21"/>
      <w:szCs w:val="24"/>
    </w:rPr>
  </w:style>
  <w:style w:type="table" w:styleId="24">
    <w:name w:val="Table Grid"/>
    <w:basedOn w:val="23"/>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Strong"/>
    <w:basedOn w:val="25"/>
    <w:qFormat/>
    <w:uiPriority w:val="0"/>
    <w:rPr>
      <w:b/>
    </w:rPr>
  </w:style>
  <w:style w:type="character" w:styleId="27">
    <w:name w:val="page number"/>
    <w:basedOn w:val="25"/>
    <w:autoRedefine/>
    <w:qFormat/>
    <w:uiPriority w:val="0"/>
  </w:style>
  <w:style w:type="character" w:styleId="28">
    <w:name w:val="Emphasis"/>
    <w:basedOn w:val="25"/>
    <w:autoRedefine/>
    <w:qFormat/>
    <w:uiPriority w:val="20"/>
    <w:rPr>
      <w:i/>
      <w:iCs/>
    </w:rPr>
  </w:style>
  <w:style w:type="character" w:styleId="29">
    <w:name w:val="Hyperlink"/>
    <w:basedOn w:val="25"/>
    <w:autoRedefine/>
    <w:unhideWhenUsed/>
    <w:qFormat/>
    <w:uiPriority w:val="99"/>
    <w:rPr>
      <w:color w:val="0000FF"/>
      <w:u w:val="single"/>
    </w:rPr>
  </w:style>
  <w:style w:type="character" w:styleId="30">
    <w:name w:val="annotation reference"/>
    <w:basedOn w:val="25"/>
    <w:qFormat/>
    <w:uiPriority w:val="0"/>
    <w:rPr>
      <w:sz w:val="21"/>
      <w:szCs w:val="21"/>
    </w:rPr>
  </w:style>
  <w:style w:type="character" w:customStyle="1" w:styleId="31">
    <w:name w:val="fontstyle01"/>
    <w:basedOn w:val="25"/>
    <w:autoRedefine/>
    <w:qFormat/>
    <w:uiPriority w:val="0"/>
    <w:rPr>
      <w:rFonts w:hint="eastAsia" w:ascii="宋体" w:hAnsi="宋体" w:eastAsia="宋体"/>
      <w:color w:val="000000"/>
      <w:sz w:val="24"/>
      <w:szCs w:val="24"/>
    </w:rPr>
  </w:style>
  <w:style w:type="character" w:customStyle="1" w:styleId="32">
    <w:name w:val="fontstyle11"/>
    <w:basedOn w:val="25"/>
    <w:autoRedefine/>
    <w:qFormat/>
    <w:uiPriority w:val="0"/>
    <w:rPr>
      <w:rFonts w:hint="default" w:ascii="TimesNewRoman" w:hAnsi="TimesNewRoman"/>
      <w:color w:val="000000"/>
      <w:sz w:val="24"/>
      <w:szCs w:val="24"/>
    </w:rPr>
  </w:style>
  <w:style w:type="character" w:customStyle="1" w:styleId="33">
    <w:name w:val="fontstyle21"/>
    <w:basedOn w:val="25"/>
    <w:autoRedefine/>
    <w:qFormat/>
    <w:uiPriority w:val="0"/>
    <w:rPr>
      <w:rFonts w:hint="default" w:ascii="TimesNewRoman" w:hAnsi="TimesNewRoman"/>
      <w:color w:val="000000"/>
      <w:sz w:val="24"/>
      <w:szCs w:val="24"/>
    </w:rPr>
  </w:style>
  <w:style w:type="character" w:customStyle="1" w:styleId="34">
    <w:name w:val="font11"/>
    <w:basedOn w:val="25"/>
    <w:autoRedefine/>
    <w:qFormat/>
    <w:uiPriority w:val="0"/>
    <w:rPr>
      <w:rFonts w:hint="eastAsia" w:ascii="宋体" w:hAnsi="宋体" w:eastAsia="宋体" w:cs="宋体"/>
      <w:color w:val="000000"/>
      <w:sz w:val="21"/>
      <w:szCs w:val="21"/>
      <w:u w:val="none"/>
    </w:rPr>
  </w:style>
  <w:style w:type="character" w:customStyle="1" w:styleId="35">
    <w:name w:val="font41"/>
    <w:basedOn w:val="25"/>
    <w:autoRedefine/>
    <w:qFormat/>
    <w:uiPriority w:val="0"/>
    <w:rPr>
      <w:rFonts w:hint="default" w:ascii="Times New Roman" w:hAnsi="Times New Roman" w:cs="Times New Roman"/>
      <w:color w:val="000000"/>
      <w:sz w:val="21"/>
      <w:szCs w:val="21"/>
      <w:u w:val="none"/>
    </w:rPr>
  </w:style>
  <w:style w:type="character" w:customStyle="1" w:styleId="36">
    <w:name w:val="font21"/>
    <w:basedOn w:val="25"/>
    <w:autoRedefine/>
    <w:qFormat/>
    <w:uiPriority w:val="0"/>
    <w:rPr>
      <w:rFonts w:hint="eastAsia" w:ascii="宋体" w:hAnsi="宋体" w:eastAsia="宋体" w:cs="宋体"/>
      <w:color w:val="000000"/>
      <w:sz w:val="21"/>
      <w:szCs w:val="21"/>
      <w:u w:val="none"/>
    </w:rPr>
  </w:style>
  <w:style w:type="paragraph" w:customStyle="1" w:styleId="37">
    <w:name w:val="表文"/>
    <w:basedOn w:val="1"/>
    <w:autoRedefine/>
    <w:qFormat/>
    <w:uiPriority w:val="0"/>
    <w:pPr>
      <w:jc w:val="center"/>
    </w:pPr>
    <w:rPr>
      <w:rFonts w:ascii="仿宋" w:hAnsi="仿宋" w:eastAsia="仿宋"/>
      <w:szCs w:val="21"/>
    </w:rPr>
  </w:style>
  <w:style w:type="paragraph" w:customStyle="1" w:styleId="38">
    <w:name w:val="正文东铝"/>
    <w:basedOn w:val="1"/>
    <w:autoRedefine/>
    <w:qFormat/>
    <w:uiPriority w:val="0"/>
    <w:pPr>
      <w:spacing w:line="520" w:lineRule="exact"/>
      <w:ind w:firstLine="200" w:firstLineChars="200"/>
      <w:jc w:val="left"/>
    </w:pPr>
    <w:rPr>
      <w:color w:val="000000"/>
      <w:sz w:val="24"/>
    </w:rPr>
  </w:style>
  <w:style w:type="paragraph" w:styleId="39">
    <w:name w:val="List Paragraph"/>
    <w:basedOn w:val="1"/>
    <w:autoRedefine/>
    <w:qFormat/>
    <w:uiPriority w:val="34"/>
    <w:pPr>
      <w:widowControl/>
      <w:adjustRightInd w:val="0"/>
      <w:snapToGrid w:val="0"/>
      <w:spacing w:after="200"/>
      <w:ind w:firstLine="420" w:firstLineChars="200"/>
      <w:jc w:val="left"/>
    </w:pPr>
    <w:rPr>
      <w:rFonts w:ascii="Tahoma" w:hAnsi="Tahoma"/>
      <w:kern w:val="0"/>
      <w:sz w:val="22"/>
      <w:szCs w:val="22"/>
    </w:rPr>
  </w:style>
  <w:style w:type="paragraph" w:customStyle="1" w:styleId="40">
    <w:name w:val="其他标题"/>
    <w:basedOn w:val="1"/>
    <w:autoRedefine/>
    <w:qFormat/>
    <w:uiPriority w:val="0"/>
    <w:pPr>
      <w:tabs>
        <w:tab w:val="left" w:pos="2757"/>
      </w:tabs>
      <w:spacing w:beforeLines="50" w:line="360" w:lineRule="auto"/>
      <w:jc w:val="left"/>
    </w:pPr>
    <w:rPr>
      <w:rFonts w:ascii="宋体" w:hAnsi="宋体"/>
      <w:b/>
      <w:sz w:val="28"/>
    </w:rPr>
  </w:style>
  <w:style w:type="paragraph" w:customStyle="1" w:styleId="41">
    <w:name w:val="表格文字"/>
    <w:basedOn w:val="1"/>
    <w:autoRedefine/>
    <w:qFormat/>
    <w:uiPriority w:val="0"/>
    <w:pPr>
      <w:spacing w:line="280" w:lineRule="exact"/>
    </w:pPr>
    <w:rPr>
      <w:rFonts w:ascii="宋体" w:hAnsi="宋体" w:eastAsiaTheme="minorEastAsia" w:cstheme="minorBidi"/>
      <w:sz w:val="18"/>
      <w:szCs w:val="18"/>
    </w:rPr>
  </w:style>
  <w:style w:type="paragraph" w:customStyle="1" w:styleId="42">
    <w:name w:val="正文文本 21"/>
    <w:basedOn w:val="1"/>
    <w:autoRedefine/>
    <w:qFormat/>
    <w:uiPriority w:val="0"/>
    <w:pPr>
      <w:overflowPunct w:val="0"/>
      <w:autoSpaceDE w:val="0"/>
      <w:autoSpaceDN w:val="0"/>
      <w:adjustRightInd w:val="0"/>
      <w:spacing w:line="360" w:lineRule="auto"/>
      <w:ind w:firstLine="425"/>
    </w:pPr>
    <w:rPr>
      <w:sz w:val="24"/>
      <w:szCs w:val="20"/>
    </w:rPr>
  </w:style>
  <w:style w:type="character" w:customStyle="1" w:styleId="43">
    <w:name w:val="标题 1 字符"/>
    <w:basedOn w:val="25"/>
    <w:link w:val="2"/>
    <w:autoRedefine/>
    <w:qFormat/>
    <w:uiPriority w:val="99"/>
    <w:rPr>
      <w:rFonts w:eastAsia="黑体"/>
      <w:b/>
      <w:bCs/>
      <w:color w:val="000000"/>
      <w:kern w:val="44"/>
      <w:sz w:val="30"/>
      <w:szCs w:val="30"/>
    </w:rPr>
  </w:style>
  <w:style w:type="paragraph" w:customStyle="1" w:styleId="44">
    <w:name w:val="表格"/>
    <w:basedOn w:val="1"/>
    <w:autoRedefine/>
    <w:qFormat/>
    <w:uiPriority w:val="0"/>
    <w:pPr>
      <w:adjustRightInd w:val="0"/>
      <w:snapToGrid w:val="0"/>
      <w:spacing w:beforeLines="10" w:afterLines="10" w:line="259" w:lineRule="auto"/>
      <w:jc w:val="center"/>
    </w:pPr>
    <w:rPr>
      <w:rFonts w:ascii="宋体" w:hAnsiTheme="minorHAnsi" w:eastAsiaTheme="minorEastAsia" w:cstheme="minorBidi"/>
      <w:szCs w:val="22"/>
    </w:rPr>
  </w:style>
  <w:style w:type="paragraph" w:customStyle="1" w:styleId="45">
    <w:name w:val="Other|1"/>
    <w:basedOn w:val="1"/>
    <w:autoRedefine/>
    <w:qFormat/>
    <w:uiPriority w:val="0"/>
    <w:pPr>
      <w:jc w:val="center"/>
    </w:pPr>
    <w:rPr>
      <w:rFonts w:ascii="宋体" w:hAnsi="宋体" w:cs="宋体"/>
      <w:sz w:val="20"/>
      <w:szCs w:val="20"/>
      <w:lang w:val="zh-TW" w:eastAsia="zh-TW" w:bidi="zh-TW"/>
    </w:rPr>
  </w:style>
  <w:style w:type="character" w:customStyle="1" w:styleId="46">
    <w:name w:val="font01"/>
    <w:basedOn w:val="25"/>
    <w:autoRedefine/>
    <w:qFormat/>
    <w:uiPriority w:val="0"/>
    <w:rPr>
      <w:rFonts w:hint="eastAsia" w:ascii="宋体" w:hAnsi="宋体" w:eastAsia="宋体" w:cs="宋体"/>
      <w:color w:val="000000"/>
      <w:sz w:val="22"/>
      <w:szCs w:val="22"/>
      <w:u w:val="none"/>
    </w:rPr>
  </w:style>
  <w:style w:type="paragraph" w:customStyle="1" w:styleId="47">
    <w:name w:val="Default"/>
    <w:autoRedefine/>
    <w:qFormat/>
    <w:uiPriority w:val="0"/>
    <w:pPr>
      <w:widowControl w:val="0"/>
      <w:autoSpaceDE w:val="0"/>
      <w:autoSpaceDN w:val="0"/>
      <w:adjustRightInd w:val="0"/>
    </w:pPr>
    <w:rPr>
      <w:rFonts w:ascii="宋体" w:hAnsi="宋体" w:eastAsia="宋体" w:cs="Times New Roman"/>
      <w:color w:val="000000"/>
      <w:sz w:val="24"/>
      <w:szCs w:val="24"/>
      <w:lang w:val="en-US" w:eastAsia="zh-CN" w:bidi="ar-SA"/>
    </w:rPr>
  </w:style>
  <w:style w:type="paragraph" w:customStyle="1" w:styleId="48">
    <w:name w:val="Table Paragraph"/>
    <w:basedOn w:val="1"/>
    <w:autoRedefine/>
    <w:qFormat/>
    <w:uiPriority w:val="1"/>
    <w:pPr>
      <w:spacing w:before="22"/>
      <w:jc w:val="center"/>
    </w:pPr>
    <w:rPr>
      <w:rFonts w:ascii="宋体" w:hAnsi="宋体" w:cs="宋体"/>
      <w:lang w:val="zh-CN" w:bidi="zh-CN"/>
    </w:rPr>
  </w:style>
  <w:style w:type="paragraph" w:customStyle="1" w:styleId="49">
    <w:name w:val="Table Text"/>
    <w:basedOn w:val="1"/>
    <w:semiHidden/>
    <w:qFormat/>
    <w:uiPriority w:val="0"/>
    <w:rPr>
      <w:rFonts w:ascii="宋体" w:hAnsi="宋体" w:cs="宋体"/>
      <w:sz w:val="20"/>
      <w:szCs w:val="20"/>
      <w:lang w:eastAsia="en-US"/>
    </w:rPr>
  </w:style>
  <w:style w:type="table" w:customStyle="1" w:styleId="50">
    <w:name w:val="Table Normal"/>
    <w:semiHidden/>
    <w:unhideWhenUsed/>
    <w:qFormat/>
    <w:uiPriority w:val="0"/>
    <w:tblPr>
      <w:tblCellMar>
        <w:top w:w="0" w:type="dxa"/>
        <w:left w:w="0" w:type="dxa"/>
        <w:bottom w:w="0" w:type="dxa"/>
        <w:right w:w="0" w:type="dxa"/>
      </w:tblCellMar>
    </w:tblPr>
  </w:style>
  <w:style w:type="character" w:customStyle="1" w:styleId="51">
    <w:name w:val="font31"/>
    <w:basedOn w:val="25"/>
    <w:qFormat/>
    <w:uiPriority w:val="0"/>
    <w:rPr>
      <w:rFonts w:hint="eastAsia" w:ascii="宋体" w:hAnsi="宋体" w:eastAsia="宋体" w:cs="宋体"/>
      <w:color w:val="000000"/>
      <w:sz w:val="21"/>
      <w:szCs w:val="21"/>
      <w:u w:val="none"/>
    </w:rPr>
  </w:style>
  <w:style w:type="character" w:customStyle="1" w:styleId="52">
    <w:name w:val="font81"/>
    <w:basedOn w:val="25"/>
    <w:qFormat/>
    <w:uiPriority w:val="0"/>
    <w:rPr>
      <w:rFonts w:hint="eastAsia" w:ascii="宋体" w:hAnsi="宋体" w:eastAsia="宋体" w:cs="宋体"/>
      <w:color w:val="000000"/>
      <w:sz w:val="20"/>
      <w:szCs w:val="20"/>
      <w:u w:val="none"/>
    </w:rPr>
  </w:style>
  <w:style w:type="character" w:customStyle="1" w:styleId="53">
    <w:name w:val="font61"/>
    <w:basedOn w:val="25"/>
    <w:qFormat/>
    <w:uiPriority w:val="0"/>
    <w:rPr>
      <w:rFonts w:hint="eastAsia" w:ascii="宋体" w:hAnsi="宋体" w:eastAsia="宋体" w:cs="宋体"/>
      <w:b/>
      <w:bCs/>
      <w:color w:val="000000"/>
      <w:sz w:val="20"/>
      <w:szCs w:val="20"/>
      <w:u w:val="none"/>
    </w:rPr>
  </w:style>
  <w:style w:type="character" w:customStyle="1" w:styleId="54">
    <w:name w:val="font71"/>
    <w:basedOn w:val="25"/>
    <w:qFormat/>
    <w:uiPriority w:val="0"/>
    <w:rPr>
      <w:rFonts w:hint="default" w:ascii="Times New Roman" w:hAnsi="Times New Roman" w:cs="Times New Roman"/>
      <w:b/>
      <w:bCs/>
      <w:color w:val="000000"/>
      <w:sz w:val="20"/>
      <w:szCs w:val="20"/>
      <w:u w:val="none"/>
      <w:vertAlign w:val="superscript"/>
    </w:rPr>
  </w:style>
  <w:style w:type="character" w:customStyle="1" w:styleId="55">
    <w:name w:val="批注文字 字符"/>
    <w:basedOn w:val="25"/>
    <w:link w:val="7"/>
    <w:qFormat/>
    <w:uiPriority w:val="0"/>
    <w:rPr>
      <w:kern w:val="2"/>
      <w:sz w:val="21"/>
      <w:szCs w:val="24"/>
    </w:rPr>
  </w:style>
  <w:style w:type="character" w:customStyle="1" w:styleId="56">
    <w:name w:val="批注主题 字符"/>
    <w:basedOn w:val="55"/>
    <w:link w:val="21"/>
    <w:qFormat/>
    <w:uiPriority w:val="0"/>
    <w:rPr>
      <w:b/>
      <w:bCs/>
      <w:kern w:val="2"/>
      <w:sz w:val="21"/>
      <w:szCs w:val="24"/>
    </w:rPr>
  </w:style>
  <w:style w:type="character" w:customStyle="1" w:styleId="57">
    <w:name w:val="font51"/>
    <w:basedOn w:val="25"/>
    <w:qFormat/>
    <w:uiPriority w:val="0"/>
    <w:rPr>
      <w:rFonts w:hint="eastAsia" w:ascii="宋体" w:hAnsi="宋体" w:eastAsia="宋体" w:cs="宋体"/>
      <w:b/>
      <w:bCs/>
      <w:color w:val="000000"/>
      <w:sz w:val="21"/>
      <w:szCs w:val="21"/>
      <w:u w:val="none"/>
    </w:rPr>
  </w:style>
  <w:style w:type="paragraph" w:customStyle="1" w:styleId="58">
    <w:name w:val="表格文本"/>
    <w:basedOn w:val="1"/>
    <w:next w:val="1"/>
    <w:qFormat/>
    <w:uiPriority w:val="0"/>
    <w:pPr>
      <w:spacing w:line="288" w:lineRule="auto"/>
      <w:ind w:firstLine="0" w:firstLineChars="0"/>
      <w:jc w:val="center"/>
    </w:pPr>
    <w:rPr>
      <w:rFonts w:ascii="Times New Roman" w:hAnsi="Times New Roman" w:eastAsia="宋体"/>
      <w:sz w:val="21"/>
    </w:rPr>
  </w:style>
  <w:style w:type="paragraph" w:customStyle="1" w:styleId="59">
    <w:name w:val="表注图注"/>
    <w:basedOn w:val="1"/>
    <w:qFormat/>
    <w:uiPriority w:val="0"/>
    <w:pPr>
      <w:ind w:firstLine="0" w:firstLineChars="0"/>
      <w:jc w:val="center"/>
    </w:pPr>
    <w:rPr>
      <w:b/>
      <w:bCs/>
      <w:sz w:val="21"/>
      <w:szCs w:val="21"/>
    </w:rPr>
  </w:style>
  <w:style w:type="paragraph" w:customStyle="1" w:styleId="60">
    <w:name w:val="ENN正文0"/>
    <w:basedOn w:val="1"/>
    <w:autoRedefine/>
    <w:qFormat/>
    <w:uiPriority w:val="0"/>
    <w:pPr>
      <w:autoSpaceDE w:val="0"/>
      <w:autoSpaceDN w:val="0"/>
      <w:spacing w:line="360" w:lineRule="auto"/>
      <w:ind w:firstLine="200" w:firstLineChars="200"/>
    </w:pPr>
    <w:rPr>
      <w:rFonts w:eastAsia="仿宋_GB2312"/>
      <w:kern w:val="0"/>
      <w:sz w:val="24"/>
      <w:szCs w:val="26"/>
      <w:lang w:val="zh-CN"/>
    </w:rPr>
  </w:style>
  <w:style w:type="paragraph" w:customStyle="1" w:styleId="61">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customStyle="1" w:styleId="62">
    <w:name w:val="a表内格式zzzzzzz"/>
    <w:basedOn w:val="1"/>
    <w:next w:val="1"/>
    <w:qFormat/>
    <w:uiPriority w:val="0"/>
    <w:pPr>
      <w:spacing w:line="300" w:lineRule="exact"/>
      <w:jc w:val="center"/>
    </w:pPr>
    <w:rPr>
      <w:kern w:val="0"/>
      <w:szCs w:val="20"/>
    </w:rPr>
  </w:style>
  <w:style w:type="paragraph" w:customStyle="1" w:styleId="63">
    <w:name w:val="表格内容"/>
    <w:basedOn w:val="17"/>
    <w:next w:val="64"/>
    <w:qFormat/>
    <w:uiPriority w:val="0"/>
    <w:pPr>
      <w:autoSpaceDE w:val="0"/>
      <w:autoSpaceDN w:val="0"/>
      <w:adjustRightInd w:val="0"/>
      <w:jc w:val="center"/>
      <w:textAlignment w:val="center"/>
    </w:pPr>
    <w:rPr>
      <w:kern w:val="0"/>
      <w:szCs w:val="21"/>
    </w:rPr>
  </w:style>
  <w:style w:type="paragraph" w:customStyle="1" w:styleId="64">
    <w:name w:val="A-z正文"/>
    <w:basedOn w:val="1"/>
    <w:qFormat/>
    <w:uiPriority w:val="0"/>
    <w:pPr>
      <w:ind w:firstLine="200" w:firstLineChars="200"/>
    </w:pPr>
    <w:rPr>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9" Type="http://schemas.openxmlformats.org/officeDocument/2006/relationships/fontTable" Target="fontTable.xml"/><Relationship Id="rId38" Type="http://schemas.openxmlformats.org/officeDocument/2006/relationships/numbering" Target="numbering.xml"/><Relationship Id="rId37" Type="http://schemas.openxmlformats.org/officeDocument/2006/relationships/customXml" Target="../customXml/item1.xml"/><Relationship Id="rId36" Type="http://schemas.openxmlformats.org/officeDocument/2006/relationships/image" Target="media/image25.png"/><Relationship Id="rId35" Type="http://schemas.openxmlformats.org/officeDocument/2006/relationships/image" Target="media/image24.png"/><Relationship Id="rId34" Type="http://schemas.openxmlformats.org/officeDocument/2006/relationships/image" Target="media/image23.png"/><Relationship Id="rId33" Type="http://schemas.openxmlformats.org/officeDocument/2006/relationships/image" Target="media/image22.png"/><Relationship Id="rId32" Type="http://schemas.openxmlformats.org/officeDocument/2006/relationships/image" Target="media/image21.png"/><Relationship Id="rId31" Type="http://schemas.openxmlformats.org/officeDocument/2006/relationships/image" Target="media/image20.png"/><Relationship Id="rId30" Type="http://schemas.openxmlformats.org/officeDocument/2006/relationships/image" Target="media/image19.png"/><Relationship Id="rId3" Type="http://schemas.openxmlformats.org/officeDocument/2006/relationships/header" Target="header1.xml"/><Relationship Id="rId29" Type="http://schemas.openxmlformats.org/officeDocument/2006/relationships/image" Target="../../Administrator/AppData/Roaming/Tencent/Users/106562794/QQ/WinTemp/RichOle/3%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255bHA_)5@93(CJOQJQ(ZBZ59.png" TargetMode="External"/><Relationship Id="rId28" Type="http://schemas.openxmlformats.org/officeDocument/2006/relationships/image" Target="media/image18.png"/><Relationship Id="rId27" Type="http://schemas.openxmlformats.org/officeDocument/2006/relationships/image" Target="media/image17.png"/><Relationship Id="rId26" Type="http://schemas.openxmlformats.org/officeDocument/2006/relationships/image" Target="media/image16.png"/><Relationship Id="rId25" Type="http://schemas.openxmlformats.org/officeDocument/2006/relationships/image" Target="media/image15.wmf"/><Relationship Id="rId24" Type="http://schemas.openxmlformats.org/officeDocument/2006/relationships/oleObject" Target="embeddings/oleObject5.bin"/><Relationship Id="rId23" Type="http://schemas.openxmlformats.org/officeDocument/2006/relationships/image" Target="media/image14.png"/><Relationship Id="rId22" Type="http://schemas.openxmlformats.org/officeDocument/2006/relationships/image" Target="media/image13.emf"/><Relationship Id="rId21" Type="http://schemas.openxmlformats.org/officeDocument/2006/relationships/oleObject" Target="embeddings/oleObject4.bin"/><Relationship Id="rId20" Type="http://schemas.openxmlformats.org/officeDocument/2006/relationships/image" Target="media/image12.emf"/><Relationship Id="rId2" Type="http://schemas.openxmlformats.org/officeDocument/2006/relationships/settings" Target="settings.xml"/><Relationship Id="rId19" Type="http://schemas.openxmlformats.org/officeDocument/2006/relationships/oleObject" Target="embeddings/oleObject3.bin"/><Relationship Id="rId18" Type="http://schemas.openxmlformats.org/officeDocument/2006/relationships/image" Target="media/image11.png"/><Relationship Id="rId17" Type="http://schemas.openxmlformats.org/officeDocument/2006/relationships/image" Target="media/image10.jpeg"/><Relationship Id="rId16" Type="http://schemas.openxmlformats.org/officeDocument/2006/relationships/image" Target="media/image9.jpeg"/><Relationship Id="rId15" Type="http://schemas.openxmlformats.org/officeDocument/2006/relationships/image" Target="media/image8.jpeg"/><Relationship Id="rId14" Type="http://schemas.openxmlformats.org/officeDocument/2006/relationships/image" Target="media/image7.jpeg"/><Relationship Id="rId13" Type="http://schemas.openxmlformats.org/officeDocument/2006/relationships/image" Target="media/image6.emf"/><Relationship Id="rId12" Type="http://schemas.openxmlformats.org/officeDocument/2006/relationships/oleObject" Target="embeddings/oleObject2.bin"/><Relationship Id="rId11" Type="http://schemas.openxmlformats.org/officeDocument/2006/relationships/image" Target="media/image5.emf"/><Relationship Id="rId10" Type="http://schemas.openxmlformats.org/officeDocument/2006/relationships/oleObject" Target="embeddings/oleObject1.bin"/><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2049"/>
    <customShpInfo spid="_x0000_s1026" textRotate="1"/>
  </customShpExts>
  <extobjs>
    <extobj name="ECB019B1-382A-4266-B25C-5B523AA43C14-1">
      <extobjdata type="ECB019B1-382A-4266-B25C-5B523AA43C14" data="ewoJIkZpbGVJZCIgOiAiMzUwNDU1OTQ1NjA5IiwKCSJHcm91cElkIiA6ICIzMzYxMzI3MzkiLAoJIkltYWdlIiA6ICJpVkJPUncwS0dnb0FBQUFOU1VoRVVnQUFBMGNBQUFFUkNBWUFBQUN3OHR4QUFBQUFBWE5TUjBJQXJzNGM2UUFBSUFCSlJFRlVlSnpzM1hsOEZQWDlQL0RYZTJhVGJFSUNoRXZVV0tPR2drdU9uVTI5cW1pMTNrcTFvclZGV3crODhTZW9yVlZyYTYwSDBnSWVwZDZpRmtWcnJiYlVBeFcxQ2xZOHNyTTVES0RSUm9rZ0VrRWhrRTJ5TysvZkg5bk5kNU5za2czazJ1VDFmRHg4c0puNXpHZmVpMHgyM3pPZnovc0RFQ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SFJBQ0w5SFFBUkVSSEY1L1A1ZnFXcUo2bnE3RUFnRU9pUEdMeGU3MXdSbVNraXQvbjkvdHY2STRhZTRQUDVqbGZWekVUYU9vN3paV2xwNmNyZWpvbUlCaDVYZndkQVJFUkU4YW5xUkJFNVFsVkh4bTczK1h4UHFlcjQ3dlRsT001WnBhV2xYM1EzQnNNdzBnQU1BNURhM1dNSG1JVWlzbDhpRFUzVGZCbkE4YjBjRHhFTlFFeU9pSWlJa295cUhpd2llM2ZuR05NMDB4TnA1dlY2c3dLQndEZGROZlI0UEptVmxaVjEzWW1odC9oOHZpc2R4eGtkdTAxRU50cTIvZWZZYmFyNnNXRVlQK3FzTDFXdDZJMFlpU2c1TURraUlpSktNb1poZU9ycjY0Mk85cnZkN21OVTlXNFJ5UUZRRCtBV3Y5OWYzVlczUHAvdk1WVTlxTGk0ZUdwSlNjbWFqaHBPbmp4NVZGcGEycHVXWmIxckdNYWxKU1VsVFR2NVZucktUTU13V2owVlV0VVBBZnk1VGJ2R3p0NFhBUGg4dnA2T2pZaVNDSk1qSWlLaUFjVHI5WTQwVGRNRkFLcWFGdGs4b3JpNGVBd0FsSlNVYkM0cEtka1I3OWpDd3NKeExwZHJBWUN6UkFRQVhtNXFhcnFzdkx6ODB5NU9LejZmNytISWNVM2hjSGdpZ0E2VGlKU1VsUDBCZkVkRThoM0h5WnM4ZWZKcEgzNzQ0ZWJ1dmRPZXBhb2ZxZXB4QUNBaS8rblBXSWdvZVRFNUlpSWlHa0JFWktXcVRvN2RaaGpHUDFVVkFPRHorU2I0L2Y2cXRvZDV2ZDRaSXZKSEFOa0F2bFRWSzIzYmZpcVJVL3A4dnZzQm5BdWdDY0NaZ1VEZ1g1MGRFQWdFM2k0b0tEak01WEs5S0NKSHBLYW12bHRZV0hoeVdWbloya1RmWnk5b0NnUUMxUURnOC9sQzBiK3ZOdmEzTEt1cm9ZQm1qMGRHUkVtRHlSRVJFZEhBc2hKQURRQ282bVFSeVZIVjkwVmtNd0NJeVBiWXhwWmxlVVRrZmdDSHFhcWpxdmNhaG5HZDMrLy90cXNUNWVYbHBXVmxaUzBDTUIyUnhNanY5eitYU0pEbDVlWGwrZm41MzA5SlNYbFpSUFkzVGZPL2xtV2RiTnYyTzkxOHYzMUdSTGFvNnFPZHRWSFZxeUpQM1lob0NHSnlSRVJFTklEWXRuMUo5TFZsV1E4Qm1LR3ExOWkyM1dxb1dHNXVyanM3Ty9zM0FLNEJrS3FxcGVGdytPS3lzckozRXpuUHBFbVRSbWRrWkR3SFlJcXFOcWpxVHdPQndEKzdFMnRGUmNXNjR1TGl3MVgxRlJHeEFMeG1XZFpQYmR0ZTJwMSsrb0xqT0tjYmh1SFl0bDNXV2J2Q3dzSy9wNlNrZEpsWUV0SGd4T1NvbHhRVkZSMHJJdDhCc0R6Nm1KKzZscGVYbDFaVlZkWFEzM0VRRVExa2xtVWREZUJlRWNsVDFlMk80L3dtRUFqY0NTQ1V5UEVGQlFYN3VseXVaUUFtQVBoV1ZVOE5CQUk3TlUrbnBLU2sxdXYxSG1VWXhrc0FEaGFSWjcxZTd3bUJRT0RWbmVtdnAxbVdkUk9BcXdGQVZXRlpWblRYQ3R1MlQ0ajhYYlJLbUJ6SGdXVlpFSkVaZnIvL2IzMGNNaEgxb3lHVkhQWGxBbkNtYVY0QjRDUlZQUU1BazZNdVdKYTFONEMvaXNoV0FEOENFSGV3T0JIUlVGZFlXRGhSUkdJVGovVWljckpsV1NkM2RheXFQaDhJQk9hcDZuWTByMXUwUVZWUENBUUNwYnNTVXlBUStDWXZMKys0NGNPSHY2eXFkWTJOalcvdVNuODlMRTFFaHFucVFnRFJtMi9uQVVnSGdKU1VGQVBBTUZWOUU4QUhrZjE3aXNoUEFhVDBlYlJFMUsrR1ZISUVMZ0RYaW1WWkw0cklkM3U2MzJBdzZLbXNyR3pzempIYnRtMzdjdmp3NGFNQUhHNVoxbFcyYmMvdjZiaUlpSktWaUxpOFh1K0pJbkpVT0J4K3RNMitDV2grQXBTSVVnQ29xS2pZYUZuV2lZN2o3T2hxZElQak9COGFodkdDNHpnZmRkYXVxcXBxYTE1ZTNuR3BxYWxPZHo4RCtvS3EvamE2ZnBQUDV6dTViY0dHYU9JSUFFVkZSWWVacHZuVGZnaVRpUHJab0VtTyttSUJPSy9YdXlBeVZDNFJ4WkVZcnJZc0s2RmZzQ0l5eisvM3IwcXcvNTd3SFFEN1JlNGc5b1IwRVRGMjdOalJhdTJONHVMaWxQcjYrdEVkSFJUamw2cjZvb2hjVjF4Yy9NLzYrdnBPNHpKTnM2Rzh2SHpMTGtWTVJEUndtUUJHQUlDSS9GdEUzS3E2c2F5czdCcVB4NU1WYmVSMnUwc0I3TnZVMUZRWURvZi9Cd0JwYVduTFJPUlF4M0VPYld4c0xITzczUmNDV0NBaUxaWGFiTnV1VENTSVVDaTBMQ1VseFJhUjlWMjFyYXFxMnRyTjkwaEVOS0FNbXVRSWZiQUFuSWdjS3lLVDQrN3MyTUdKVnIxUjFVUktydlk0VmMzcGFEVjBqOGVUNm5hN2p3cUh3NXRMUzB2ZjY2d2Z5N0lxQUxUNyt3bUZRZ2U1M2U0VmljUVMrYnNhcmFwVmJyZTdxN2hmQTNCMEl2MFNFU1dENHVMaWxIQTRmS3lJbkNZaVB3SXdKckxMcGFyTEFEd0d3S21zckt3RGdNTEN3b01BN0F2Z2svTHk4dkpJVzhQbjh4VUNhS3FycXl1cHFxcHE4UGw4S1FDZ3F0dTZHMU5xYXVyVkFHWTVqbk1yZ0J0MjdSMzJIeEdwaWM0M1V0VU1BRisyMlgrclpWbS9qN3p1Y0lGZElocmNCbE55MU9zTHdHM2F0T21BNGNPSEo3VCtRVnBhMnQ5RjVIZ0FQdzhHZ3dsVi82bXNyS3pmcFFCN3h5Z0FMeG1HOFNhQUgreGlYNStvNnZJZWlBa0FvS3FyZTZvdklxS0JvS0doWVh4cWF1cnowWjlWZGJ1SURBTXcxYmJ0WlczYm02WjVhZVRsNDlGdFhxLzNZQUJaQUZaRkM5eW9hcWFJUUVTNm5Sd05JbytnOVp5anR0NUJaTTZScWtibkhCSFJFRE9va2lQMDhnSndOVFUxQ1NjdlBwOHZEQUNxR296ZTRTTjhFQzFSVzF4Y1BLYWtwS1EydXFPd3NIQWZsOHQxZ2VNNC93MEVBaS9FYkIvbWNya1doRUtoUlltV3B5VWlTbFlWRlJWZldKWlZCZUR2anVNOGFoakdOUUJtT0k0VGJOdldzcXhEQVB3Q1FEQVlETjRYM1c0WXhvOEJRRlZmakc0VGtlR1JiYTJTbzd5OHZMVFUxTlN1aWc1RTk2ZDRQSjVPaXhvMU5qWTJEYlNLbytGdytISFRORDh3RE9OZkpTVWxUUUNRbjUvL0o5TTB4L2g4dmc5VTlaVndPTHhYS0JUNkp2cDVQV25TcE5IcDZlbi9NQXlqMHhFVFJEVDRETGJrcUVzOXNRQ2MxK3VkSlNMN2QzR3Fnc2lmRjBWS3JuYm1YdHUyZDZsUzBLNnlMT3NLRVRtdzdYWlZqWTV0Mjkvbjh6M2Vkbi9Fd3U3TWxmSjRQS21PNDFSYWx0WFEwTkN3ZjJWbFpaMXBtbE1BWEc4WXhqMEFXcElqMHpTUFY5VnpUZE84ME9mekxSR1JYNVdVbEd6b3puc2o2aTNGeGNWand1SHdxWVpoYlBiNy9jLzJkencwS0RpMmJiY1VWNGdwTzkxS1RrNU91b2pjQjBBQS9MbXlzdkpMb0RuWkFYQXVBSVRENGFkakRoa09vTjJUbzZ5c3JMK0l5SXhFQWpNTTR4cTMyMzFOWjIzUzB0SWVCbkJCSXYzMUVWY29GS29OaFVJckFZejJlRHdBbWt0MW02YVppdWI1d2RXaFVDZ0VJRE0yK1d0b2FGZ0pOSDltRGNRQ0UwVFVPNFpVY3RSVEM4Q0p5RlFSK1dFaTV4U1JZeEtJYXhraUZZVDYwZUVBcHJYZEdFMFNSV1FjZ0xQaUhhaXF6d05JT0RseXU5MC9BVEJXVlJkRjc5S3BxbGRFb0tyKzJMYTJiZi9EYXY1MjhCQ0FzeHpIT2RycjlVN3FhSTRVVVhGeDhYY2N4Mm1YNkhla3NiSHg5UTgvL0hEenpwekxjWnhjd3pBZWpNeHZaSEpFZmNVY08zYnNVd0FLVmJXNm9hSGhEOUVkbVptWk13Q01VZFgvbEpXVnJZMDVaaVFBcUdyYmdna2JBS3hGSjFSMW5JaGtBL2dhUUcxbmJTUDk5UmNqSnJrUkFDZ3NMSnprY3JuS096a0dJakxON1hhMysveUxjaHpuU0FBOVBsU2ZpQWFtSVpFYzlmUUNjRTFOVFdlNVhLNzBub3JQTk0ydmVxcXZuYlZseTVhek16SXl6bTI3M1RUTmNTa3BLWjhBV0JrTUJrK0lkMnhsWldXNzRSNmRVZFhMUkNSa0dNWnQwVzJHWVhnQklCd08yMjNiUnlvcUhlYnorYTRXa1RMYnRwa1lVWWRVOVhBUldaeG8rN1MwdEVQUWplU2VxSitabG1VOUlDSS9VdFZHeDNIT2pONWtLaTR1SHVFNHp1OEJRRlZ2YTNOYzNPVEl0dTNmQXZodFp5ZjArWHgzb3JrZ3czMkJRR0RBRm1RUWtmM2RibmZzazdFUEFYd0RvTzBpcmdKZ0tpTHJITVY0SGtDN0txa2kwdStmMFVUVWQ0WkVjb1FlWGdDdW9xSmlZeC9FM0tlcXE2dmpKamdlanljekpTVUZxaHJ1aWJsVFhxODNWMFFPMFdhbHNaV0RSQVF1bDJ1RlpWbHhKNHRGNTVERkpMZXpiTnQrZUZkam91UmhXVlpSWkdIbFZsVDF5ZExTMGcvYmJKdGxHTVlySGZXbHFwY0FtTlYydTgvbk8xaFZmNWxJUEpHNzZSQ1J2U3pMZWlhUlkxVDE4MEFnY0ZVaWJZbGlGUlFVWkx0Y3JyK0p5REdxcWlMeWk5Z3FvbzdqM0NNaVkxVjFlU0FRaUYwa0ZxbzZLdkowdnNOUkViMmxzTEJ3bkdFWUI4VE9KKzBOcXJvRlFPeFF3aS9LeXNwcUFMUVVWb2pNSlZvc0l1bXErcVNJL0V4VjN3ZVFCMkI4UTBQRDFPZ1FSU0lhbW9aS2NnU2daeGVBc3l6ckhnQVp1eHFUaVB6RDcvZi9lMWY3U1NhUkV0d3RSR1FzZ0VJQVgwYUdKeVZFUkFaZGtrcWRFNUVDRWZsTjIrMnFHa0R6WGVKWTZ6c3IyMjlaVm0yOHVZV3FtaU1pSFE2eDZjRHdiaHlUOEw5eG9salJ4QWhBU0VUT2l4M1Y0UFY2THhPUjZhcTZQUlFLWFJ6bjhORUFvS3A5K3VROUx5OHZ6ZVZ5TFZmVmZKL1BkNFBmNzIvN1JLc25yWThXL1luSHNxeGZBSmduSXRtcU9pc2NEai9yY3JsK0ppSWZBYmdDd010dXQ3c2lzaEQ1WWdCeGI5UVIwZUEycEpLam5pUWkweEZabkc5WHFHb1ZnQUdUSEhtOTNsTkVKTGJFYVJvQWlFaStaVm10U3BJN2pqT3p0TFQwaTY3Nk5FMVRBRUJWblVnMXdWWUZLaXpMbWlNaWhRQVcyTGI5cDExK0V6VG9xZXBscXZxU1lSaW5BcmlqSi91MmJmdTUyQVUyTytOMnV5MEFiNm5xNm9hR2hvVG1PVzNkdWpXOFN3SFNrR1VZeGhXTzR5d0ZjSmx0MnkzTElsaVdkYnFJM0IzNThiTHk4dkpQWTQrYk9IRmlGb0E5VkxXeHJLeHNwK2JYN2F6SUdrdDNpTWdEQUc2MUxPdTdobUZjR0swYTExTkU1S2pHeHNhNHlZelA1NXNLNEVZMEYxLzRKQlFLVFMwckszdTNzTEF3SjlyRzcvZXZzaXpyRUJGWktpS1ArWHkrWHpxT003ZTJ0dmJaN2xTcUphTGtONlNTbzk1WUFHN0hqaDFqRE1Ob1Y3WTBacDJqcWNGZ3NOMUVUcmZiZlFXQVc3di9MbnJkQkJFNVJWVWJBSVNBNW5VMkFMZ1JTV3BFSkEyQXkrVnlYWnRJaHpIcmEzUTBMTy9NeUovUGQ3Q2ZxSzFOZ1VDZzJ1ZnpkVGc1WEVRV1c1YlZXV1hLanNvWEp6eUUxTEtzK3NqVEo0Y2wrNm1YN0I3NU03cUErU1FBVG5TbjErdTlVRVR1QldDcTZ1ME5EUTJ2RkJZV2ppc3JLL3NLYUs1cWw1R1I4Y2ZJWjVvZmtkL3JsbVhkSlNMSEpSSkFwQ0FERE1PNHhPZnpuWjdnTWUvWnR2MExBUEQ3L1kvNGZMNzFxdnFNaUp6ak9NNjRuSnljYVQyWmRKU1VsSHdlKzNOay90VU1FYmtRd0tUSVo5cWNjRGg4YTFsWldidDVSVUR6L05iaTR1Sml4M0htQXJqSU1Jekh4NDRkV3pkbXpKai9Gd2dFT3ExeVMwU0R4NUJLanRBTEM4QUZnOEh0OGVicmRMWE9rZGZyYlRTTUFiMEE5N20yYlQ4VmIwZWtwSGZjeW5YeFJKT2pPRldTVUZoWWVKQ0k3Qk5wOTM1SFpXdGpPWTdqS3kwdC9TalI4OVBRcEtxdkF1anMzOG5CQUE3dGFHZHhjZkYranVQOHFvdlRqSTM4dVlkbFdmZDExbEJFMXZuOS9vRjRRNFFHR011eWxnRElsZWJNKzJCVmRVS2gwQ2VSM1E0QUZCY1hwNmpxWHdCY0NBQ3F1c0MyN2V0OFB0OUZBTzYzTE1zQlVBOGdQWHF6ejNHY0JUR24yUlBBeEVUaWlSbCtPanJ5WHlKYTNYejArLzB2ZTczZTR3RXNFNUVUeG8wYjkyaE5UYzJaSFJ6YkU1b2lJenoyQS9CSUtCUzZwZTBUdFhoS1NrcStCWENKMSt0OVdFUitKeUxmcTYrdkh6Q2pPNGlvOXcySjVLaVhGb0RyZUNFa2FzVXdqRXlnL2ZvYUFHQ2E1b1V4UHphSnlOdngrbERWMU1na1pBZHhxZ2tSUlluSU1sVTlwTEd4OGFQT1NuUVhGUlh0YVpybVhzRmdzQ0xlL2xBb3RMdHBtdkhtYnNRN1p6YUFUdHVxYWlrRzV0TmlHbmlhUk9TUTZBK3FPcWR0SWFDU2twSW1uOCszQTBEWWNaeHJvL05sSGNkNXp6Q01zSWlZQUlhaCtVblJSd0QrR0FnRS9oNDl2cU1LcFQwbDN2RFJRQ0R3dHMvbk8xRlZGNGZENFp0NzY5d0FVRkpTc2lNL1AvOGtBS2tWRlJYcnVudDhJQkI0SDhCVWo4ZVR1V2JOR2o0VkpocENoa0p5MUJzTHdMbFVOVXRFa0oyZHZWdEdSa2E3WVhXcW1oWjVXcEx0OFhqR3Q5MHZJZ25OYVJnTUloUGNvYXF0dnFoYWxyVzNpUHdDd0E0QUt3QWM0empPYllGQTRMOXQrN0FzYXo2QVl3QThrTWc4SnhwNjh2THkwckt5c3I1Mm5PWVJSNm1wcVMyVkRVWGtCTC9mdjhLeXJJY1FVN2xLVlpHV2xnYWZ6L2VKMys4dml1MXYrL2J0NzJkbVp1N1RVL0dKQ0JlUnBFUmQ1empPUWhGUkFKOEZBb0ZOOFJyNS9mN1pCUVVGRDVlWGw3ZXM0eE1JQkFKby9tdzNQQjZQcTdLeU1neWdYYUxTVVlYUzN1YjMrMWQ0UEo3djlzV2lxbDFWbG8xVXN1djBSaWVIeXhJTlBZTXRPZXFUQmVDS2k0dkhxcXBFanExMnU5MGRCMlFZVDNlMmZ3Q2JZVm5XRCtMdFVOVUQ0MVg1Nm9RSEFFU2tWWlV1RWJrZXpmTSs3Z21Idy9jWWhsRXVJby9tNU9RVXhZNUZ0eXpyQkFCWHF1cG5xbnBkdDk4SkRRbWhVRWhFWkJnQXY2cStBUUFpTWhIQXlZN2ptSkdmM1FCU1ZUVTZlUjBpY2dhYTc3QzNVbFZWMVFDZ3VrK0NKNHBoMi9aNkFPc1RhUnViR0xYaDlFVUNzak1HYWx4RVJNQWdTNDc2YWdHNFVDZzB5VFJOcU9wR0VVbG9iWk8yVk5VckloM09kK2h2SW5JMDJsU1YyNFcrUEFDZ3FpMGY0ajZmcjFCVnp4V1JZQ2dVbWxkV1ZsWmpXZGFOSWpKbjNMaHhmM2U1WEtkWFYxY0hMY3M2WEVTZUFoQU1oVUpubHBXVmNRRlk2c29LMjdaL0NRQ1daZjFVUkU2TzNhbXFqZEg5a1RaZUVjbU4xMUZSVWRHeGhtRk03NEdZd3JadHoraUJmb2lJaUtnWERhcmtxSzhXZ0ROTjg4VEl5eGY4ZnYvbE94T3IxK3Y5dm9nY0MrQ3RlUHN0eTVxMmJkdTJWNnVxcXRvVk1lZ0xqdU9jMjlqWStJOTQrOXh1OTBQNHZ3cHpuWm84ZWZJb0FCNVYzV2piOWlhZ2VaZ2lnTVVpa3FxcU4wYitIOEcyN2JrK24rOUFBRC9PenM1K2ZzU0lFUStJeUtNQVVsUjFXbGxaMmJzOTh1YUlFbVNhcGdmQU9UM1FWUmdBa3lNaUlxSUJibEFsUitpREJlQ0tpNHRUSE1lWkZwbEQ4MXJiL1ltS3pLdHBON2NHQUx4ZTczUVJlU0lySzJ0MWNYSHgxSktTa2svaXRlc05xdnFTNHppMWp1TzgxZEZZYTUvUDl4ZkhjWmFacHJtaHEvNVNVMU5QQmVBU2taZWkyOUxTMHY0QW9GQlZQOXEyYmR2YzJOTnYzcng1K3FoUm81NFJrWk5NMC95aHFtNFhrYW0yYlMvYjVUZEhROFZsbG1WZEVIbmQ3bmVjaUF5ekxLc3U1bWMzdWhnK3A2b0xHaG9hYm15N1BXYWRvM2NhR2hxT2pYZHNXbHJhbDVGekVCRVIwUUEzYUpLanZsb0F6bkdjSzBSa0gxWGRXRmRYRi9mSnlxNHlUZk1WVlYwbElnZXI2aXJMc241azIvWTd2WEd1dGtwTFN6OUU4M0RFRHZuOS9oVm9McURRSlJHSlBtSDZHd0JZbGpVRHdEVUE2bFgxek1pOGppZ2pPenY3eDZycWljNXBpbnlwL0VsQlFjRkhpWlJoSlFKUURxRFZuS00yKzVzQXhKYmRQaU9CUHB2aTNTeElaSjJqUk1yVEV4RVIwY0F3YUpLanZsZ0F6dXYxSGlBaU53S0FpTnpjNW90OVQ3NlgycHljbktQR2poMzdwSWljSWlLdmViM2Uwd09Cd0l1OWNUNFJlVFc2THRNdTJqZjJCNS9QTndYQXNRQnEvWDcvY3AvUGQ2YXFQaUFpb3FvWFI2b3FvYmk0K0R1cStsTlZ2U1NTZURhcTZ1MGk4cmFxTGhDUjgxd3Uxem1XWmIyaXFrK1pwdmxDU1VsSmg0dC8wdEJVWFYzZG1KMmRmUWFBajIzYkxnV2FGOEFjTldyVWFOTTBML2I1ZlBNQW5LK3ExMFFtdkFNQWZEN2Z2eENuSUVNRVMvWVRFUkVOSVlNbU9ZcWpSeGVBODNxOXVTTHlDb0FzVlYxdTIvWTl2Umw4VFUxTmZVMU56VFNmei9ja2dETkU1RG5Mc2c2TWZ1bnJTU0x5dlo3dU0rSW1vSG1ORGdBaHgzRU9NZ3pEVU5WWmhtRzg1UFY2NTRySVVZN2pGRXV6SmxWZEZBcUZibzMrdi9KNFBLK2twYVdkRCtBYUVUbGVSSTUzSE1leExHdTFxdDRXQ0FTVzlGTHNsR1M4WHUvd21QTDdMZVh6UTZGUXlEVE5mZEg4NURpam9hSEJpZDBmREFZL0Jwcm54N1ZkRjBsVlIwV2VEQTNyb0NSL2RFSE1sSGo3STIyWVlGR3ZLU29xT2xaRXZnTmdlU0FRWUhYRkJPWGw1YVgxMWcxT0lrcHVnelk1Nm9VRjRMWllsdlZmQUx1cjZobUlNeCtwRjRUOWZ2OTB5N0pNQUYvMVJtSUVBSTJOamVQcjZ1cSszZFYrc3JPelM2S1Y2U0xtQXRpam9hRmhJUUFFQW9HckxjdDYwYmJ0NVFEZzgvbStDK0I3cXZxaHFqN2UxTlQwU050MUtTSWxYKzhEOEVCUlVkSFJobUdjTFNJbnFtcG1PQngrQ1RRa2lZamI0L0ZrUnRjVGkyeDdxTE9TL0JIdmRGUmFYMVhmQk5DcWZMMklqSXY4ZWJuYjdlNncrSXFJSE9oMnV6dWJnOWNUVDJhSjJqRk44d29BSjBVK2w1Z2NkY0d5ckwwQi9GVkV0Z0w0RWZybXM1eUlrZ2p2YUhaRFFVRkJkbXBxcXRrUFE3cGNhUDV5MWRPL3hFMDAveHNJOVhDL0xRb0tDckxMeTh1M2RMUXZKU1ZsdE4vdnIrcG10OGFrU1pPeTE2eFo4M1VQaEVoSnhPZnpuUTFnY2R2dHFucUdpT1FBT0xqTnJqdzBQekdLYlZzdEl1MHFINnBxcFczYmY0amRabG5XbXlKeXVLcitXMFErYjN0TWdpNENZUGo5L2tGN000cjZqOC9uZXg2UjVNaTI3WjFhV3FLM1daYjFvb2g4dDZmN0RRYURudTZ1bVpTWGw1YzJmUGp3RHdEa3Erb3ZiZHVlMzlOeEVWRnlZM0pFUkVram1oeXA2cXNBV29iSk9vNXpmMmxwcWQybTdaa0FIbFRWYjBXa0dzQmhBRjRHY0xTcVhtN2JkbXhSaG5hS2k0dEhxR290QUZkalkrTjNkdVlKZENTTzYxWFYxVGJ4SXVxSTErdGRFQmtxMTZYSWVubmpBYXhTMVM4U1BHYWUzKzlmdFNzeGRvZGxXUlVpTWxsVjQ4NzMzUW5wSW1KczNydzV2YnE2T2hqZFdGeGNuRkpmWHorNnN3TUJ3TzEyRjZucWl5S3lSVVFPcXErdjd6UXUwelFiT3JySlIwU0REKzlrRWxFeWVxQ2p1K1NGaFlVNXBtbmVCZUEwQUxiak9GTU53N2hKUkE0TGg4TlhSRjdmNi9QNWpndUh3NWVYbHBiRy9VTHBPTTdwSXVKUzFhcWRUWXdBd08vMzM3YXp4OUxRSkNMSGlzamtiaDUyY0tMVDIxVDFxZTVIdGV0VU5TY1FDTVJkeU52ajhhUzYzZTZqd3VIdzV0TFMwdmM2NjhleXJBb0E3ZjUrUXFIUVFXNjNPOUZLcWdBd1dsV3JPaHBxR3hQM2EraWhSZEdKYU9CamNrUkVTU01ZRFA3VDdYWlBDSWZEN2ViM2VEeWU4V2xwYWI4U2tVdFVOZDF4bkR2cTZ1cXVxNnFxYW9pVzB6Wk4wL0g3L2ROOVB0K25BSzQzRE9NRXk3SVdHWVp4ZDBsSnlacVl2akpGNUdZQVVOV0ZmZlgraUFCZzA2Wk5Cd3dmUHR4TXBHMWFXdHJmUmVSNEFEOFBCb1AvVE9TWXlzcksrcTViOWJsUkFGNHlES1BkM0wrZDhJbXFMdStCbUFBQXFycTZwL29pb29HUHlSRVJKWTNJV2tLdDVxZ1ZGUlVkWmhqR3BRQ21pVWdhQUZ0Vi8xOGdFSGk3ZzI3VTcvZi9wcWlvNkUzRE1PNFRrVXRWOVZMTHN0N2Z0R25URVRVMU5RMXBhV24zbzduNFNuVmpZK1BEdmZ5MmlGcUpYVnV2SzlGbEdGUTEyTkZhVzBQUUI5RUY0WXVMaThmRXpoTXVMQ3pjeCtWeVhlQTR6bjhEZ2NBTE1kdUh1Vnl1QmFGUWFGRlpXVm03T1lsRU5IUXdPU0tpcEdZWVJnNkFuNG5JUjQ3anpBa0VBb3NCT0YwZFYxcGEra3B4Y1hHK3FsNE80RW9BUzJ0cWF1cDlQdCtkQUthcnFnUGdISDdocFA3aTlYcG5pY2orWFRRcmlQeDVrV1ZaWFEzOXVyZTNxcDRteXJLc0swVGt3TGJiVlRVNnRtMS9uOC8zZUFlSEwrek9YQ21QeDVQcU9FNmxaVmtORFEwTisxZFdWdGFacGprRnpVK043d0hRa2h5WnBubThxcDVybXVhRlBwOXZpWWo4cXFTa3BMTUtsRVEwU0RFNUlxS2tadHYyVXo2ZjcyTy8zMjhqZ2FRb1ZrbEp5UTRBZjh6TnpiMjd1cm82QkFEaGNQZ1p3ekF1RlpGTC9INy9XNzBSTTFFaVJHU3FpUHd3d2JiSGROWEdjWnhsQVBvMU9RSndPSUIySmZkalN2S1BBM0JXdkFOVjlYa0FDU2RIYnJmN0p3REdxdXFpNkUwT1ZmV0tDRlRWSDl2V3R1MS9XTTNqYng4Q2NKYmpPRWQ3dmQ1SkhjMlJJcUxCaThrUkVTVTl2OTlmMHRsKzI3WXZBSEJCUi90aksxNlZscGF1OUhxOStiWnRmOXlESVJKMVcxTlQwMWt1bHl1OXAvb3pUZk9ybnVwcloyM1pzdVhzakl5TWM5dHVOMDF6WEVwS3lpY0FWZ2FEd1JQaUhWdFpXUm1NdDcwanFucVppSVFNdzJncGltSVloaGNBd3VHdzNiYTliZHVWQUE3eitYeFhpMGlaYmR0TWpJaUdJQ1pIUkVSdEJBSUJKa2JVNzlvdWlqMFl4TjZJaU9YeGVESlRVbEtncXVHZUdNcnE5WHB6UmVRUWJWWWFMY3FpcWhraUFwZkx0Y0t5ckxockI2bzJiNDRlQTJDV2JkdWNlMGcwUkRBNUlpSWlHcUFzeTdvSFFNYXU5aU1pLy9ENy9mL3VnWkNTUnFRRWR3c1JHUXVnRU1DWHF2cGhvdjJJeUtCTFVvbW9ZMHlPaUlpSUJpZ1JtUTVneEs3Mm82cFZBQVpNY3VUMWVrOFJrZk5pTnFVQmdJamtXNWJWcWlTNTR6Z3pPMXFQTEpacG1nSUFxdW9FQW9GcXRGbWJ5TEtzT1NKU0NHQ0JiZHQvMnVVM1FVU0RFcE1qSWlLaUFXN0hqaDFqRE1Ob2FMczlacDJqcWNGZzhEOXQ5N3ZkN2lzQTNOb1hNWGJUQkJFNVJWVWJBSVFBUUZXM0EzQWprdFJFU3ZPN1hDN1h0WWwwcUtxWklnSVI2V2hZM3BtUlA1L2Z0ZENKYURCamNrUkVSRFRBQllQQjdmSG02M1MxenBIWDYyMDBES012UXR4WjU5cTIvVlM4SFpHUzNuRXIxOFVUVFk1VWRXdmJmWVdGaFFlSnlENlJkdS9IekNmcWtPTTR2dExTMG84U1BUOFJEUTVNam9pSWlBWXU2ZThBa29WaEdKa0FJQ0xiMnU0elRmUENtQitiUkNUdUl0R3FtaW9peDBUV09kdmVPNUVTMFVERzVJaUlpR2hnY3FscWxvZ2dPenQ3dDR5TWpIYkQ2bFExTGZLMEpOdmo4WXh2dTE5RXN2b20xUDZucWptUnY0dk5zZHN0eTlwYlJINEJZQWVBRlFDT2NSem50a0FnOE4rMmZWaVdOUi9BTVFBZVNHU2VFeEVOUGt5T2lJaUlCcURpNHVLeHFpb0FJQ0xWYnJlN3c3YUdZVHpkMmY0QmJJWmxXVCtJdDBOVkQ0d3VEcHNnRHdDSVNLdEtkQ0p5UFlBVUFQZUV3K0Y3RE1Nb0Y1RkhjM0p5aW1wcWF1cWo3U3pMT2dIQWxhcjZtYXBlMSsxM1FrU0RBcE1qSWlLaUFTZ1VDazB5VFJPcXVsRkVudG1aUGxUVkt5S0g5blJzUFVWRWprYWJxbks3MEpjSEFGUzFQTHJONS9NVnF1cTVJaElNaFVMenlzckthaXpMdWxGRTVvd2JOKzd2THBmcjlPcnE2cUJsV1llTHlGTUFncUU0TDdsREFBQWdBRWxFUVZSUTZNeXlzakl1QUVzMFJERTVJaUlpR29CTTB6d3g4dklGdjk5LytjNzA0ZlY2dnk4aXh3SjRLOTUreTdLbWJkdTI3ZFdxcXFwMlJRejZndU00NXpZMk52NGozajYzMi8wUS9xL0NYS2NtVDU0OENvQkhWVGZhdHIwSkFEd2VUeXFBeFNLU3FxbzNscFdWMVFDQWJkdHpmVDdmZ1FCK25KMmQvZnlJRVNNZUVKRkhBYVNvNnJTeXNySjNlK1RORVZGU1luS1U1SEp6YzkxQXg2dU9FeEZSOGlrdUxrNXhIR2RhWkE3TmExMGZFVjlrWGsyN3VUVUE0UFY2cDR2SUUxbFpXYXVMaTR1bmxwU1VmTExUQVhlVHFyN2tPRTZ0NHpodnhhdXlCd0Erbis4dmp1TXNNMDF6UTFmOXBhYW1uZ3JBSlNJdlJiZWxwYVg5QVVDaHFuNjBiZHUydWJHbjM3eDU4L1JSbzBZOUl5SW5tYWI1UTFYZExpSlRiZHRldHN0dmpvaVNHcE9qSkRkaXhJaWZHWWJocnE2dXZyZS9ZeUVpb3A3aE9NNFZJcktQcW02c3E2dUwrMlJsVjVtbStZcXFyaEtSZzFWMWxXVlpQN0p0KzUzZU9GZGJwYVdsSHdMNHNMTTJmcjkvQlpvTEtIUkpSS0pQbVA0R0FKWmx6UUJ3RFlCNlZUMnpxcW9xdHBpRmtaMmQvV05WOVVUbk5JbUlHOEJQQ2dvS1Bpb3ZMLyswZSsrR2lBWVRsZ2hOY3BabHZhaXF3d09Cd0dIOUhRc1JFZTA2cjlkN2dHRVlyd0hJQW5DNTMrLy9TMitkS3ljbkozM3MyTEZQaXNncEFPb2R4ems5RUFpODJKUG5zQ3lyUWtRbXErb0hJaEx1Z1M0TEFhUnYzcnc1dmJxNk91anorYWFnZWRoZ3JkL3YzOTNuODAxVDFTVWlZcWpxTDJ6Ylhnd0F4Y1hGMzFIVm42cnFKWkhFc3hIQUFoRjVXMVVYaU1pRVNBbnZWMVQxS2RNMFh5Z3BLYW50Z1hpSktJbnd5VkVTS3lnb0tBRGdFWkdNZ29LQ2d2THk4dkl1RHlJaW9nSEw2L1htaXNnckFMSlVkYmx0Mi9mMDV2bHFhbXJxYTJwcXB2bDh2aWNCbkNFaXoxbVdkYUJ0MjZVOWZTNFIrVjVQOXhseEV3Q282aHdBSWNkeERqSU13MURWV1laaHZPVDFldWVLeUZHTzR4UkxzeVpWWFJRS2hXNk5QaVh5ZUR5dnBLV2xuUS9nR2hFNVhrU09keHpIc1N4cnRhcmVGZ2dFbHZSUzdFUTB3REE1U21LR1lSd2lJbU5WMVRSTjgyQUFUSTZJaUpKWUlCRDQzTEtzL3dMWVhWWFBBS0I5Y05xdzMrK2ZibG1XQ2VDcjNraU1BS0N4c1hGOFhWM2R0N3ZhVDNaMmRrbTBNbDNFWEFCN05EUTBMQVNBUUNCd3RXVlpMOXEydlJ3QWZEN2Zkd0Y4VDFVL1ZOWEhtNXFhSHFtb3FOZ1kyMmRsWldVamdQc0FQRkJVVkhTMFlSaG5pOGlKcXBvWkRvZGZBaEVSRFd5NXVibHVyOWY3aUdWWmptVlpqdGZyZmNUajhXVDJkMXhFUkxSckNnb0tzb3VMaThmMHc2bGQ2SjNoOWlaNitXWnNRVUZCZG1mN2ZENWYzazUwYTB5YU5HbjBMb1JGUkVtSWM0NlNsR1ZaWTBYa2RRRDVBS0NxSmVGdytOUm9xVklpSWlJaUl1b2VvNzhEb0owVERvZjNBdEJ5SjB4RUpodUdzVE4zeG9pSWlJaUlDRXlPa3BaaEdHY0RjS3NxVkJVQTNDTHlrMzRPaXlpcGViM2VNN3hlNzFuOUhRZFJzdU8xUkVUSmlzbFJjbktKeU0vaWJEOE5RRXBmQjBNMFdCaUc4VE1ST2JlLzR5QktkcnlXaUNoWk1UbEtRcFpsblNnaTR5TlBqQUFBcWdvUjJjMnlyRlA2TVRTaXBGVlFVREJKVmIwQUNnc0tDaWIxZHp4RXlZclhFaEVsTXlaSFNVaFZPeHVxY0g2ZkJVSTBpS1NrcEh4UFJFYUxTSlpoR0wyMUhndlJvTWRyaVlpU0daT2pKT1B4ZUw0aklsYjBxWkdJUUtTNTZHRGs2WkhYNC9GOHB6OWpKRW8ySG84bkZjQWhxcHFwcW00Uk9TUW5KeWU5ditNaVNqYThsb2dvMlRFNVNqSXBLU21IaThodW5UUVo0WGE3RCttemdJZ0dBY2R4c2dBY0xDS0dOUE9PSFR1MnczVlRpQ2crWGt0RWxPeVlIQ1VYVTBRS1ZMWER4VjVWMWEycUZucDV3VDJpd1NROVBYMDNWWjBZczZrb1VpNmZpTHFCMXhJUkpUc21SMG1rdUxnNDB6Q003NG1JQWFCbE9GM3M2OGpkdWdQeTgvTzVxamRSNGs0WGtXSFIwdmdpTXN3MHpWUDdPeWlpSk1ScmlZaVNHcE9qSk9JNHpwNnFlbUJYN1ZUMVFNTXc5dW1MbUlnR2lmUGliSXRYTHArSU9zZHJpWWlTR3BPakpLS3FKNHBJWm13Sjd6aHRJQ0tacG1rZTI0ZWhFU1V0cjlmN2ZSSEpqVk1hZjIvTHNvN294OUNJa2dxdkpTSWFESmdjSlE5VFJDNEdXbGVvaTlWbSt5OEFtSDBYSGxIU09xZWpIYXA2WVY4R1FwVGtlQzBSVWRKamNwUWt2Rjd2UVNLU2wyaDdFZG5Qc3F6RGVqTW1vbVJYV0ZnNFRrU21kTFJmUkk0b0xDd2MxNWN4RVNValhrdEVORml3b2xtU0NJZkRxMFhFMjJiejkwVGtkZ0JwcW5vbGdBOWlkelkyTnE3cnN3Q0prcENJSEFaZ3Q5aDF3NERtb1VDUmJTTU53emdFd0wvNkswYWlaTUJyaVlnR0N5WkhTYUs4dkh3TGdDMngyN3hlYjdhSWhGVFZwYXFmQkFLQjBuNEtqeWdaR1laaEZJbklpSTdtOFlsSU9vQWlBTThEQ1BkbGNFUkpoTmNTRVEwYUhGWkhSRU9TeCtQSkVCRUxrYmw1OFVyam8zbXUzL2NtVFpvMHN1OGpKRW9PdkphSWFEQmhja1JFUTFKcWF1b1lWVDJrcTNhcWVraEtTc29lZlJFVFVUTGl0VVJFZ3dtSDFTVXh4M0dxQVB4T1JGeVIxMFNVSUJINW9ZaU1TYUEwL2hpWHkzVWtnUEsraTQ0b2VmQmFJcUxCaE1sUkVpc3JLNnNCOEdCL3gwR1VwQzZKdnVpb05IN001UEp6QWR6ZFo1RVJKUmRlUzBRMGFMVC9MVVpFTk1nVkZSVjkxelROdGQwNXByR3gwVk5SVWJHNnQySWlTa2E4bG9ob3NPR1RJeUlhY2h6SFNUTk44L2ZkT2NZMFRYZHZ4VU9VckhndEVkRmd3eWRIU2N6cjlZNEU0RkZWUTBRcUFvSEFOLzBkRTFHeW1qaHg0aDRaR1JsSE80NWpCb1BCbDlldVhidSt2Mk1pU2thOGxvZ29tZkhKVVhMekdJWnhMNEEweDNIT0IvRGYvZzZJS0ZtbHA2ZC9WMFRtR29iaFRrOVAvekVBZnFFajJnbThsb2dvbVRFNVNtNnBBTWFwcWp2eW1vaUlpSWlJZGhMWE9TSWlJaUlpSWdLVEl5SWlJaUlpSWdCTWpvaUlpSWlJaUFBd09TSWlJaUlpSWdMQTVJaUlpSWlJaUFnQWt5TWlJaUlpSWlJQVRJNklpSWlJaUlnQU1Ea2lJaUlpSWlJQ3dFVmdrNXFxaGdCOEM2QWg4cHFJZHBLSTFLbHFoWWlrQWFqcjczaUlraFd2SlNKS1preU9rcGlJVkRpT2M3NnFHaUpTMGQveEVDV3pMVnUyVkdSbVpwN3ZPSTdzMkxIanEvNk9oeWhaOFZvaUlpSWlJaUlpSWlJaUlpSWlJaUlpSWlJaUlpSWFGS1MvQTZDZE4zSGl4RDB5TWpLT2RoekhEQWFETDY5ZHUzWjlmOGRFbEt5OFhtOHVnTk5GeEtXcVR3VUNnZXIram9rb0dmRmFJcUpreG9JTVNTdzlQZjI3SWpMWE1BeDNlbnI2andFd09TTGFlYm1HWVZ5dHFtNEFxd0R3Q3gzUnp1RzFSRVJKaStzY0VSRVJFUkVSZ2NrUkVSRVJFUkVSQUNaSFJFUkVSRVJFQUpnY0VSRVJFUkVSQVdCeVJFUkVSRVJFQklESkVSRVJFUkVSRVFBbVIwUkVSRVJFUkFDWUhCRVJFUkVSRVFGZ2NrUkVSRVJFUkFRQWNQVjNBSjNaZlovOTkwNUxTOXVuditNWXFIWTBPWG51Rkh4a2lLVHNhSEx5Y2lkNSt6dWtBVW5WK2V5enRXWC82Kzg0Qm9JOTlzdmZLelhGdFY5L3h6RVFiVzhNNzVPUklnRVZ1T29idy92d2VvcXZvYUhoZnh2K3QvcXovbzZqdi9GYTZoaXZwY1FNaG11SjF3SHRxb0Y0SFVoL0I5Q1IzRnh2THRMMWJ3QyswOSt4REZ3S1VURUFRRVdkQWZ5L3MxK0pZbE5UVStpMG1rOCtyT3J2V1BwVGJxNDNGMjU5QklKSi9SM0xRS1NxTFZlUUFoRGg5ZFNCejFFdloxWlhCNnI3TzVEK3NtZGVZVTZLU3hieldvcVAxMUxDa3ZwYTRtY0s5WkFCZHgwTTNDZEhidVFDOGwxRFpHUjZlanBNa3lNQXFYdWNzSU1kOWZWdzFCbnBjcGw1QUlaMGNnUTNjaUdZSkpEeEdlbnBNRjFtZjBkRVNTUWNDcU0rR0lTajZtNysvWXdCODBIVzExS0FuT2kxbEo2ZURoZXZKZXFHUVhNdDhUT0Zkc0ZBdmc0R2JuSVVNVHdyQzFkZGNSa201UEdwTFhWUDlXZWZZOEhkOTJCVGJXMS9oektnWktTbjQ2b3Jac0t6LzhUK0RvV1NTT1hxdGZqenZRL2dtNjFiK3p1VUFTTWpQUjJYWDNvUnZJWDUvUjBLSlpIQmRpM3hNNFYyeGtDK0RnWjhjcFNTa29KOHovNnd2SVg5SFFvbG1lRlpXVWhMUyszdk1BWWMwMlhDcy85RUhIemc5L283RkVveUtTa3AvUjNDZ0dLNlRPdy9jUUt2SmVxMndYUXQ4VE9GZHRaQXZRNDRWbzJJaUlpSWlBaE1qb2lJaUlpSWlBQXdPU0lpSWlJaUlnTEE1SWlJaUlpSWlBZ0FreU1pSWlJaUlpSUFUSTZJaUlpSWlJZ0FNRGtpSWlJaUlpSUN3T1NJaUlpSWlJZ0lBSk1qSWlJaUlpSWlBRXlPaUlpSWlJaUlBREE1SWlJaUlpSWlBc0RraUlpSWlJaUlDQUNUSXlJaUlpSWlJZ0JNam9pSWlJaUlpQUF3T1NJaUlpSWlJZ0xBNUlpSWlJaUlpQWdBa3lNaUlpSWlJaUlBVEk2SWlJaUlpSWdBTURraUlpSWlJaUlDd09TSWlJaUlpSWdJQUpNaklpSWlJaUlpQUV5T2lJaUlpSWlJQURBNUlpSWlJaUlpQXNEa2lJaUlpSWlJQ0FDVG80UnMzYm9WNjlldlIxMWRYWS8xdVdYTGxoN3JxeU9oVUFnclZxeEFhV2xwcCswcUtpcnd3UWNmd0hHY2hQdDJIQWVoVUNpaEdJaDZXM2w1T2NyS3l2cjh2Q3RXcklCdDJ6M2FaMjF0TFZhc1dJSHE2dW9PMnpRMU5lR0REejdBNnRXcmUvVGNSRVJEa2FyaTY2Ky9Ucmo5aGcwYlVGbFoyWXNSVVg5aWNwU0FoeDkrR0ZPblRzVlRUejNWSS8xZGQ5MTFPUEhFRS9IRkYxLzBTSDlSYlJPUnVybzZ6SjQ5RzNmZGRWZW54LzN1ZDcvRHhSZGZqS2FtcG9UUFZWSlNna01QUGJUVHZrdEtTbkRVVVVmaGdRY2VTTGhmU242ZmYvNDV0bS9mM21mbnE2K3Z4M1hYWFlmenpqc1B5NVl0NjdQenZ2cnFxNWc5ZXphdXV1b3FmUGJaWnp2Vmg2cTJ1eWtSQ0FRd2UvWnN2UERDQ3gwZTkrMjMzK0xpaXkvRzdiZmZ2bFBucGVTeGJOa3luSExLS2ZqclgvL2EzNkVrcFZBb2hJOCsrcWpsNW1aRFEwTzMvdU1OdnNHdnNiRVJNMmJNd1Bubm41L1FUWERIY2ZEYjMvNFdQLy81ejd2OGZrWEp5ZFhmQVF4RisrMjNIMTU1NVJVc1hMZ1FjK2JNaWR2bWswOCt3WDMzM2RkcFAwY2NjUVJPUHZsa0FNRFNwVXZ4NktPUFlzR0NCY2pOemUzeG1OdDY5OTEzRVFxRnNQZmVlM2ZZWnRHaVJkaStmVHM4SGsrdngwTURRMmxwS1diTm1vVzh2RHdzWExnUWJyZTdYWnZUVGpzTjY5YXQ2N0t2Qng5OEVGNnZ0OHQyZDk5OU56WnMySURDd2tJY2UreXhPeFgzempqeXlDTnh3QUVINFAzMzM4ZFZWMTJGeHg5L0hPbnA2UWtmN3pnT2JyNzVabno5OWRlWU0yY09oZzBiMW92UlVyS3FxNnREVFUwTnZ2bm1tMWJiUTZFUUdoc2J1OTJmMisyR1lmemZmZEUzM25nRE45eHd3eTdIR1ZWVVZJUjc3cm1ueC9wTDFEZmZmSU12di93U0d6WnN3SVlORy9EcHA1OWl6Wm8xcUtxcVFsTlRFMzczdTkvaGlDT093QTkvK01OdTlYdlJSUmZoNG9zdjdxV29hU0JJVFUzRmhBa1RVRnBhaWpsejV1RFdXMi90dFAwVFR6d0IyN1l4ZnZ4NC9PSVh2MmpaSGd3RzQzN21VZkpoY3RRUHpqNzdiRHoxMUZQNHozLytnODJiTjJQVXFGSHQybXpac2dXdnYvNTZwLzNzc2NjZUxhOVhybHlKeno3N0RPZWVleTdtejUrUDR1TGlIbzg3MXFwVnF3QUEzLy8rOStQdVg3bHlKVmF0V29YVTFGUzgvZmJiZVB2dHR6dnM2K3FycjRiTHhYK0tnOEZ1dSswR3Q5c04yN2J4eTEvK0VuZmNjUWRTVWxKYXRRbUh3M0FjQjN2c3NVZXJMMmxSdGJXMUNBYURVTlV1ei9mU1N5L2g2YWVmQmdCVVZsWml5cFFwM1lvM0l5TURyNzc2YXJlT2lYSzVYTGp0dHR0dzVwbG5vcnE2R20rOTlSYU9PKzY0aEkvLzl0dHZVVlpXaHVycWFzeVlNUU4zMzMwM3hvMGJ0MU94ME5DelpNbVNuYnByL2JlLy9RMTVlWGt0UDRmRFlRU0RRWXdZTVFKNzdiWFhUc2ZUME5DQWp6LytHTUZnc04yK0o1OThFZ3NXTE5qcHZ1TXBLQ2pBb2tXTEFBRHZ2ZmNlTHIzMDBuWnRUTlBFM252dmpRa1RKbURreUpFdDJ6TXpNenY4N0lxcXFhbmhzS2toWk5hc1dWaTVjaVdXTFZ1R2swOCtHWWNjY2tqY2RtdldyTUU5OTl5RDFOUlV6SnMzRDluWjJRQ2FiMURmY2NjZG1EOS9QbncrWDl4amp6cnFLR3pidHExSDQ3Nzc3cnM3akpWMkhyK1I5ckw1OCtmajg4OC9iN2ZkNVhJaE56Y1hOOTEwVTd0OVU2ZE9iZmxGUG1YS0ZGeCsrZVd0OXYvclgvL0NraVZMV3YyeW56Tm5EbTY1NVJZc1hib1VNMmZPeEx4NTg1Q2ZuOSt5djdhMkZtZWZmWGJjR0RkdjNnd0FPT1dVVStMdXYvRENDekZ0MnJSV2ZhMVpzd2FUSmszQ3VISGo4T1dYWDhMbGNtSE1tREVBbW9jNS9lbFBmd0xRUEd6b3VlZWVhOWVucXJZTVY1ZzllemFUbzBGaS9QanhXTGh3SVdiTW1JRjMzbmtIMTE5L1BXNi8vWGFZcHRuU0pqcU03UEhISDhlSUVTUGE5Ukg5a09wS1JVVUZicjc1NXBhZkN3b0tNSHo0OElUaVhMVnFGUm9hR2pxOHkvZnd3dy9qL2ZmZlQ2aXYxTlJVWkdkbjQ3bm5ub3Y3YnozV0FRY2NnQmt6WmdBQXNyT3o4ZkRERCtQeXl5L0g2dFdyY2Q1NTU3VWJndnJHRzI5Zzd0eTU3ZnFKSm81cjFxekI4Y2NmSC9kY2YvN3puekZod29TRTNnTWxuOHpNVEl3ZlB6N2g5aHMzYnV6MGhzTkJCeDNVNFVpR1JGUlZWZUhNTTgrTXV5L2U4TkZkRlE2SFcxNWJsb1hERHo4YzQ4YU53NTU3N29sWFgzMFZsWldWK09jLy85bnFKbUwwNmR2dXUrL2U1WHQ5N3Jubm1Cd05JUmtaR1pnOWV6YXV2ZlphdlBQT08zRVRqdHJhV2x4NTVaVm9iR3pFcmJmZWl2MzMzNzlsbjJtYTJMcDFLNjY4OGtvODlOQkRjWC8zUm04TTlxUkViaUpTOXczNWI2UTMzWFJUbHdVTG9zVVRubnp5U2J6NDRvdWR0ajNzc01OdzFWVlh0Znk4ZXZYcURpZE5iOXUyTFc3aWRNQUJCN1FrUHBtWm1hM3U4cWtxVnF4WUFSRnA5YVhJTkUzODduZS9nK000ZVAvOTk5c05keE1SWkdWbGRmcitNak16SVNMdDlyZTk4Nzk4K1hLb2FzdndoR25UcG1IaXhJa3RkL0htenAyTG1wb2FpQWptelp1SHd3NDdyRjJmdi83MXI3RjgrWEpNblRvVmFXbHBjZU9pNUpTWGw0ZmJicnNOczJiTndodHZ2SUgzMzM4ZkJ4OThNSURtRDRldnZ2b0tBSFpwR05tYU5Xc3djK1pNTkRRMHdPdjFJaEFJSUJnTTRzNDc3MFJtWm1hSHh6VTBOT0NXVzI1QlEwTUQwdExTOE1jLy9qRnV1NnFxcW9TVG82aEUya2Z2TWthTkhEa1M5OXh6RHk2NjZDS01IRGtTbzBlUGJyWGY1WExGdlc3RDRUQnFhMnRobW1hSDEzVzhwM0tVSEJvYkcxdSs5RVNUQU1keDBORFFBS0Q1OS9scHA1MkcwMDQ3TGVFK2p6bm1tSlliWVgxdCt2VHBtRDU5ZXBmdERqMzBVQVNEUVR6MDBFT3dMQ3ZoL2xOU1VuREhIWGUwL0Z4ZVhvN0t5c3BXTjJXSTJ2cm1tMi93N3J2dnR0cjIwNS8rRkpNblQ4YkxMNzhNQVBCNnZkaHR0OTFRWDErUHE2NjZDbDk5OVJWbXpaclY3cWJVU1NlZGhDKysrQUwzMzM4L0xyLzhjanoyMkdQdGJsNjgrZWFiWGNiMDE3LytGWGZkZFJjT09PQ0FMcWRXVU84WjhzblJoZzBiRXA1TS9jMDMzN1FiOTkzV3hJa1RXLzM4MEVNUEFRQSsrK3d6ZlBqaGh6anh4QlBiSGZQRkYxOWd5WklsT1AvODgxdStISDN3d1FkeCsxKzVjaVhXclZ1SFF3ODlGTHZ2dm51cmZTS0NHMis4RVpzM2IwWnFhaW9lZlBEQmxuMmpSNC9HMy8vKzk3aDlubmJhYWZqc3M4L3d4Qk5QSkpTb1JIOXBISFhVVWUzMlBmdnNzL2ozdi8rTjNOeGNiTjY4R2RkZmZ6MGVlZVFSN0xmZmZpMXRIbmpnQVN4ZnZoejUrZm00L3ZycnV6emZVRlpRVUxDdnFtWldWRlQwZlNtMlhYRG9vWWZpcXF1dVFrNU9Ua3RpQkFCbFpXVUloVUxJeWNuWjZhZUZGUlVWdU9LS0sxQlhWNGZ6eno4Zk0yZk94UFhYWDQrWFgzNFo1NXh6RGhZc1dCQjNMdHpISDMrTTMvem1OL2prazA4d1lzUUl6SjgvdjhzdllMLys5YTl4eEJGSHhOMjNldlhxVm5jT08vUEdHMiswUEUxdGEvanc0Ymp2dnZ1UW5wNk9EUnMyNE5sbm4yM1pOMlhLbExoREJXdHJhM0hjY2NkaHdvUUplT3l4eHhLS2dRQ3YxM3VpNHpodmxwV1Y5VjNGa0oxdzVKRkh0aHVldG5qeFlpeGV2QmhBODd5aHpvWXE3NHl5c3JKZG1udlVrOVZjcWZjVUZoWk9ORTNUdEcxN3lEOFdXN2R1WGR6dklMSEZ0K2JPbllzTkd6Ymc5dHR2eDhjZmY0eDk5OTBYV1ZsWldMSmtDZXJyNjdGanh3N3MyTEdqNWJYTDVVSnRiUzFtelpxRlJZc1djUzVwa2hyeXlWSFV2SG56Y05CQkI4WGQ5L3ZmL3g2dnZmWWFycm5tR2t5ZE9qVnVtMWRlZWFYVkVKOVlvVkFJbDF4eUNiWnMyUUtQeDlPdVlNSmYvL3BYUFBQTU05aTJiUnYrOEljL2RCcm5raVZMQURUZjNZZ25IQTdqNVpkZnhrTVBQWVN0VzdkMjJ0Zk9XTGR1WFV2SjVOaGhmUUR3emp2djRQYmJiOGZ3NGNOeDExMTNZZVBHamJqc3NzdHcwVVVYWWQ2OGVmQjZ2YmpycnJ1d2VQRmk1T2JtWXY3OCtVaE5UZTN4R0FjVDB6U25HSWJ4cUdWWmxZN2ozRzJhNW12YnQyL2Z1SGJ0MnUwQWV2YjVmQTlyZTZmWWNSemNlKys5QUlERER6Kzh3K09pU1ZPOHNxcXZ2LzQ2YnJqaEJqUTBOT0RuUC84NVpzNmNDUUM0K2VhYmtaS1NndWVmZng3VHAwL0h6Smt6OFpPZi9BUXVsd3ZidG0zRGd3OCtpS2VlZWdyaGNCajUrZm00OWRaYmtaT1QwK1Y3R0RGaUJIYmJiYmQyMi8xK1A2NisrbXJzdDk5K2VPeXh4N29zeE5EVmNEOVZ4WjEzM29sLy9PTWZyWVlMVWM4eURPTUZ3ekMrOUhxOWo0VEQ0WDgwTlRWVnIxbXo1bHNBQTZvazJlR0hIOTd5bEdqOSt2WDQrT09Qc2RkZWUySGZmZmNGZ0Y1NTJ2N2xsMS9pcFpkZTZ2RitCNkttcHFaT1MrVUQ4WC8vREFhR1lSd3ZJbmRhbGhWd0hPYyt4M0ZlYld4czNKUU1ueWs5YmErOTlzSnR0OTNXYVp1Q2dnSTg5TkJEK1Bqamp3RUFuMzc2S1c2NTVaWU8yNXVtaVpTVUZGUlZWZUhhYTYvRm5YZmV5U2VZU1lqSlVVUmFXaG95TWpMaTdvc21HZVBHamV1d1RXZGY4bDB1Rnk2OTlGTGNkTk5OdU8yMjIxck5LNml0cmNYU3BVdVJucDdlYm01Ulcydlhyc1Y3NzcySDNOemNkdU5odytFd1huamhCVHp3d0FQWXNHRURSQVRISG5zc1hubmxsVTc3N0s3bzVQZDRKa3lZZ1B6OGZGeDg4Y1hJeWNsQlRrNE8vdlNuUCtIYWE2L0ZKWmRjZ3Z6OGZBUUNBZVRuNStPdXUrNXFsMXhSeDBURVk1cm1mYXE2SlNNajQxMnYxK3NYRWJ1aG9XRmxaV1hsbC8wZFgxY2N4OEV0dDl5Q2twSVN1TjF1bkhYV1dSMjJqVTRLdi9IR0cvSDQ0NCszREErNysrNjc4ZXl6ejZLaG9RR3paczFxVlNYSU5FM2NkTk5OOEhnOHVPdXV1ekIvL253OC9mVFRtREpsQ3BZdVhZcTZ1anE0M1c1Y2Nza2xPT2VjYzNiNXd5bzZFYjZvcUtoYkZlcmFxcXVydytPUFA0NG5ubmdDTzNic3dMQmh3K0R6K2JCaXhZcGRpbzg2TmQ0d2pPdEU1R3FYeTFWdVdkYmJxbHBoR01aS3Y5Ky9Ca0MvRCtLUG5RL3p6RFBQWU02Y09UanFxS053eFJWWDlObzVqemppaUYxNmtyOSsvWHI4OXJlL2pYc3pvYmM5Kyt5enJZWXNSWWV5MzNqampTMko1SlFwVTNEMDBVY0RBS3FycTF2Tm94MktSTVJybXVaOWhtRnNUa2xKZWNleUxCdEFhYko4cHZTRWtTTkh4aTJpNHpoT3EySEpwNTU2S3RhdFd3ZVB4NE05OTl3VFdWbFpHRDU4T0lZTkc0YXNyQ3k0M1c0TUd6WU1icmNiS1NrcDJMUnBFODQ2Nnl5NFhDNDBOVFV4T1VwQ1RJNFNFTDNEMUozSnIyMU5uVG9Wenp6ekRFcEtTckIwNlZMODZFYy9BZ0RjZi8vOWFHeHN4T3paczd1c1ZQWElJNDhBYUs1MkZ6czM2TzIzMzhiOCtmTmJoZ2Y2ZkQ3ODZsZS93cmh4NDFvbFIrWGw1WEdIVFh6NVpmUHZ3VFBPT0tQZG5LTmpqam1tSldtcnI2L0gwcVZMTzR4dnpKZ3hlUGpoaDF2MU1XWEtGSngrK3VsNDRva25FQWdFWUJnR3pqcnJyTGdUOGFsenFnb1J5UVp3UElCakFYenJkcnUvc2l4ckZZREZ0bTIvZ1g2NjgvZk1NOCswUE5XTU92SEVFM0hCQlJlZ3Vyb2FOOTU0SXlvcUtnQUExMTkvZmFmWDB2VHAwL0hlZSs5aDdkcTFLQzh2QjlCOGcySFlzR0ZZc0dBQi9INS9xNkY2c2FaTm13WVJ3Ui8vK0Vlc1c3ZXVKYWFVbEJSY2M4MDFPUDc0NHhQNm9Kb3paMDZIRTdaZmUrMDFWRlJVSURNekU1ZGRkbG1YZlFITmZ4ZHRoOVF1WHJ3WWl4WXR3dGF0V3lFaU9QWFVVekZ6NWt6NC9mNVd5ZEdUVHo3WmJvMjE2Tk9sdFd2WHhpMmtjdVdWVitJSFAvaEJRckVOUlpGcktSVkFjZVMvSGFxNjBiS3N0WTdqUExGOSsvYWxWVlZWUGYvb2ZRQkxTMHRyS2FyVEhWOS8vVFZxYW1wUVUxT0RHMjY0QVFjY2NFQXZSTmU1ZGV2V3RScUtIaDJTR1AzOUFhRFZVTnVSSTBlMkxJUFJrYXFxcXBhcXJJTlJkRTZiaUl3Q2NKS0lISytxV3lPZktTdlIvSm5TOVNTWkpQZjAwMCszRExtT1dyWnNHZWJObTRkcnI3MFd4eDU3TENaUG5vejc3cnNQZFhWMStQM3ZmNDlwMDZhMSt3d0tCQUw0MjkvK2hpdXV1QUs3Nzc0N0ZpMWExR0ZGVmhyNG1CeDFvYmEyRnBzMmJZSnBtcTNtelNTaTdUb1VGMXh3QVY1ODhVWDRmRDdzMkxFRFgzenhCZjcxcjM5aHI3MzJ3cW1ubm9vZE8zWUFRTnlpQ0o5Ly9qbVdMMStPTVdQRzRLU1RUbXExcjc2K0hwOTk5aG5HangrUDJiTm40NWhqamdHQUx1ZEhSU1dhOUQzMzNITmRqaXVQeGg0T2gvSGFhNi9oc2NjZXc1bzFhNUNkblkzSmt5ZGo1Y3FWdU82NjY3Qnc0VUljZDl4eE9PeXd3NUNmbjg4N0t3bUtxVXhqQU1nR2tDMGlFd0djWTFuV0Z3QWVDWVZDVHp1TzgwVkRROFAycXFxcWhyNklhL3YyN2RpNGNTT0E1cnR1alkyTkxjTlNNakl5VUZ0Ymk3UzBOTnh3d3cxeDU5M0ZHamR1SEpZc1dZSWRPM2EwWEQ4aUFoRkJhbXBxdXcrbDZLVGFWYXRXNGMwMzM4UzMzMzRMb1BrTGtNZmp3ZnZ2djQrbXBpYjg0UTkvd055NWM3SC8vdnZENC9GZ3dvUUoyR3V2dlpDVGs0TlJvMFlsOUc4d0ZBcGg0Y0tGQUpxdjU3WUZGcnBqL2ZyMTJMcDFLNHFLaXZDclgvMHE0ZmxMUVBPVHNrU0dCVko4SXRLMnlsTUdnSDFFWkIvVE5JL1B5c3JhYkZuV1AxVjFrWWg4dEduVHBycWFtcHI2ZmdxM1Q2a3F0bS9manJxNk9temR1aFZidG16QjVzMmJXLzc4NnF1djhOVlhYMkhqeG8zNDZxdXZXczJOeXMvUDc1YzVjTE5temNLc1diTUFOQzgrZnRGRkZ3Rm9mcUlVK3lRckdBemlvb3N1d3VqUm8zSDY2YWQzMnVmcTFhdFJXRmpZNjh0aTlKZm9OUkJ6SFpoby9aa3l3K3YxMW9qSW82RlE2R2tBTmVGd2VIdGxaV1gzRjljYXdONTU1eDI4OWRaYnVQenl5MXR1MnE1ZnZ4N2ZmdnR0cStHcm4zenlDYTYrK21xc1c3Y093V0N3M2VpZCsrKy9IKys5OXg3ZWZQTk4vUHpuUDhkNTU1M0h4Q2lKTVRucVF2UlJ2WWpnUC8vNVQ3Y1dtWHp0dGRmaURsTm91NjdLdW5Ycld0M2xIVEZpUkxzcVdsVlZWUUNhaC9pOS9mYmJPUExJSTF2MkhYMzAwZmpOYjM2REUwODhzZE1GeVBiWlp4OTgvL3ZmaDl2dGJ2a2dTVlF3R01Ramp6eUMxTlJVN0xmZmZuRXI4SVhEWVpTWGwrUDExMS9Ic21YTDhQWFhYeU05UFIzbm5uc3V6anZ2UEdSbVpxS2lvZ0pQUFBFRVhuLzlkU3hhdEFpTEZpMkMyKzJHWlZtNDg4NDdlNjJrZDRxcGUzdTkzcVM3bFM0aWsySmV0MnlQL1dJWGN3ZHdUd0EzdUZ5dXF3QlVwS2FtbGx1VzlRR0F0M3A3OHUwNTU1eURjODQ1QjBCek5jTmYvL3JYTGZ2R2pSdUh2L3psTDJocWFzS2VlKzdaY2hNZ0VabVptYTMrVFd6YnR0cS9KKzRBQUNBQVNVUkJWQTJmZnZvcHFxcXFVRkZSZ2ZMeWN2enZmLzlyMlorV2xvWWpqamdDSjV4d0FuN3dneC84Ly9idU95cXFNLzBEK1BmTzBNU2hXRWpVZ0lKQlJWMFZVY0dndUlrbS9veGRpc3F1eHRoWUZ6ZUpodFhJV29QdVdoTWxhaXlJSzdhRUpCcVZoZGdobHFneDBxS0NZQkFyYUl3VTZWUHU3dytjZTBCbUdDQlU4LzJjNHpsbTdwMlpGek12ZDU3M3ZzL3p3TmpZR0UrZlBzWHg0OGNSRXhPRDJOaFl4TWZISXo0K3ZzSjdXVnBhWXRXcVZmamlpeS93K1BGam5lTXBMQ3lVS2t4R1JrWkt4VW1xdzg3T0RpdFhyc1RNbVRQUnMyZFB2UDMyMjVXZVAyREFBSnc5ZXhZVEowNnNORmVyM21oRW1CaHBPbFdsUVc5anBtcytQYmVhUGczQVpBQTNiV3hzRWxxMWFuVlpGTVVmRWhNVEcvUjJRbnA2T2k1Y3VBQmZYOTlhZiswOWUvWWdPRGpZWUhsZ3VWeU9WcTFhb1dQSGpyQ3hzWkgrTklZK1hURXhNVG9mMTJnMDBHZzBtRHg1TWdBWS9EM1VvVU1INlZ5bFVsbWhhbXR0TVpHalhxOU5naUE0bHZtNzlMaXVhNHBNSnJQRnMydUtJQWlKY3JrODhkbjJ1enEvcHRTWG5qMTc0c3laTTdoKy9ib1U4Tnk3ZHc4QTBMNTllNGlpaUMrLy9CSWJOMjVFY1hFeFJvOGVqY0RBd0Fxdjg5bG5uMkhQbmowSURRM0ZqaDA3RUJrWmlYbno1dWt0NkVPTkc0T2pTcWpWYW1sYmprcWxRbUJnSUg3NTVSZk1talZMNTkyZDU3VnIxODdnclh0ZGRPVTFEUjQ4R0JzMmJNQ0NCUXN3Yjk0OHJGeTVVcnBEQkVCblNWY0xDd3VFaDRkTE9SR0ZoWVg0My8vK2g2S2lJZ3daTXFSY0h5UkR3c1BEOGVUSkUvajYrdUxCZ3djNmc2T2RPM2RLcFNkdGJHenc5Ny8vSGQ3ZTNsSnUwWkVqUjVDUmtZR1ZLMWNpT3pzYkowK2VSSFIwTkdKalk5R3hZOGM2N1hWa2JpTDNrc2xrUGVyc0RlcU96b1FXWForL01sL3N6QUc0aXFMWVR4Q0V2enpiTHBTWVg2eStXaUlhL3R6V0JaVktwYmVJU0dVQ0F3T2xGZDZJaUFnc1c3YXN3am4yOXZibzA2Y1AzTjNkMGI5Ly93b0xCQllXRnZEeThvS1hseGRLU2txUWtKQ0FhOWV1NGVyVnEwaE5UVVZHUmdiVWFqWDY5T2tETnpjM0JBVUZTVnROSzZOTjBLMHViYUo5eTVZdGRRWkcvZnYzUjNoNHVOUWNPajA5SFpjdVhVSmFXaHBjWEZ3cUxWVmVId1FCUWpNam8ya3ltV0J2K095bVFUdWZkQVJKeGdDNkF1Z3FrOGs4QWZ6YXUzZnZ0S0lTellWQ0RlcDFNbDI2ZEFrVEprekF6WnMzWVdGaEFWOWZYN3o3N3J0U0t3WkRxcktUd01QREF4Y3ZYb1NscFNXc3JhMWhaV1VscmFhdlc3Y09kbloyQ0EwTlJjdVdMYXQwRGF4dm9paVdhNTZla3BLQysvZnZ3OFhGQmNuSnlWS3dVMTJUSmszQzNMbHphMnVZNVpnWncxTW1rN25XeVl2cnBqTnh1Z3JYbFA2Q0lMZ0pnbENrdmFZVWxHZ1NpcHQ0Q1FmdEhmdWtwQ1FwT0xwejV3N2tjamxzYkd6ZzUrZUgyTmhZR0JzYjQ2T1BQc0w0OGVNUkdCaUlyS3dzTEZteVJPcWpaV3hzakduVHBtSDQ4T0ZZdm53NUxsNjhpTURBUUJ3K2ZCZzJOallOOXZOUnpUQTRxc1N1WGJ1UW5wNE9TMHRMQkFVRllkR2lSZGl4WXdmdTNMbURqei8rMkdDbHRSNDllcUJIajVwOUg5ZFZ5bnZnd0lGWXMyWU41c3laZzZDZ0lEZzVPY0hPemc1RlJVVjZHNHRwSjY0MjJYdnk1TW5ZdG0wYlRwMDZKVlUrTXNUWTJCZ0ZCUVZRS0JTWU5tMmEza290Nzd6ekRoNDllb1JCZ3diQjNkMWQycWFVa3BLQ1R6LzlGSmN2WDRhRmhRV0dEUnVHRGgwNndOdmJHOTdlM2lndUxwWWF3dFlaVVpDTG9xai90bG9qOWV6TFdiVTh5NmZRL2wyTzBvdWhsVXdtTTRHNllYTE5GUW9GQmc4ZWpKOSsrZ201dWJrWU1HQkFwUlczenAwN2g1S1Nrbkp6YlBqdzRZaUlpSUNwcVNtY25KeVFtcG9LZTN0N0tZaTRjK2VPenI1aHVzaGtNbW5MakkrUEQrN2Z2eTl0a1R0dzRJRE8rZlR2Zi84YlI0OGVoWWVIUjZVVmpqUWFEU1pNbUlETXpFeXNXYk9td3ZZTG1Vd0dVUlJSV0toN2w1Wk1KaXMzYi92MjdRdFhWMWZFeHNiaXh4OS8xSnR2OVR4VFU5TzYzSzVxM0VUblU3WE9MenVYQkVHUWlhTFlUQkFFYTBBMGhWaDMwVUZSVVJFdVg3Nk1jK2ZPU2JzWGtwT1RBUUN2dnZxcXRJUGgvdjM3djd0M2tYYnJxcll4K2ViTm15dWM4L0RoUTZ4YnR3N0d4c1lWZW5GcEtaVks1T1RrUUsxV04waFJCcUMwdVhObVppYk16YzFSVUZDQStmUG53OGpJQ051M2I5ZWJaNVNYbDRlWW1CZ29GQXE5ZVhyZHUzZXZ1MEZyWUNRSzlUZVhhdk9hQXFESmw1dDFjaXJkbkpHU2tpSTlkdmZ1WGRqWjJVR2hVS0JEaHc1NC9QZ3hWcTllamM2ZE8rUFlzV000ZnZ3NFhGeGNLclJUQVVyVEZEWnYzb3lEQnc5Q3FWUXlNR3FpR0J6cEVSTVRJMVdWOC9mM2g0ZUhCMEpDUXVEdjc0L2p4NDhqTXpNVEd6WnNxUGZDQXU3dTdwZ3laWXEwSlczcDBxV1lNR0dDZEJ1NHFuYnYzbzNkdTNkWDZWdy9QeitNR2pVS1ZsWlcwaGRSWFV4TlRjc2xOU1lsSldIUG5qM1MxcVBodzRkajd0eTVhTm15SlI0L2Zpd2wvNXFhbXRaNUk5Z0NwZXFyNWlaeTNiWFdHN2YvRXdSaHdmTVA2dHYyOG13ZmVZRW9pdGNBSkFLNG90Rm96aVFrSkZ5emQzSitIUUltMWZGNGRXclRwZzNXcmwyTHpaczNZK2ZPblJnNGNDREdqeCt2ODl5NHVEaWNQbjBhbHBhVzVYcHB5ZVh5Y3BVZWZYeDhmbmRWTnpNek0vajYrcFpMMXRhMU5mWEtsU3M0ZXZRb1RFMU5NVy9lUEwxVks0SFNQbUNabVpsNCtlV1g4ZnJycitzTVVCNCtmR2d3OTBxWGVmUG1WZm5jYmR1Mm9XL2Z2dFYrRDBORUVXS2hTclhOM0ZoZXMxdG5EVWdRaEdoZGordWFUOC9ta2xJVXhac0FFZ0JjVnF2VlB5UW1KbDYwZCt6Wkg4YVlVQmRqVEU5UGg2K3ZiN2w4VmFCMGUrVzhlZk9rYW81QTZkMVVmUXRqenhzOWVyVE91MHphSUwzc3RySDgvSHprNU9SSXZmMjBpdzVQbmp6QjZ0V3JrWjJkalp5Y0hPbWNuSndjNlhWNjkrNHQ5ZmVyYjk5ODh3MFVDZ1Y2OSs2TnMyZlBZdWJNbWRpOGVUUGVlKzg5aElXRjRlT1BQNjd3blBUMGRNVEV4T0NsbDE3U2VieXVGYW54bGJsTTFOMEVyVzU0Q1lKUW9UU3V2am53N0ZnQmdFUlJGQk1GUVlndmYwMFJwOVQ1aU91UXR2bTJkaWRBWGw0ZW5qeDVJdlhBQ3dnSWdDaUtNRGMzeDYxYnQ2VEY0Y1RFUkowTjdvSFMzUXBIang2dG54K0E2Z1NESXgwaUlpS3dZc1VLcUZRcURCczJERDQrUGdDQXpwMDdZOGVPSGZEMzkwZGlZaUttVDUrT1RaczJHU3hvRUJ3Y2pMMTc5MWJwdlhmdjNtMHdNZnZkZDkvRjd0MjdjZlRvVVN4Y3VCQnVibTVWS2haeDZkSWxLWG0yVjY5ZVZTNmxiVzl2RDF0YjJ5cnRjWC84K0RGT256Nk5xS2dvcVZKUS8vNzk4WTkvL0FOZHUzYUZScVBCZi8vN1gyemR1aFhMbHkrdlZnN1g3NkZVQzdmajQrTjFiMFp2eEp5ZG5Uczh2K1huZVdXT1o0cWl1RThVeFlPaUtONFdSVEc3c1RXN0hEZHVITUxDd3JCcjF5Nk1HaldxUWhsc1VSU3hjZU5HQUtWNVRJYTJrSm1abVZYSTRkT2FQSGt5TWpNekRSNDNwS1NrUkxvZ3Z2dnV1M2psbFZmMG5wdVhsNGYxNjljREFHYk9uS24zem8wMk44cVE0dUxpY2hXelBEdzhxcHprVzJlbDhtVUNTdFR5MUpSclRXOCt1Ymk0U0g4M3NNQ1FEU0JTclZidmxjbGt5Ym01dVZscGFXazU5VEhHMXExYm82U2tCRjI2ZE1IUW9VT1JuNStQblR0M3d0SFJzVnhnQk9nTzVQWFJkOWRNbTN1alVDZ1FHaHFLa0pBUUtKVktuZWRtWjJkTDdSd0VRWUNGaFFXc3JhM2g2T2dJYTJ0cldGdGJvMzM3OWxVZVUyMUtUVTFGVEV3TXhvd1pnNmRQbndJQVJvd1lnWnljSE96ZHV4ZEJRVUhZdG0xYmc0eXRNaVZxM0s3UHVlVHM3TnlyR3RlVUJ3QytFRVh4b0VhanVmM3JyNzltUFhqd29PcEpvMDFFeDQ0ZGNlWEtGWlNVbEVnNXJKMDZkUUlBNlJxVmxaV0Z1WFBub3FDZ0FMMTY5ZEs1YzZpZ29BRFhybDM3WGUwZHFIRmdjRlJHYm00dTFxOWZMNVdyZG5Oenc5S2xTOHVkWTI5dmo1Q1FFTXlZTVFPM2J0M0M5T25UcFR3YmZiU0pvRDE2OU5CNzV5VXBLUW1QSGoweW1BZ0xBTTJiTjRlRGd3TlNVMU9SbVpscHNEZEZjWEV4VnF4WWdhS2lJbGhaV1NFbkp3ZXRXN2V1VVBSQkt6azVHUmtaR2VXS1BnQlYyNUp5NXN3WnJGNjlHa1pHUmhnNmRDamVlZWNkS2RpN2NlTUcxcTVkaTdpNE9MUnAwK1ozVmZyNm95cHowZElBS0FDUXE5Rm9MZ21DRUJJWEYzY01qYnlKWDd0MjdUQjI3RmdjT0hBQW4zLytPUUlDQXNvZC8rS0xMNUNRa0FBSEI0ZEtleUdWcGU4dWpqYUlNSFRja0NOSGprZ3I1MGVPSElHNXVUbkdqaDFiSVhEVGFEUll0bXdaZnYzMVYzVHIxazFuaVcwdGEydHJmUHJwcDVXK2IyWm1wdlR2bzUyMzd1N3VldSs0UlVkSG8yM2J0dEkyRWRLdjdEYWhaNHBFVWN3RjhJc29pcUU1T1RuZjFGY3c5RHlGUW9IRGh3OUwxUWkvK2VhYk9uMC9iUVZTYldEVHBVc1hLZERSL3BITDVRZ09Eb2F0cmEzVW84N1MwckpSVmVQU0JqNCtQajdZdVhPbjlQajc3NzhQVVJReGVmSms2VnBjVnRtbXk3cTJkd3VDOEVKV1V5MlRUNlI5U0MyS1lpRktyeW5ubmwxVFRqYlUrT3FUZzRNRExsKytqTnUzYjBzdFViVEJFVkE2UjJiUG5vMjdkKzhDS0YxazBkV1hjdkhpeGJoMjdackJTb2pVK0RFNGVpWWhJUUdMRnkrV2tsWkhqeDZOaFFzWDZpd1M4TW9ycjJEcjFxMllNV01HTWpNekVSZ1lpTC84NVM4RzMyUDY5T253OFBEUWVXelJva1hWNms2dS9XVnRhRXZGelpzM3NXelpNaVFsSmFGWHIxNzQ5Tk5QOGNFSEgrRFVxVk00Y2VKRXVhSU9hV2xwMkxKbEMwNmZQZzJGUWdGblorZHFCekNlbnA1bzNydzUzTnpjcEpYcmpJd003Tml4QTRjUEg1Yk8rZUNERDZCUUtKQ1ptUWtiRzVzWDh1SlQyNTZ0YUdjSmduQUp3RThhalNaT3FWVCswTlFhOXMyYU5RdW5UcDNDL3YzNzRlTGlJZ1hoVjY1Y1FYQndNT1J5T1pZc1dWSm4xYUdxeTl2YkcrM2J0OGZ1M2J0eDRjSUZyRisvSGx1M2JzV1lNV1BnNitzTFcxdGJhRFFhckZ5NUV0SFIwYkN3c01DcVZhdCsxeGZINzcvL0hzdVhMMGRXVmhiR2p4K1BxVk9ud3NmSEJ4czNib1M3dTN1NU10N256NS9IbGkxYnBOTEQybjVvcE4renVWUUM0R2NBUDRpaUdDc0l3bzl4Y1hGSmFBUk5ZT3V6VEx1MmoxL2J0bTN4NXB0dlNvMVN5M3I0OENHQ2c0TmhZbUlDZTN2ZGRUaEVVY1RUcDArbGJYWjJkbmIxMXVqN3dvVUxpSTZPaG91TFM0V2RGM0s1SEI5KytDR0EwcnpCZ3djUDZueU50TFEwdUxtNVZYamN5c3FxWEpHSEYwV1poYlluQUM0S2duQlpvOUVrTnNWcnl1K2x2ZHQ1NjlZdGFUNTA3dHdaUU9rZG8vZmVldzgzYnR5QWg0Y0hVbE5URVJZV2hqLy8rYy9sY3Nxam82TVJGUldGdG0zYmxtdFFUazBUZzZObm5KeWMwS3BWSzZoVUtnUUVCRWhOV3ZYcDBLRUR0bXpaZ29DQUFDeGJ0cXhjTWw5ZHk4N094aSsvL0FJQWVrdW5GaFVWSVNRa0JIdjM3b1ZLcGNLWU1XUHcwVWNmd2RUVUZNdVdMY1BreVpPeGVQRmlXRmxab1czYnR0aTJiUnVPSGowS1VSU2hVQ2d3WXNRSXZWc3JETkYybkU1S1NzSytmZnR3L1BoeHFOVnE5T3ZYRHdFQkFlalVxVk81OHBpZW5wNFY3aUJRZVJxTjVvWWdDTnMxR2syMFRDYTdGeGNYbHdXZ2pxdFkxSTdIang5ajFhcFZXTGR1SFlEU0ttMUxseTdGM0xsenNXalJJbXpZc0FFeW1Rd2ZmdmdoVkNvVjVzK2ZqNTQ5ZTFicHRZdUtpakJnd0FDZHg0cUxpeUdLWXFYSHE1cnI1dXJxQ2xkWFYvenl5eThJQ3d2RHNXUEg4T1dYWHlJOFBCd2VIaDVRcTlVNGYvNDhtalZyaHZYcjExZTY5YTR5RHg4K3hOcTFheEVkSFEwakl5T3BPaElBeko4L0gwdVdMTUdzV2JNUUdocUtPM2Z1NFBQUFAwZGlZaUtBMGkrM2d3WU5xbERJZ3NvVFJmR1JJQWo3TlJyTkVWRVVVMVVxMWFNWHJYZExkYVNscFFGQWhTMTdlWGw1eU03T1JsWldsclNhbnBXVmhjOCsrMHdLZ0xRNVNkbloyY2pOelMyM1dCY1VGRlNoSjE5ZDBmWldNdFNVdVh2MzdoVjY5ZVhuNStQOCtmTlFLQlJ3ZDNldjhKem16WnZYM2tBYkVZMUdjMVVRaFA4Q09KV2ZuMzgvSlNVbEM0RGEwUE5lUlAzNzk4ZnExYXZSdjM5L0hEdDJEQXFGUWlxS0V4UVVoS1NrSlBUcjF3OXIxcXpCdFd2WDRPZm5oMy8rODUvWXVuVXJIQndjRUJzYml5Vkxsc0RJeUFqTGx5K3ZOQ2VWbWdZR1I4K1ltcHBpM2JwMU1EYzNyM0tYY0VkSFJ4dzRjQUJHUmtaMUdoeHQyTEFCS3BVS1ZsWldVS3ZWT0g3OE9KUktKVHc4UENyc09jL1B6OGZYWDMrTnZYdjNTc20zbnA2ZTVRb2xPRGc0WVBueTVaZy9mejQrK09BRHFOVnFxTlZxZE9yVUNUNCtQaGcrZkhpMTlzeWFtNXRMNC9qdHQ5OFFHUm1KcUtnb0tjSFIxZFVWMDZkUGw1TERiOTY4aVpVclZ5SStQaDZXbHBiY0JsUUptVXgyWHExV3V5UWtKTVExOUZocTR0aXhZMWkxYWhWeWMzT1JuNTh2ZmRFWU5HZ1EzbnZ2UFd6Y3VCRno1c3lCV3EyR1VxbkUxS2xUTVdGQzFmUGNqWXlNTUdQR0RKM0g5dS9majl6YzNFcVBWNmZuRWxCYUtTd29LQWl6WjgvR3ZuMzdFQjRlampObnprakh4NHdaVTZNS2xSa1pHUWdMQzhQaHc0ZWxSUHlQUC80WXc0WU5rODRaTVdJRWtwT1RzWC8vZm5oN2UwdGoxMjYxR3pCZ1FLUGE1dFFZYVRTYWNTVWxKU2V2WDc5ZWVUZnJQNGppNG1LcGJIR3JWcTB3Y2VKRVpHVmxJVHM3VytjV3M2eXNySEpOWGsxTVRHQmxaUVViR3h0MDZ0UUpMVnEwZ0tXbEpWcTJiRm5sYXFpMXdjUERBNWFXbGxJU3ZUNWp4NDdGMkxGanl6MlducDZPOCtmUDQ2V1hYc0xLbFN2cmNwaU5naUFJSjVSS1pjK2Z0VW5CQkFjSEJ6ZzRPQUFvdlh0a2JXMk43ZHUzSXpFeEVSOSsrQ0hhdEdtRHVYUG53c1RFQkwxNzkwWkFRQURXcmwyTG1UTm53cy9QRHhzMmJFQnhjVEdXTGwxcThETklUUU9Eb3pKcWtraGFsNzE1dE83ZHU0Zm82UEpGbHRxMGFZTTVjK1pJLzUyY25Jekl5RWhFUkVUZzZkT25rTXZsNk5hdEc2NWZ2NjV6YThNYmI3eUJGU3RXWU1tU0pWQ3IxZWpjdVRNKytlUVRhYldrT3NvbXZCY1VGQ0EwTkZTNlcrWGo0eU50YzBoUFQ4ZTJiZHR3NHNRSmlLS0lOOTU0QXdzV0xLaHlNUHBIRkJzYmU3T2h4MUJkang0OUFsRGFKRldidkQxcTFLZ0tkek1HRFJxRS9mdjM0N2ZmZmdOUU92OG1UYXBlTVQwakl5Tk1uVHBWNTdHb3FDZ1VGQlFZUEY1ZG9pZ2lOVFVWaVltSjBoZEl1VndPdFZxTkw3LzhFakV4TWZqclgvK0tzV1BIVnJxQ3FGYXJjZW5TSlVSRVJPRFVxVk5RcTlXd3NMQkF1M2J0a0o2ZXJuTkxhMEJBQU5ScU5jTER3d0dVVm9BTURBemtTbVVWeGNmSEgycm9NVFFtUC96d0ExUXFGYnAyN1lvMmJkb2dOemNYQ29VQ3RyYTJhTkdpQmF5dHJkR2lSUXZJNVhLRWhJU2dYYnQyV0xObWpaU0xwR3NSN2VlZmY4YWlSWXRnYVdscHNMaFFiUmt4WW9TMFk0RXE5NkkwYjYwTmp4NDl3cFVyVjVDYW1vclUxRlNrcEtSSURjQzFPV3d0V3JRbzE5UWNBQ1pPbklpY25CeHMzNzRkcTFldkJsQ2FiMlJveHhFMUhReU9ha2xWdHFEdDI3Y1BKMC9xem0vVWJvM1J4Y3ZMQzNaMmRpZ29LSUNKaVFtY25KeWtsYktTa2hKTW16Wk5hc29xQ0FMZWZ2dHR6Sm8xQzhuSnlSVW10U2lLdUhyMUtzNmNPWU9oUTRkaSsvYnRXTEJnQVZKU1V1RHA2WW1oUTRkaTNMaHg2TldyVjQxV29iVk5BdHUyYll2bXpadERGRVZjdm53WkJ3OGVsSUtpcmwyN3d0L2ZYK2NXQm1yYVJGSEVxVk9uQUpUZXhiU3hzY0dTSlV2Sy9iKytmZnMyd3NMQ3BETEViZHUyUlg1K1B1N2N1WU14WThaZ3lwUXA4UEx5cXZjeStZYWtwYVhoMkxGamlJcUt3b01IRHdDVWxteWROV3NXUm80Y2lVT0hEbUhQbmozSXpNekVKNTk4Z3UzYnQ4UEh4d2NUSjA2czBCdm01czJiOFBmM2x3SkRjM056K1ByNjRwMTMzc0htelp1bGZlOWF4Y1hGK1BISEgzSG16QmtzWExnUXI3NzZLdGF0VzRlb3FDajg4TU1QR0R0MkxFYVBIbDJ1SkRtUklkcGNHbmQzZHdpQ2dLaW9LSjNuNWVUa0lDUWtCQ1VsSlFZRG50VFVWTnk3ZDAvcXkzVHIxcTBLWmNuMTBSWUp1SHYzYnBVRGZudDcrM3JMYmFJWHk0OC8vbGl1NkphVmxSWGMzZDJsSHBVOWV2U29VSGludUxnWWtaR1JPSFNvL0RyTDExOS9EUnNiRzJrdWxaV2JtNHVNakl3cWplblhYMzhGVUZwaS84YU5HMVY2am5aUmpXb1BnNk1hdUhQbkRwbzFhd1lMQ3d1WW1wcWlvS0JBK2tKWTJWMlF5NWN2MStqOVhudnR0UXFOSkxWTVRFd3dhTkFnWkdSa1NIZHF0STNKcmw2OUNxQTBMeU1tSmdiZmYvODl6cDA3SnpVTmRITnpROSsrZmZIMTExOWoyN1p0K09xcnJ4QVpHWW5JeUVoWVcxdkR6YzBOM2JwMXc0QUJBNlJiemxYaDZPaUl0TFEwbkRwMUNrZU9ISkcrU0hicTFBbCtmbjdsZXRmUWk2VzR1RmhhZVh2enpUZXhjT0ZDV0ZwYVFxbFU0dXpac3poeTVJalVtOGpFeEFTVEprM0M5T25Ua1plWGg1VXJWeUltSmdhYk4yOUdhR2dvM25qakRRd1pNZ1J1Ym01NnZ5aXBWQ3E5L2JweWNuSU1IdGVucUtoSVdrMk1qNC9IcFV1WHBKOExLTTJiOHZMeXdzU0pFNlV2WnBNbVRjTDQ4ZU54Nk5BaGhJV0ZJVE16RXp0MzdzVGV2WHN4Y3VSSVRKbzBTUXBlSEIwZDRlRGdBSVZDQVI4Zkg0d2FOVXE2Q0d2dlJ2MzIyMjg0ZE9nUXpwdzVVNjRNLzhLRkMrSGw1UVUzTnplc1c3Y09aOCtleGE1ZHU3QnIxeTdZMmRuQjFkVVZUazVPR0R4NE1MODBObEY1ZVhuUzUrSG16ZEtieDJXM1VHL2N1Qkg3OXUycjFtcyt2NENuYmJzQXdHQkxCU3NyS3lnVUNqeCsvQmduVDU3VVdiUUJLSjAzRVJFUkFJQStmZm9BQU9iTW1WUHRQbnpWNlRjVUhoNE9SMGZIU3M4cEtpclMrNXI1K2FYZERoNDllb1RBd0VDOXIrSHA2WWwrL2ZwVmVWelUrRGs3TzhQYjIxc0toUFF0TG9taWlNVEVSSnc4ZVJKUlVWRlM0YTdodzRkajlPalJDQTRPUmxKU0V0NS8vMzIwYjk4ZUkwZU94SkFoUTZUaUplZk9uY1BpeFl1ck5iYXJWNjlXcWRBWEFBd2VQQmhyMTlabnE2d1hINE9qR2xpeFlnV3VYTG1pODVpdWFqZGF5NWN2aDZ1cnE4NWpxMWV2cm5GRm5HblRwbUhLbENrVmtzdTFkNVAyNzkrUC9mdjNBeWpkaHVUcTZnb1BEdzkwNmRJRlFHbnAySUNBQUV5Wk1nWGg0ZUg0N3J2dmtKR1JnV1BIanVIczJiTlY2c2NDQUQvOTlCTWlJeU54NGNJRmFmV2pXYk5tR0RObURNYU5HMWVqWEF4cVdzek16UENmLy93SFNVbEo4UGIyeHZmZmY0OFRKMDdnM0xselV1OFJNek16akIwN0ZsT25UcFVXRTh6TXpQREpKNS9ncDU5K3dxWk5tL0R6enovanUrKyt3M2ZmZlFlWlRJYmV2WHRqMDZaTkZiYm1xVlFxQkFjSFZ6cW15bzdyNnhQajcrK1BoSVNFY28rWm1KakF6YzBOUTRjT3hWdHZ2YVd6bXA2SmlRbkdqeDhQVDA5UEhENThHS0dob1hqNDhDRU9IanlJOVBSMGhJU0VTT2V1WDc5ZVo5Q25uYmRsTDZZS2hRSkRodzR0VjF6QzF0WVdHelpzUUhKeU1zTER3M0g2OUduY3ZYc1hkKy9lUmVmT25URnk1RWk5UHpjMWJqTm16RUJhV2hxTWpZMmxvTGhzYVdHNVhGN3R4dG5QQjBlYk5tMUNVVkVSbkoyZERRWVhRR2srM2I1OSsvRFJSeCtoWGJ0Mk9nc1ZQSGp3QVBuNStWQW9GTklpV0xkdTNTcmNPYTFOVmNtUFZTcVZPSDc4ZUtYbjVPWGxWWHFPcTZzcmc2TVhqSzJ0YmFVQmNWNWVIcFlzV1lMNCtQaHlpMmtEQmd5QW41OGYvdlNuUHdFb0xRZ1NGUldGa0pBUXFWRE81NTkvanRhdFcyUEhqaDFvMGFJRmV2WHFWV2MvUjNVV3I2bHFHQnpWUUpjdVhaQ1FrQ0N0OEFxQ2dKZGZmaGtUSjA3VTJUSFp5c29LYmRxMGdZMk5qZDQ3UyszYXRZT3RyVzJOcWt3WkdSbnB6SDNTNW40WUd4dGo0TUNCZU91dHR6Qmd3QUM5alRWYnQyNk4yYk5uWS9iczJVaEtTa0pzYkN6YXQyOWZvWXBSWmVPSWlJaEFxMWF0TUdyVUtMaTd1MlBnd0lITWgvaUQ2ZDY5TzdwMzd3NEFlUExraVZTaXZtUEhqaGczYmh4R2pSb0ZDd3NMbmMvdDI3Y3ZkdTNhaGNURVJIejExVmVJaVlsQllXRWhKa3lZb0hOdVZOWUUxcERLbXNEKzdXOS93L3Z2djQ4dVhicWdaOCtlY0hGeHdXdXZ2VmJsUWlWR1JrYnc4dkxDNk5HajhlMjMzeUlzTEF3TEZpd29kNDZ1ZVZGVVZDUmRoSzJzckRCa3lCQzgrZWFiNk5Pbmo5NzhSaWNuSnl4ZHVoVC8rdGUvRUI4Zmp5dFhydUR0dDk5bXhib21UTnZIVHExV3c4cktDc09HRGNQcnI3OHVIZmYzOXpkWW1lMTViNzMxbHJSckFJRDAyZmZ6ODZ2UzgyZlBuZzFqWTJPY09IRUNEeDQ4ME5tVHo4ek1ETDE3OTVaYU5RQm9GRVVPTEN3czlDNW9FdW1qVUNnZ2s4bVFrNU9EbGkxYll0aXdZZkR5OHFwUXpsNHVsMlBVcUZFWU1XSUV6cDA3aDBPSER1SGl4WXR3Y25LQ25aMGQ3T3pzOU83K0lhb1dleWZuMSsyN09tZjFHemhFakkxTEVPdEthbXFxR0JzYksrYm01dGJvK1dxMVdsU3IxYlU4cXRxUms1TWpob1NFaUZsWldmWDJudmZ2MzYrMzl6TGsydlZrY2VDUXQwVjdwMTZGOWwxNkRqUDhxWHV4bGM2cFhoazlYUWVLRnk1ZHJyZi9Ed2NPSEJCVFVsSnE5TnpDd2tJeExpNnVsa2RVTmNYRnhiWDJXdFg1SFpHWW1DaCsrKzIzdGZyK3RlSENwY3RpdjRGRFJQdXV6bG4yVHM2dkcvN0V2YmpzSFh2MjE4NmxtRFBuNnVUZlc2VlMxZW0xSlRzN1c5eTBhVk9kdlQ3cDk2TE1wWWE2cHRTbnUzZnZpbkZ4Y2RXZWk0V0ZoZlg2M2FzcGFzeno0QTkvNTZncTJ3a3EwNWhMNTFwYVd1b3RZMXhYbUJSSXovUDA5S3p4YzgzTXpPRHM3RnlMbzZtNjJyenpVcDNmRTlyOTcvVEhWdGVOc2Eyc3JEQjc5dXc2ZlEraXBzN1cxclpHVFpuTnpNejBidHVteHEveGZyTW5JaUlpSWlLcVJ3eU9pSWlJaUlpSXdPQ0lpSWlJaUlnSUFJTWpJaUlpSWlJaUFBeU9pSWlJaUlpSUFEQTRJaUlpSWlJaUFzRGdpSWlJaUlpSUNBQ0RJeUlpSWlJaUlnQU1qb2lJaUlpSWlBQXdPQ0lpSWlJaUlnTEE0SWlJaUlpSWlBZ0FneU1pSWlJaUlpSUFESTZJaUlpSWlJZ0FNRGdpSWlJaUlpSUN3T0NJaUlpSWlJZ0lBSU1qSWlJaUlpSWlBQXlPaUlpSWlJaUlBREE0SWlJaUlpSWlBc0RnaUlpSWlJaUlDQUNESXlJaUlpSWlJZ0FNam9pSWlJaUlpQUF3T0NJaUlpSWlJZ0xBNElpSWlJaUlpQWdBZ3lNaUlpSWlJaUlBREk2SWlJaUlpSWdBQUVZTlBRQkRsRW9scmw1UFFuRkpTVU1QaFpxWTlOdDNVRnpNejgzejFDbzFyaWZkYU9oaFVCTnpQZWtHbEVwbFF3K2pVVkdyMUVpNmtRcFRVOU9HSGdvMUlTL2FYT0kxaFdxaU1jK0RSaDhjNVQ1OWl2VWJ0OERJcU5FUGxSb1psVnFGM055bkRUMk1ScWV3cUFnYnQyeUhzYkZ4UXcrRm1oQ2xVb25jcDV4UFpSVVdGV0hyanAwd01UWnA2S0ZRRS9LaXpTVmVVNmdtR3ZNOGFMUVJSNG1veVRDQjhGQURJQ3NucDZHSFEwMllJQWk1S3FWNHI2SEgwZEJLUkUyR2lTQmthRVRSTERzM3Q2R0hRMDJWS0Q0c0VjV01oaDVHUTlJSTRpTVpTdWRTRGhkZ3FLYWErRnppTllWcVJTT2NCMEpERDZBU01sdW5IdDJOSUcvVjBBT2hwazNRS0xOdXBWejdHWUNtb2NmU3dHVHRIYnM3eVl5TVgycm9nVkRUcFJZMGorOG1KVjdISDNzK2NTN1I3L1lDekNYT0EvcmRYb0I1UUVSRVJFUkVSRVJFUkVSRVJFUkVSRVJFUkVSRVJFUkVSRVJFUkVSRVJFUkVSRVJFUkVSRVJFUkVSRVJFOVFGSytRQUFBTDVKUkVGV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OZmYvV1orUTA2WG5hbDhBQUFBQVNVVk9SSzVDWUlJPSIsCgkiVGhlbWUiIDogIiIsCgkiVHlwZSIgOiAiZmxvdyIsCgkiVmVyc2lvbiIgOiAiIgp9Cg=="/>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65</Pages>
  <Words>2096</Words>
  <Characters>2244</Characters>
  <Lines>526</Lines>
  <Paragraphs>148</Paragraphs>
  <TotalTime>1</TotalTime>
  <ScaleCrop>false</ScaleCrop>
  <LinksUpToDate>false</LinksUpToDate>
  <CharactersWithSpaces>2314</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2023-02-22T05:08:00Z</dcterms:created>
  <dc:creator>Administrator</dc:creator>
  <cp:lastModifiedBy>碧水蓝天</cp:lastModifiedBy>
  <cp:lastPrinted>2025-12-18T09:35:00Z</cp:lastPrinted>
  <dcterms:modified xsi:type="dcterms:W3CDTF">2026-02-07T01:37:53Z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2AB71BF38B5B47E99DC82C18539D25CE_13</vt:lpwstr>
  </property>
  <property fmtid="{D5CDD505-2E9C-101B-9397-08002B2CF9AE}" pid="4" name="KSOTemplateDocerSaveRecord">
    <vt:lpwstr>eyJoZGlkIjoiMTZjYzBmYjFhNTNhOWU5YWExOGQxZWIyY2JkMzU0ZGQiLCJ1c2VySWQiOiI1OTQ0Nzk4OTIifQ==</vt:lpwstr>
  </property>
  <property fmtid="{D5CDD505-2E9C-101B-9397-08002B2CF9AE}" pid="5" name="_IPGFID">
    <vt:lpwstr>[DocID]=9CD1F02A-9F42-4C76-A2E7-6B19E35009CD</vt:lpwstr>
  </property>
</Properties>
</file>